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color w:val="000000"/>
        </w:rPr>
      </w:pPr>
      <w:r>
        <w:rPr>
          <w:color w:val="000000"/>
        </w:rPr>
        <mc:AlternateContent>
          <mc:Choice Requires="wps">
            <w:drawing>
              <wp:anchor distT="0" distB="0" distL="114298" distR="114298" simplePos="0" relativeHeight="38" behindDoc="0" locked="0" layoutInCell="1" hidden="0" allowOverlap="1">
                <wp:simplePos x="0" y="0"/>
                <wp:positionH relativeFrom="column">
                  <wp:posOffset>426720</wp:posOffset>
                </wp:positionH>
                <wp:positionV relativeFrom="paragraph">
                  <wp:posOffset>3260725</wp:posOffset>
                </wp:positionV>
                <wp:extent cx="2040254" cy="487679"/>
                <wp:effectExtent l="0" t="0" r="0" b="0"/>
                <wp:wrapNone/>
                <wp:docPr id="1" name="矩形"/>
                <wp:cNvGraphicFramePr>
                  <a:graphicFrameLocks noChangeAspect="0"/>
                </wp:cNvGraphicFramePr>
                <a:graphic>
                  <a:graphicData uri="http://schemas.microsoft.com/office/word/2010/wordprocessingShape">
                    <wps:wsp>
                      <wps:cNvSpPr/>
                      <wps:spPr>
                        <a:xfrm rot="0">
                          <a:off x="0" y="0"/>
                          <a:ext cx="2040254" cy="487679"/>
                        </a:xfrm>
                        <a:prstGeom prst="rect"/>
                        <a:noFill/>
                        <a:ln w="9525" cmpd="sng" cap="flat">
                          <a:noFill/>
                          <a:prstDash val="solid"/>
                          <a:miter/>
                        </a:ln>
                      </wps:spPr>
                      <wps:txbx id="2">
                        <w:txbxContent>
                          <w:p/>
                        </w:txbxContent>
                      </wps:txbx>
                      <wps:bodyPr vert="horz" wrap="square" lIns="91440" tIns="45720" rIns="91440" bIns="45720" anchor="t" anchorCtr="0" upright="1">
                        <a:spAutoFit/>
                      </wps:bodyPr>
                    </wps:wsp>
                  </a:graphicData>
                </a:graphic>
              </wp:anchor>
            </w:drawing>
          </mc:Choice>
          <mc:Fallback>
            <w:pict>
              <v:rect type="#_x0000_t1" id="矩形 3" o:spid="_x0000_s3" filled="f" stroked="f" style="position:absolute;margin-left:33.6pt;margin-top:256.75pt;width:160.65pt;height:38.399998pt;z-index:38;mso-position-horizontal:absolute;mso-position-vertical:absolute;mso-wrap-distance-left:8.999863pt;mso-wrap-distance-right:8.999863pt;mso-wrap-style:square;">
                <v:stroke color="#000000"/>
                <v:textbox id="858" inset="2.54mm,1.27mm,2.54mm,1.27mm" o:insetmode="custom" style="layout-flow:horizontal;v-text-anchor:top;mso-fit-shape-to-text:t;">
                  <w:txbxContent>
                    <w:p/>
                  </w:txbxContent>
                </v:textbox>
              </v:rect>
            </w:pict>
          </mc:Fallback>
        </mc:AlternateContent>
      </w:r>
      <w:r>
        <w:rPr>
          <w:color w:val="000000"/>
        </w:rPr>
        <mc:AlternateContent>
          <mc:Choice Requires="wps">
            <w:drawing>
              <wp:anchor distT="0" distB="0" distL="114298" distR="114298" simplePos="0" relativeHeight="40" behindDoc="0" locked="0" layoutInCell="1" hidden="0" allowOverlap="1">
                <wp:simplePos x="0" y="0"/>
                <wp:positionH relativeFrom="column">
                  <wp:posOffset>2346325</wp:posOffset>
                </wp:positionH>
                <wp:positionV relativeFrom="paragraph">
                  <wp:posOffset>3639820</wp:posOffset>
                </wp:positionV>
                <wp:extent cx="192404" cy="487679"/>
                <wp:effectExtent l="0" t="0" r="0" b="0"/>
                <wp:wrapNone/>
                <wp:docPr id="4" name="矩形"/>
                <wp:cNvGraphicFramePr>
                  <a:graphicFrameLocks noChangeAspect="0"/>
                </wp:cNvGraphicFramePr>
                <a:graphic>
                  <a:graphicData uri="http://schemas.microsoft.com/office/word/2010/wordprocessingShape">
                    <wps:wsp>
                      <wps:cNvSpPr/>
                      <wps:spPr>
                        <a:xfrm rot="0">
                          <a:off x="0" y="0"/>
                          <a:ext cx="192404" cy="487679"/>
                        </a:xfrm>
                        <a:prstGeom prst="rect"/>
                        <a:noFill/>
                        <a:ln w="9525" cmpd="sng" cap="flat">
                          <a:noFill/>
                          <a:prstDash val="solid"/>
                          <a:miter/>
                        </a:ln>
                      </wps:spPr>
                      <wps:txbx id="5">
                        <w:txbxContent>
                          <w:p/>
                        </w:txbxContent>
                      </wps:txbx>
                      <wps:bodyPr vert="horz" wrap="none" lIns="91440" tIns="45720" rIns="91440" bIns="45720" anchor="t" anchorCtr="0" upright="1">
                        <a:spAutoFit/>
                      </wps:bodyPr>
                    </wps:wsp>
                  </a:graphicData>
                </a:graphic>
              </wp:anchor>
            </w:drawing>
          </mc:Choice>
          <mc:Fallback>
            <w:pict>
              <v:rect type="#_x0000_t1" id="矩形 6" o:spid="_x0000_s6" filled="f" stroked="f" style="position:absolute;margin-left:184.75pt;margin-top:286.6pt;width:15.149996pt;height:38.399998pt;z-index:40;mso-position-horizontal:absolute;mso-position-vertical:absolute;mso-wrap-distance-left:8.999863pt;mso-wrap-distance-right:8.999863pt;mso-wrap-style:none;">
                <v:stroke color="#000000"/>
                <v:textbox id="860" inset="2.54mm,1.27mm,2.54mm,1.27mm" o:insetmode="custom" style="layout-flow:horizontal;v-text-anchor:top;mso-fit-shape-to-text:t;">
                  <w:txbxContent>
                    <w:p/>
                  </w:txbxContent>
                </v:textbox>
              </v:rect>
            </w:pict>
          </mc:Fallback>
        </mc:AlternateContent>
      </w:r>
    </w:p>
    <w:p>
      <w:pPr>
        <w:jc w:val="center"/>
        <w:rPr>
          <w:rFonts w:ascii="黑体" w:eastAsia="黑体" w:cs="黑体"/>
          <w:color w:val="000000"/>
          <w:sz w:val="56"/>
          <w:szCs w:val="72"/>
        </w:rPr>
      </w:pPr>
    </w:p>
    <w:p>
      <w:pPr>
        <w:jc w:val="center"/>
        <w:rPr>
          <w:rFonts w:ascii="黑体" w:eastAsia="黑体" w:cs="黑体"/>
          <w:color w:val="000000"/>
          <w:sz w:val="56"/>
          <w:szCs w:val="72"/>
        </w:rPr>
      </w:pPr>
      <w:r>
        <w:rPr>
          <w:rFonts w:ascii="黑体" w:eastAsia="黑体" w:cs="黑体"/>
          <w:color w:val="000000"/>
          <w:sz w:val="56"/>
          <w:szCs w:val="72"/>
        </w:rPr>
        <mc:AlternateContent>
          <mc:Choice Requires="wps">
            <w:drawing>
              <wp:anchor distT="0" distB="0" distL="114298" distR="114298" simplePos="0" relativeHeight="2" behindDoc="1" locked="0" layoutInCell="1" hidden="0" allowOverlap="1">
                <wp:simplePos x="0" y="0"/>
                <wp:positionH relativeFrom="column">
                  <wp:posOffset>-1003935</wp:posOffset>
                </wp:positionH>
                <wp:positionV relativeFrom="paragraph">
                  <wp:posOffset>-2126615</wp:posOffset>
                </wp:positionV>
                <wp:extent cx="7623175" cy="4657725"/>
                <wp:effectExtent l="0" t="0" r="0" b="0"/>
                <wp:wrapNone/>
                <wp:docPr id="7" name="组合"/>
                <wp:cNvGraphicFramePr>
                  <a:graphicFrameLocks noChangeAspect="0"/>
                </wp:cNvGraphicFramePr>
                <a:graphic>
                  <a:graphicData uri="http://schemas.microsoft.com/office/word/2010/wordprocessingGroup">
                    <wpg:wgp>
                      <wpg:cNvPr id="8" name="组合 8"/>
                      <wpg:cNvGrpSpPr/>
                      <wpg:grpSpPr>
                        <a:xfrm rot="0">
                          <a:off x="0" y="0"/>
                          <a:ext cx="7623175" cy="4657725"/>
                          <a:chOff x="0" y="0"/>
                          <a:chExt cx="7623175" cy="4657725"/>
                        </a:xfrm>
                        <a:prstGeom prst="rect"/>
                        <a:solidFill>
                          <a:srgbClr val="FFFFFF"/>
                        </a:solidFill>
                        <a:ln w="9525" cmpd="sng" cap="flat">
                          <a:solidFill>
                            <a:srgbClr val="000000"/>
                          </a:solidFill>
                          <a:prstDash val="solid"/>
                          <a:miter/>
                        </a:ln>
                      </wpg:grpSpPr>
                      <wps:wsp>
                        <wps:cNvPr id="9" name="矩形 9"/>
                        <wps:cNvSpPr/>
                        <wps:spPr>
                          <a:xfrm rot="0">
                            <a:off x="0" y="0"/>
                            <a:ext cx="7623175" cy="4657725"/>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10" name="文本框 10"/>
                        <wps:cNvSpPr/>
                        <wps:spPr>
                          <a:xfrm rot="0">
                            <a:off x="2284730" y="3576319"/>
                            <a:ext cx="5132705" cy="1049655"/>
                          </a:xfrm>
                          <a:prstGeom prst="rect"/>
                          <a:noFill/>
                          <a:ln w="9525" cmpd="sng" cap="flat">
                            <a:noFill/>
                            <a:prstDash val="solid"/>
                            <a:miter/>
                          </a:ln>
                        </wps:spPr>
                        <wps:txbx id="11">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wps:txbx>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2" o:spid="_x0000_s12" coordorigin="-50,252" coordsize="12005,7335" style="position:absolute;margin-left:-79.05pt;margin-top:-167.45pt;width:600.25pt;height:366.75pt;z-index:-31;mso-position-horizontal:absolute;mso-position-vertical:absolute;mso-wrap-distance-left:8.999863pt;mso-wrap-distance-right:8.999863pt;">
                <v:rect type="#_x0000_t1" id="矩形 13" o:spid="_x0000_s13" style="position:absolute;left:-50;top:252;width:12005;height:7335;" fillcolor="#FDBC11" stroked="f">
                  <v:stroke color="#000000"/>
                </v:rect>
                <v:shape type="#_x0000_t202" id="文本框 14" o:spid="_x0000_s14" style="position:absolute;left:3548;top:5884;width:8083;height:1652;mso-wrap-style:square;" filled="f" stroked="f">
                  <v:textbox id="848" inset="2.54mm,1.27mm,2.54mm,1.27mm" o:insetmode="custom" style="layout-flow:horizontal;v-text-anchor:top;">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troke color="#000000"/>
                </v:shape>
              </v:group>
            </w:pict>
          </mc:Fallback>
        </mc:AlternateContent>
      </w:r>
    </w:p>
    <w:p>
      <w:pPr>
        <w:rPr>
          <w:rFonts w:ascii="黑体" w:eastAsia="黑体" w:cs="Times New Roman"/>
          <w:color w:val="000000"/>
          <w:sz w:val="48"/>
          <w:szCs w:val="48"/>
        </w:rPr>
      </w:pPr>
      <w:r>
        <w:rPr>
          <w:color w:val="000000"/>
        </w:rPr>
        <mc:AlternateContent>
          <mc:Choice Requires="wps">
            <w:drawing>
              <wp:anchor distT="0" distB="0" distL="114298" distR="114298" simplePos="0" relativeHeight="39" behindDoc="0" locked="0" layoutInCell="1" hidden="0" allowOverlap="1">
                <wp:simplePos x="0" y="0"/>
                <wp:positionH relativeFrom="column">
                  <wp:posOffset>-187960</wp:posOffset>
                </wp:positionH>
                <wp:positionV relativeFrom="paragraph">
                  <wp:posOffset>1082675</wp:posOffset>
                </wp:positionV>
                <wp:extent cx="1349375" cy="1313814"/>
                <wp:effectExtent l="0" t="0" r="0" b="0"/>
                <wp:wrapNone/>
                <wp:docPr id="15" name="椭圆"/>
                <wp:cNvGraphicFramePr>
                  <a:graphicFrameLocks noChangeAspect="0"/>
                </wp:cNvGraphicFramePr>
                <a:graphic>
                  <a:graphicData uri="http://schemas.microsoft.com/office/word/2010/wordprocessingShape">
                    <wps:wsp>
                      <wps:cNvSpPr/>
                      <wps:spPr>
                        <a:xfrm rot="0">
                          <a:off x="0" y="0"/>
                          <a:ext cx="1349375" cy="1313814"/>
                        </a:xfrm>
                        <a:prstGeom prst="ellipse"/>
                        <a:solidFill>
                          <a:srgbClr val="1F2959"/>
                        </a:solidFill>
                        <a:ln w="9525" cmpd="sng" cap="flat">
                          <a:noFill/>
                          <a:prstDash val="solid"/>
                          <a:miter/>
                        </a:ln>
                      </wps:spPr>
                      <wps:txbx id="16">
                        <w:txbxContent>
                          <w:p>
                            <w:pPr>
                              <w:jc w:val="center"/>
                              <w:rPr>
                                <w:b/>
                                <w:sz w:val="52"/>
                                <w:szCs w:val="52"/>
                              </w:rPr>
                            </w:pPr>
                            <w:r>
                              <w:rPr>
                                <w:rFonts w:hint="eastAsia"/>
                                <w:b/>
                                <w:sz w:val="52"/>
                                <w:szCs w:val="52"/>
                              </w:rPr>
                              <w:t>2019</w:t>
                            </w:r>
                          </w:p>
                        </w:txbxContent>
                      </wps:txbx>
                      <wps:bodyPr vert="horz" wrap="square" lIns="91440" tIns="45720" rIns="91440" bIns="45720" anchor="ctr" anchorCtr="0" upright="1">
                        <a:noAutofit/>
                      </wps:bodyPr>
                    </wps:wsp>
                  </a:graphicData>
                </a:graphic>
              </wp:anchor>
            </w:drawing>
          </mc:Choice>
          <mc:Fallback>
            <w:pict>
              <v:oval type="#_x0000_t3" id="椭圆 17" o:spid="_x0000_s17" fillcolor="#1F2959" stroked="f" style="position:absolute;margin-left:-14.800001pt;margin-top:85.25pt;width:106.25pt;height:103.45pt;z-index:39;mso-position-horizontal:absolute;mso-position-vertical:absolute;mso-wrap-distance-left:8.999863pt;mso-wrap-distance-right:8.999863pt;mso-wrap-style:square;">
                <v:stroke color="#000000"/>
                <v:textbox id="861" inset="2.54mm,1.27mm,2.54mm,1.27mm" o:insetmode="custom" style="layout-flow:horizontal;v-text-anchor:middle;">
                  <w:txbxContent>
                    <w:p>
                      <w:pPr>
                        <w:jc w:val="center"/>
                        <w:rPr>
                          <w:b/>
                          <w:sz w:val="52"/>
                          <w:szCs w:val="52"/>
                        </w:rPr>
                      </w:pPr>
                      <w:r>
                        <w:rPr>
                          <w:rFonts w:hint="eastAsia"/>
                          <w:b/>
                          <w:sz w:val="52"/>
                          <w:szCs w:val="52"/>
                        </w:rPr>
                        <w:t>2019</w:t>
                      </w:r>
                    </w:p>
                  </w:txbxContent>
                </v:textbox>
              </v:oval>
            </w:pict>
          </mc:Fallback>
        </mc:AlternateContent>
      </w:r>
      <w:r>
        <w:rPr>
          <w:color w:val="000000"/>
        </w:rPr>
        <mc:AlternateContent>
          <mc:Choice Requires="wps">
            <w:drawing>
              <wp:anchor distT="0" distB="0" distL="114298" distR="114298" simplePos="0" relativeHeight="37" behindDoc="0" locked="0" layoutInCell="1" hidden="0" allowOverlap="1">
                <wp:simplePos x="0" y="0"/>
                <wp:positionH relativeFrom="column">
                  <wp:posOffset>-292735</wp:posOffset>
                </wp:positionH>
                <wp:positionV relativeFrom="paragraph">
                  <wp:posOffset>970914</wp:posOffset>
                </wp:positionV>
                <wp:extent cx="1548765" cy="1548765"/>
                <wp:effectExtent l="0" t="0" r="0" b="0"/>
                <wp:wrapNone/>
                <wp:docPr id="18" name="椭圆"/>
                <wp:cNvGraphicFramePr>
                  <a:graphicFrameLocks noChangeAspect="0"/>
                </wp:cNvGraphicFramePr>
                <a:graphic>
                  <a:graphicData uri="http://schemas.microsoft.com/office/word/2010/wordprocessingShape">
                    <wps:wsp>
                      <wps:cNvSpPr/>
                      <wps:spPr>
                        <a:xfrm rot="0">
                          <a:off x="0" y="0"/>
                          <a:ext cx="1548765" cy="1548765"/>
                        </a:xfrm>
                        <a:prstGeom prst="ellipse"/>
                        <a:solidFill>
                          <a:srgbClr val="FFFFFF"/>
                        </a:solidFill>
                        <a:ln w="9525" cmpd="sng" cap="flat">
                          <a:noFill/>
                          <a:prstDash val="solid"/>
                          <a:miter/>
                        </a:ln>
                      </wps:spPr>
                      <wps:txbx id="19">
                        <w:txbxContent>
                          <w:p>
                            <w:pPr>
                              <w:jc w:val="center"/>
                            </w:pPr>
                          </w:p>
                        </w:txbxContent>
                      </wps:txbx>
                      <wps:bodyPr vert="horz" wrap="square" lIns="91440" tIns="45720" rIns="91440" bIns="45720" anchor="ctr" anchorCtr="0" upright="1">
                        <a:noAutofit/>
                      </wps:bodyPr>
                    </wps:wsp>
                  </a:graphicData>
                </a:graphic>
              </wp:anchor>
            </w:drawing>
          </mc:Choice>
          <mc:Fallback>
            <w:pict>
              <v:oval type="#_x0000_t3" id="椭圆 20" o:spid="_x0000_s20" fillcolor="#FFFFFF" stroked="f" style="position:absolute;margin-left:-23.05pt;margin-top:76.45pt;width:121.950005pt;height:121.950005pt;z-index:37;mso-position-horizontal:absolute;mso-position-vertical:absolute;mso-wrap-distance-left:8.999863pt;mso-wrap-distance-right:8.999863pt;mso-wrap-style:square;">
                <v:stroke color="#000000"/>
                <v:textbox id="862" inset="2.54mm,1.27mm,2.54mm,1.27mm" o:insetmode="custom" style="layout-flow:horizontal;v-text-anchor:middle;">
                  <w:txbxContent>
                    <w:p>
                      <w:pPr>
                        <w:jc w:val="center"/>
                      </w:pPr>
                    </w:p>
                  </w:txbxContent>
                </v:textbox>
              </v:oval>
            </w:pict>
          </mc:Fallback>
        </mc:AlternateContent>
      </w:r>
      <w:r>
        <w:rPr>
          <w:rFonts w:ascii="黑体" w:eastAsia="黑体" w:cs="Times New Roman" w:hint="eastAsia"/>
          <w:color w:val="000000"/>
          <w:sz w:val="48"/>
          <w:szCs w:val="48"/>
        </w:rPr>
        <w:br w:type="page"/>
      </w:r>
    </w:p>
    <w:p>
      <w:pPr>
        <w:tabs>
          <w:tab w:val="left" w:pos="2728"/>
        </w:tabs>
        <w:rPr>
          <w:rFonts w:ascii="黑体" w:eastAsia="黑体" w:cs="Times New Roman"/>
          <w:color w:val="000000"/>
          <w:sz w:val="48"/>
          <w:szCs w:val="48"/>
        </w:rPr>
      </w:pPr>
      <w:r>
        <w:rPr>
          <w:rFonts w:ascii="黑体" w:eastAsia="黑体" w:cs="Times New Roman" w:hint="eastAsia"/>
          <w:color w:val="000000"/>
          <w:sz w:val="48"/>
          <w:szCs w:val="48"/>
        </w:rPr>
        <w:tab/>
      </w:r>
    </w:p>
    <w:p>
      <w:pPr>
        <w:rPr>
          <w:rFonts w:ascii="黑体" w:eastAsia="黑体" w:cs="黑体"/>
          <w:color w:val="000000"/>
          <w:sz w:val="56"/>
          <w:szCs w:val="72"/>
        </w:rPr>
      </w:pPr>
    </w:p>
    <w:p>
      <w:pPr>
        <w:rPr>
          <w:rFonts w:ascii="黑体" w:eastAsia="黑体" w:cs="黑体"/>
          <w:b/>
          <w:bCs/>
          <w:color w:val="000000"/>
          <w:sz w:val="72"/>
          <w:szCs w:val="96"/>
        </w:rPr>
      </w:pPr>
      <w:r>
        <w:rPr>
          <w:rFonts w:ascii="黑体" w:eastAsia="黑体" w:cs="黑体" w:hint="eastAsia"/>
          <w:b/>
          <w:bCs/>
          <w:color w:val="000000"/>
          <w:sz w:val="72"/>
          <w:szCs w:val="96"/>
        </w:rPr>
        <w:t>2019年度部门决算公开文本</w:t>
      </w:r>
    </w:p>
    <w:p>
      <w:pPr>
        <w:spacing w:line="36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napToGrid w:val="0"/>
        <w:spacing w:line="480" w:lineRule="auto"/>
        <w:jc w:val="center"/>
        <w:rPr>
          <w:rFonts w:ascii="黑体" w:eastAsia="黑体" w:cs="黑体"/>
          <w:color w:val="000000"/>
          <w:sz w:val="56"/>
          <w:szCs w:val="72"/>
        </w:rPr>
      </w:pPr>
    </w:p>
    <w:p>
      <w:pPr>
        <w:snapToGrid w:val="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廊坊市广阳区人民法院</w:t>
      </w:r>
    </w:p>
    <w:p>
      <w:pPr>
        <w:snapToGrid w:val="0"/>
        <w:jc w:val="center"/>
        <w:rPr>
          <w:rFonts w:ascii="楷体_GB2312" w:eastAsia="楷体_GB2312" w:cs="楷体_GB2312"/>
          <w:color w:val="000000"/>
          <w:kern w:val="0"/>
          <w:sz w:val="44"/>
          <w:szCs w:val="44"/>
        </w:rPr>
        <w:sectPr>
          <w:headerReference w:type="default" r:id="rId2"/>
          <w:headerReference w:type="first" r:id="rId3"/>
          <w:footerReference w:type="first" r:id="rId4"/>
          <w:type w:val="continuous"/>
          <w:pgSz w:w="11906" w:h="16838"/>
          <w:pgMar w:top="2041" w:right="1531" w:bottom="2041" w:left="1531" w:header="851" w:footer="992" w:gutter="0"/>
          <w:titlePg/>
          <w:docGrid w:type="lines" w:linePitch="312" w:charSpace="0"/>
        </w:sectPr>
      </w:pPr>
      <w:r>
        <w:rPr>
          <w:rFonts w:ascii="楷体_GB2312" w:eastAsia="楷体_GB2312" w:cs="楷体_GB2312" w:hint="eastAsia"/>
          <w:color w:val="000000"/>
          <w:kern w:val="0"/>
          <w:sz w:val="44"/>
          <w:szCs w:val="44"/>
        </w:rPr>
        <w:t>二〇二〇年十一月</w:t>
      </w:r>
    </w:p>
    <w:p>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    录</w:t>
      </w:r>
    </w:p>
    <w:p>
      <w:pPr>
        <w:widowControl/>
        <w:spacing w:after="160" w:line="584" w:lineRule="exact"/>
        <w:ind w:firstLineChars="200" w:firstLine="640"/>
        <w:rPr>
          <w:rFonts w:ascii="Times New Roman" w:eastAsia="黑体" w:cs="Times New Roman" w:hAnsi="Times New Roman"/>
          <w:color w:val="000000"/>
          <w:sz w:val="32"/>
          <w:szCs w:val="32"/>
        </w:rPr>
      </w:pPr>
    </w:p>
    <w:p>
      <w:pPr>
        <w:widowControl/>
        <w:spacing w:after="160" w:line="584" w:lineRule="exact"/>
        <w:ind w:firstLineChars="200" w:firstLine="640"/>
        <w:rPr>
          <w:rFonts w:ascii="Times New Roman" w:eastAsia="仿宋_GB2312" w:cs="Times New Roman" w:hAnsi="Times New Roman"/>
          <w:color w:val="000000"/>
          <w:sz w:val="24"/>
          <w:szCs w:val="32"/>
        </w:rPr>
      </w:pPr>
      <w:r>
        <w:rPr>
          <w:rFonts w:ascii="Times New Roman" w:eastAsia="黑体" w:cs="Times New Roman" w:hAnsi="Times New Roman"/>
          <w:color w:val="000000"/>
          <w:sz w:val="32"/>
          <w:szCs w:val="32"/>
        </w:rPr>
        <w:t>第一部分   部门概况</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一、部门</w:t>
      </w:r>
      <w:r>
        <w:rPr>
          <w:rFonts w:ascii="Times New Roman" w:eastAsia="仿宋_GB2312" w:cs="Times New Roman" w:hAnsi="Times New Roman" w:hint="eastAsia"/>
          <w:color w:val="000000"/>
          <w:sz w:val="32"/>
          <w:szCs w:val="32"/>
        </w:rPr>
        <w:t>职责</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二、</w:t>
      </w:r>
      <w:r>
        <w:rPr>
          <w:rFonts w:ascii="Times New Roman" w:eastAsia="仿宋_GB2312" w:cs="Times New Roman" w:hAnsi="Times New Roman" w:hint="eastAsia"/>
          <w:color w:val="000000"/>
          <w:sz w:val="32"/>
          <w:szCs w:val="32"/>
        </w:rPr>
        <w:t>机构设置</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color w:val="000000"/>
          <w:sz w:val="32"/>
          <w:szCs w:val="32"/>
        </w:rPr>
        <w:t>第二部分   201</w:t>
      </w:r>
      <w:r>
        <w:rPr>
          <w:rFonts w:ascii="Times New Roman" w:eastAsia="黑体" w:cs="Times New Roman" w:hAnsi="Times New Roman" w:hint="eastAsia"/>
          <w:color w:val="000000"/>
          <w:sz w:val="32"/>
          <w:szCs w:val="32"/>
        </w:rPr>
        <w:t>9年度</w:t>
      </w:r>
      <w:r>
        <w:rPr>
          <w:rFonts w:ascii="Times New Roman" w:eastAsia="黑体" w:cs="Times New Roman" w:hAnsi="Times New Roman"/>
          <w:color w:val="000000"/>
          <w:sz w:val="32"/>
          <w:szCs w:val="32"/>
        </w:rPr>
        <w:t>部门决算情况说明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一、收入支出决算总体情况说明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二、收入决算情况说明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三、支出决算情况说明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四、财政拨款收入支出决算总体情况说明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五、一般公共预算</w:t>
      </w:r>
      <w:r>
        <w:rPr>
          <w:rFonts w:ascii="Times New Roman" w:eastAsia="仿宋_GB2312" w:cs="Times New Roman" w:hAnsi="Times New Roman"/>
          <w:color w:val="000000"/>
          <w:sz w:val="32"/>
          <w:szCs w:val="32"/>
        </w:rPr>
        <w:t>“三公”经费支出决算情况说明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六</w:t>
      </w:r>
      <w:r>
        <w:rPr>
          <w:rFonts w:ascii="Times New Roman" w:eastAsia="仿宋_GB2312" w:cs="Times New Roman" w:hAnsi="Times New Roman"/>
          <w:color w:val="000000"/>
          <w:sz w:val="32"/>
          <w:szCs w:val="32"/>
        </w:rPr>
        <w:t>、其他重要事项的说明</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color w:val="000000"/>
          <w:sz w:val="32"/>
          <w:szCs w:val="32"/>
        </w:rPr>
        <w:t>第三部分</w:t>
      </w:r>
      <w:r>
        <w:rPr>
          <w:rFonts w:ascii="Times New Roman" w:eastAsia="黑体" w:cs="Times New Roman" w:hAnsi="Times New Roman" w:hint="eastAsia"/>
          <w:color w:val="000000"/>
          <w:sz w:val="32"/>
          <w:szCs w:val="32"/>
        </w:rPr>
        <w:t xml:space="preserve">  </w:t>
      </w:r>
      <w:r>
        <w:rPr>
          <w:rFonts w:ascii="Times New Roman" w:eastAsia="黑体" w:cs="Times New Roman" w:hAnsi="Times New Roman"/>
          <w:color w:val="000000"/>
          <w:sz w:val="32"/>
          <w:szCs w:val="32"/>
        </w:rPr>
        <w:t>名词解释</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color w:val="000000"/>
          <w:sz w:val="32"/>
          <w:szCs w:val="32"/>
        </w:rPr>
        <w:t>第</w:t>
      </w:r>
      <w:r>
        <w:rPr>
          <w:rFonts w:ascii="Times New Roman" w:eastAsia="黑体" w:cs="Times New Roman" w:hAnsi="Times New Roman" w:hint="eastAsia"/>
          <w:color w:val="000000"/>
          <w:sz w:val="32"/>
          <w:szCs w:val="32"/>
        </w:rPr>
        <w:t>四</w:t>
      </w:r>
      <w:r>
        <w:rPr>
          <w:rFonts w:ascii="Times New Roman" w:eastAsia="黑体" w:cs="Times New Roman" w:hAnsi="Times New Roman"/>
          <w:color w:val="000000"/>
          <w:sz w:val="32"/>
          <w:szCs w:val="32"/>
        </w:rPr>
        <w:t>部分</w:t>
      </w:r>
      <w:r>
        <w:rPr>
          <w:rFonts w:ascii="Times New Roman" w:eastAsia="黑体" w:cs="Times New Roman" w:hAnsi="Times New Roman" w:hint="eastAsia"/>
          <w:color w:val="000000"/>
          <w:sz w:val="32"/>
          <w:szCs w:val="32"/>
        </w:rPr>
        <w:t xml:space="preserve">  </w:t>
      </w:r>
      <w:r>
        <w:rPr>
          <w:rFonts w:ascii="Times New Roman" w:eastAsia="黑体" w:cs="Times New Roman" w:hAnsi="Times New Roman"/>
          <w:color w:val="000000"/>
          <w:sz w:val="32"/>
          <w:szCs w:val="32"/>
        </w:rPr>
        <w:t>201</w:t>
      </w:r>
      <w:r>
        <w:rPr>
          <w:rFonts w:ascii="Times New Roman" w:eastAsia="黑体" w:cs="Times New Roman" w:hAnsi="Times New Roman" w:hint="eastAsia"/>
          <w:color w:val="000000"/>
          <w:sz w:val="32"/>
          <w:szCs w:val="32"/>
        </w:rPr>
        <w:t>9</w:t>
      </w:r>
      <w:r>
        <w:rPr>
          <w:rFonts w:ascii="Times New Roman" w:eastAsia="黑体" w:cs="Times New Roman" w:hAnsi="Times New Roman"/>
          <w:color w:val="000000"/>
          <w:sz w:val="32"/>
          <w:szCs w:val="32"/>
        </w:rPr>
        <w:t>年度部门决算报表</w:t>
      </w:r>
    </w:p>
    <w:p>
      <w:pPr>
        <w:widowControl/>
        <w:spacing w:after="160" w:line="584" w:lineRule="exact"/>
        <w:ind w:firstLineChars="200" w:firstLine="640"/>
        <w:rPr>
          <w:rFonts w:ascii="Times New Roman" w:eastAsia="仿宋_GB2312" w:cs="Times New Roman" w:hAnsi="Times New Roman"/>
          <w:color w:val="000000"/>
          <w:sz w:val="20"/>
          <w:szCs w:val="32"/>
        </w:rPr>
      </w:pPr>
      <w:r>
        <w:rPr>
          <w:rFonts w:ascii="Times New Roman" w:eastAsia="黑体" w:cs="Times New Roman" w:hAnsi="Times New Roman" w:hint="eastAsia"/>
          <w:color w:val="000000"/>
          <w:sz w:val="32"/>
          <w:szCs w:val="32"/>
        </w:rPr>
        <w:t>第五</w:t>
      </w:r>
      <w:r>
        <w:rPr>
          <w:rFonts w:ascii="Times New Roman" w:eastAsia="黑体" w:cs="Times New Roman" w:hAnsi="Times New Roman"/>
          <w:color w:val="000000"/>
          <w:sz w:val="32"/>
          <w:szCs w:val="32"/>
        </w:rPr>
        <w:t>部分</w:t>
      </w:r>
      <w:r>
        <w:rPr>
          <w:rFonts w:ascii="Times New Roman" w:eastAsia="黑体" w:cs="Times New Roman" w:hAnsi="Times New Roman" w:hint="eastAsia"/>
          <w:color w:val="000000"/>
          <w:sz w:val="32"/>
          <w:szCs w:val="32"/>
        </w:rPr>
        <w:t xml:space="preserve">  预算绩效</w:t>
      </w:r>
      <w:r>
        <w:rPr>
          <w:rFonts w:ascii="Times New Roman" w:eastAsia="黑体" w:cs="Times New Roman" w:hAnsi="Times New Roman"/>
          <w:color w:val="000000"/>
          <w:sz w:val="32"/>
          <w:szCs w:val="32"/>
        </w:rPr>
        <w:t>公开内容</w:t>
      </w:r>
      <w:bookmarkStart w:id="0" w:name="_GoBack"/>
      <w:bookmarkEnd w:id="0"/>
    </w:p>
    <w:p>
      <w:pPr>
        <w:widowControl/>
        <w:spacing w:after="160" w:line="584" w:lineRule="exact"/>
        <w:ind w:left="640" w:firstLineChars="200" w:firstLine="640"/>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rPr>
        <w:t>一</w:t>
      </w:r>
      <w:r>
        <w:rPr>
          <w:rFonts w:ascii="Times New Roman" w:eastAsia="仿宋_GB2312" w:cs="Times New Roman" w:hAnsi="Times New Roman"/>
          <w:color w:val="000000"/>
          <w:sz w:val="32"/>
          <w:szCs w:val="32"/>
          <w14:textFill>
            <w14:solidFill>
              <w14:srgbClr w14:val="000000"/>
            </w14:solidFill>
          </w14:textFill>
        </w:rPr>
        <w:t>、预算绩效情况说明</w:t>
      </w:r>
    </w:p>
    <w:p>
      <w:pPr>
        <w:widowControl/>
        <w:spacing w:after="160" w:line="584" w:lineRule="exact"/>
        <w:ind w:left="640" w:firstLineChars="200" w:firstLine="640"/>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rPr>
        <w:t>二</w:t>
      </w:r>
      <w:r>
        <w:rPr>
          <w:rFonts w:ascii="Times New Roman" w:eastAsia="仿宋_GB2312" w:cs="Times New Roman" w:hAnsi="Times New Roman"/>
          <w:color w:val="000000"/>
          <w:sz w:val="32"/>
          <w:szCs w:val="32"/>
          <w14:textFill>
            <w14:solidFill>
              <w14:srgbClr w14:val="000000"/>
            </w14:solidFill>
          </w14:textFill>
        </w:rPr>
        <w:t>、</w:t>
      </w:r>
      <w:r>
        <w:rPr>
          <w:rFonts w:ascii="Times New Roman" w:eastAsia="仿宋_GB2312" w:cs="Times New Roman" w:hAnsi="Times New Roman" w:hint="eastAsia"/>
          <w:color w:val="000000"/>
          <w:sz w:val="32"/>
          <w:szCs w:val="32"/>
          <w14:textFill>
            <w14:solidFill>
              <w14:srgbClr w14:val="000000"/>
            </w14:solidFill>
          </w14:textFill>
        </w:rPr>
        <w:t>预算</w:t>
      </w:r>
      <w:r>
        <w:rPr>
          <w:rFonts w:ascii="Times New Roman" w:eastAsia="仿宋_GB2312" w:cs="Times New Roman" w:hAnsi="Times New Roman"/>
          <w:color w:val="000000"/>
          <w:sz w:val="32"/>
          <w:szCs w:val="32"/>
          <w14:textFill>
            <w14:solidFill>
              <w14:srgbClr w14:val="000000"/>
            </w14:solidFill>
          </w14:textFill>
        </w:rPr>
        <w:t>绩效公开表格</w:t>
      </w:r>
    </w:p>
    <w:p>
      <w:pPr>
        <w:widowControl/>
        <w:spacing w:after="160" w:line="584" w:lineRule="exact"/>
        <w:rPr>
          <w:rFonts w:ascii="Times New Roman" w:eastAsia="仿宋_GB2312" w:cs="Times New Roman" w:hAnsi="Times New Roman"/>
          <w:color w:val="FFFFFF"/>
          <w:sz w:val="32"/>
          <w:szCs w:val="32"/>
        </w:rPr>
        <w:sectPr>
          <w:headerReference w:type="default" r:id="rId5"/>
          <w:headerReference w:type="first" r:id="rId6"/>
          <w:footerReference w:type="default" r:id="rId7"/>
          <w:footerReference w:type="first" r:id="rId8"/>
          <w:type w:val="continuous"/>
          <w:pgSz w:w="11906" w:h="16838"/>
          <w:pgMar w:top="2041" w:right="1531" w:bottom="2041" w:left="1531" w:header="851" w:footer="992" w:gutter="0"/>
          <w:titlePg/>
          <w:docGrid w:type="lines" w:linePitch="312" w:charSpace="0"/>
        </w:sectPr>
      </w:pPr>
    </w:p>
    <w:p>
      <w:pPr>
        <w:rPr>
          <w:color w:val="000000"/>
        </w:rPr>
      </w:pPr>
      <w:r>
        <w:rPr>
          <w:color w:val="000000"/>
          <w:sz w:val="72"/>
        </w:rPr>
        <mc:AlternateContent>
          <mc:Choice Requires="wps">
            <w:drawing>
              <wp:anchor distT="0" distB="0" distL="114298" distR="114298" simplePos="0" relativeHeight="41" behindDoc="0" locked="0" layoutInCell="1" hidden="0" allowOverlap="1">
                <wp:simplePos x="0" y="0"/>
                <wp:positionH relativeFrom="column">
                  <wp:posOffset>-1088390</wp:posOffset>
                </wp:positionH>
                <wp:positionV relativeFrom="paragraph">
                  <wp:posOffset>1024255</wp:posOffset>
                </wp:positionV>
                <wp:extent cx="7793355" cy="3341370"/>
                <wp:effectExtent l="0" t="0" r="0" b="0"/>
                <wp:wrapNone/>
                <wp:docPr id="35" name="矩形"/>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12700" cmpd="sng" cap="flat">
                          <a:solidFill>
                            <a:srgbClr val="FFD966"/>
                          </a:solidFill>
                          <a:prstDash val="solid"/>
                          <a:miter/>
                        </a:ln>
                      </wps:spPr>
                      <wps:txbx id="36">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wps:txbx>
                      <wps:bodyPr vert="horz" wrap="square" lIns="91440" tIns="45720" rIns="91440" bIns="45720" anchor="ctr" anchorCtr="0" upright="1">
                        <a:noAutofit/>
                      </wps:bodyPr>
                    </wps:wsp>
                  </a:graphicData>
                </a:graphic>
              </wp:anchor>
            </w:drawing>
          </mc:Choice>
          <mc:Fallback>
            <w:pict>
              <v:rect type="#_x0000_t1" id="矩形 37" o:spid="_x0000_s37" fillcolor="#FFD966" stroked="t" strokeweight="1.0pt" style="position:absolute;margin-left:-85.7pt;margin-top:80.65pt;width:613.65pt;height:263.1pt;z-index:41;mso-position-horizontal:absolute;mso-position-vertical:absolute;mso-wrap-distance-left:8.999863pt;mso-wrap-distance-right:8.999863pt;mso-wrap-style:square;">
                <v:fill r:id="rId12" o:title="5%" color2="#FFFFFF" type="pattern"/>
                <v:stroke color="#FFD966"/>
                <v:textbox id="863" inset="2.54mm,1.27mm,2.54mm,1.27mm" o:insetmode="custom" style="layout-flow:horizontal;v-text-anchor:middle;">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v:textbox>
              </v:rect>
            </w:pict>
          </mc:Fallback>
        </mc:AlternateContent>
      </w:r>
      <w:r>
        <w:rPr>
          <w:color w:val="000000"/>
        </w:rPr>
        <w:br w:type="page"/>
      </w:r>
    </w:p>
    <w:p>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一、部门职责</w:t>
      </w:r>
    </w:p>
    <w:p>
      <w:pPr>
        <w:widowControl/>
        <w:ind w:firstLineChars="200" w:firstLine="640"/>
        <w:jc w:val="left"/>
        <w:rPr>
          <w:rFonts w:ascii="仿宋_GB2312" w:eastAsia="仿宋_GB2312" w:cs="Times New Roman"/>
          <w:color w:val="000000"/>
          <w:kern w:val="0"/>
          <w:sz w:val="32"/>
          <w:szCs w:val="32"/>
        </w:rPr>
      </w:pPr>
      <w:r>
        <w:rPr>
          <w:rFonts w:ascii="仿宋_GB2312" w:eastAsia="仿宋_GB2312" w:cs="仿宋_GB2312" w:hint="eastAsia"/>
          <w:color w:val="000000"/>
          <w:kern w:val="0"/>
          <w:sz w:val="32"/>
          <w:szCs w:val="32"/>
        </w:rPr>
        <w:t>廊坊市广阳区人民法院是国家的审判机关，依法独立行使审判权，对区人民代表大会及其常务委员会负责并报告工作，其主要职责是：</w:t>
      </w:r>
    </w:p>
    <w:p>
      <w:pPr>
        <w:widowControl/>
        <w:ind w:firstLineChars="150" w:firstLine="48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（1）深入贯彻习近平新时代中国特色社会主义思想，深入贯彻党的路线方针政策和决策部署，坚持党对法院工作的绝对领导，坚决维护习近平总书记的核心地位，坚决维护党中央权威和集中统一领导。</w:t>
      </w:r>
    </w:p>
    <w:p>
      <w:pPr>
        <w:widowControl/>
        <w:ind w:firstLineChars="150" w:firstLine="48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（2）依法审判法律规定由广阳区人民法院管辖的刑事、民事、行政等一审案件。</w:t>
      </w:r>
    </w:p>
    <w:p>
      <w:pPr>
        <w:widowControl/>
        <w:ind w:firstLineChars="150" w:firstLine="48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（3）依法审判上级人民法院指定、同级人民法院移送的刑事、民事、行政等第一审案件。</w:t>
      </w:r>
    </w:p>
    <w:p>
      <w:pPr>
        <w:widowControl/>
        <w:ind w:firstLineChars="150" w:firstLine="48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（4）审查和受理各类申诉案件，审判各类再审案件，处理来信来访。</w:t>
      </w:r>
    </w:p>
    <w:p>
      <w:pPr>
        <w:widowControl/>
        <w:ind w:firstLineChars="150" w:firstLine="48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（5）依法办理发生法律效力的民事、行政案件判决和裁定执行事项及刑事案件判决和裁定中关于财产部分的执行事项；办理法律规定由基层人民法院执行的其他法律文书的执行事项。</w:t>
      </w:r>
    </w:p>
    <w:p>
      <w:pPr>
        <w:widowControl/>
        <w:ind w:firstLineChars="150" w:firstLine="48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（6）负责审判工作的调查研究，总结审判工作经验。</w:t>
      </w:r>
    </w:p>
    <w:p>
      <w:pPr>
        <w:widowControl/>
        <w:ind w:firstLineChars="150" w:firstLine="480"/>
        <w:jc w:val="left"/>
        <w:rPr>
          <w:rFonts w:ascii="仿宋_GB2312" w:eastAsia="仿宋_GB2312" w:cs="仿宋_GB2312"/>
          <w:color w:val="000000"/>
          <w:kern w:val="0"/>
          <w:sz w:val="32"/>
          <w:szCs w:val="32"/>
        </w:rPr>
      </w:pPr>
    </w:p>
    <w:p>
      <w:pPr>
        <w:widowControl/>
        <w:ind w:firstLineChars="150" w:firstLine="480"/>
        <w:jc w:val="left"/>
        <w:rPr>
          <w:rFonts w:ascii="仿宋_GB2312" w:eastAsia="仿宋_GB2312" w:cs="仿宋_GB2312"/>
          <w:color w:val="000000"/>
          <w:kern w:val="0"/>
          <w:sz w:val="32"/>
          <w:szCs w:val="32"/>
        </w:rPr>
      </w:pPr>
    </w:p>
    <w:p>
      <w:pPr>
        <w:widowControl/>
        <w:ind w:firstLineChars="150" w:firstLine="48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（7）负责干警思想政治教育和业务培训工作；按照权限管理法官和其他工作人员。</w:t>
      </w:r>
    </w:p>
    <w:p>
      <w:pPr>
        <w:widowControl/>
        <w:ind w:leftChars="228" w:left="479"/>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8</w:t>
      </w:r>
      <w:r>
        <w:rPr>
          <w:rFonts w:ascii="仿宋_GB2312" w:eastAsia="仿宋_GB2312" w:cs="仿宋_GB2312" w:hint="eastAsia"/>
          <w:color w:val="000000"/>
          <w:kern w:val="0"/>
          <w:sz w:val="32"/>
          <w:szCs w:val="32"/>
        </w:rPr>
        <w:t>）管理有关经费及物资装备。</w:t>
      </w:r>
      <w:r>
        <w:rPr>
          <w:rFonts w:ascii="仿宋_GB2312" w:eastAsia="仿宋_GB2312" w:cs="仿宋_GB2312"/>
          <w:color w:val="000000"/>
          <w:kern w:val="0"/>
          <w:sz w:val="32"/>
          <w:szCs w:val="32"/>
        </w:rPr>
        <w:br/>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9</w:t>
      </w:r>
      <w:r>
        <w:rPr>
          <w:rFonts w:ascii="仿宋_GB2312" w:eastAsia="仿宋_GB2312" w:cs="仿宋_GB2312" w:hint="eastAsia"/>
          <w:color w:val="000000"/>
          <w:kern w:val="0"/>
          <w:sz w:val="32"/>
          <w:szCs w:val="32"/>
        </w:rPr>
        <w:t>）负责司法技术鉴定、通讯、计算机等技术管理工作。</w:t>
      </w:r>
    </w:p>
    <w:p>
      <w:pPr>
        <w:widowControl/>
        <w:ind w:leftChars="228" w:left="479"/>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10</w:t>
      </w:r>
      <w:r>
        <w:rPr>
          <w:rFonts w:ascii="仿宋_GB2312" w:eastAsia="仿宋_GB2312" w:cs="仿宋_GB2312" w:hint="eastAsia"/>
          <w:color w:val="000000"/>
          <w:kern w:val="0"/>
          <w:sz w:val="32"/>
          <w:szCs w:val="32"/>
        </w:rPr>
        <w:t>）负责审判工作中的法制宣传，教育公民忠于祖国，自</w:t>
      </w:r>
    </w:p>
    <w:p>
      <w:pPr>
        <w:widowControl/>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觉遵守宪法、法律和社会公德。</w:t>
      </w:r>
    </w:p>
    <w:p>
      <w:pPr>
        <w:widowControl/>
        <w:ind w:leftChars="228" w:left="479"/>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1）完成其他应由广阳区人民法院负责的工作。</w:t>
      </w:r>
    </w:p>
    <w:p>
      <w:pPr>
        <w:keepNext/>
        <w:keepLines/>
        <w:widowControl w:val="0"/>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从决算编报单位构成看，纳入2019 年度本部门决算汇编范围的独立核算单位（以下简称“单位”）共1个，具体情况如下：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trPr>
          <w:trHeight w:val="596"/>
        </w:trPr>
        <w:tc>
          <w:tcPr>
            <w:tcW w:w="985"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1</w:t>
            </w:r>
          </w:p>
        </w:tc>
        <w:tc>
          <w:tcPr>
            <w:tcW w:w="3485" w:type="dxa"/>
          </w:tcPr>
          <w:p>
            <w:pPr>
              <w:spacing w:line="560" w:lineRule="exact"/>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廊坊市广阳区人民法院</w:t>
            </w:r>
          </w:p>
        </w:tc>
        <w:tc>
          <w:tcPr>
            <w:tcW w:w="2445"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行政单位</w:t>
            </w:r>
          </w:p>
        </w:tc>
        <w:tc>
          <w:tcPr>
            <w:tcW w:w="2665"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财政拨款</w:t>
            </w:r>
          </w:p>
        </w:tc>
      </w:tr>
      <w:tr>
        <w:trPr>
          <w:trHeight w:val="606"/>
        </w:trPr>
        <w:tc>
          <w:tcPr>
            <w:tcW w:w="9580" w:type="dxa"/>
            <w:gridSpan w:val="4"/>
            <w:tcBorders>
              <w:top w:val="single" w:sz="4" w:space="0" w:color="auto"/>
              <w:left w:val="nil"/>
              <w:bottom w:val="nil"/>
              <w:right w:val="nil"/>
            </w:tcBorders>
          </w:tcPr>
          <w:p>
            <w:pPr>
              <w:spacing w:line="560" w:lineRule="exact"/>
              <w:ind w:firstLineChars="200" w:firstLine="560"/>
              <w:jc w:val="left"/>
              <w:rPr>
                <w:rFonts w:ascii="仿宋_GB2312" w:eastAsia="仿宋_GB2312" w:cs="ArialUnicodeMS"/>
                <w:color w:val="000000"/>
                <w:kern w:val="0"/>
                <w:sz w:val="28"/>
                <w:szCs w:val="28"/>
              </w:rPr>
            </w:pPr>
          </w:p>
        </w:tc>
      </w:tr>
    </w:tbl>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9"/>
          <w:footerReference w:type="default" r:id="rId10"/>
          <w:footerReference w:type="first" r:id="rId11"/>
          <w:pgSz w:w="11906" w:h="16838"/>
          <w:pgMar w:top="2041" w:right="1531" w:bottom="2041" w:left="1531" w:header="851" w:footer="992" w:gutter="0"/>
          <w:pgNumType w:fmt="numberInDash" w:start="1"/>
          <w:titlePg/>
          <w:docGrid w:type="lines" w:linePitch="312" w:charSpace="0"/>
        </w:sectPr>
      </w:pPr>
    </w:p>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13"/>
          <w:type w:val="continuous"/>
          <w:pgSz w:w="11906" w:h="16838"/>
          <w:pgMar w:top="2041" w:right="1531" w:bottom="2041" w:left="1531" w:header="851" w:footer="992" w:gutter="0"/>
          <w:pgNumType w:fmt="numberInDash"/>
          <w:titlePg/>
          <w:docGrid w:type="lines" w:linePitch="312" w:charSpace="0"/>
        </w:sectPr>
      </w:pPr>
    </w:p>
    <w:p>
      <w:pPr>
        <w:widowControl/>
        <w:spacing w:after="160" w:line="580" w:lineRule="exact"/>
        <w:ind w:firstLineChars="200" w:firstLine="1440"/>
        <w:rPr>
          <w:rFonts w:ascii="Times New Roman" w:eastAsia="黑体" w:cs="Times New Roman" w:hAnsi="Times New Roman"/>
          <w:color w:val="000000"/>
          <w:sz w:val="32"/>
          <w:szCs w:val="32"/>
        </w:rPr>
        <w:sectPr>
          <w:pgSz w:w="11906" w:h="16838"/>
          <w:pgMar w:top="2041" w:right="1531" w:bottom="2041" w:left="1531" w:header="851" w:footer="992" w:gutter="0"/>
          <w:pgNumType w:fmt="numberInDash"/>
          <w:titlePg/>
          <w:docGrid w:type="lines" w:linePitch="312" w:charSpace="0"/>
        </w:sectPr>
      </w:pPr>
      <w:r>
        <w:rPr>
          <w:color w:val="000000"/>
          <w:sz w:val="72"/>
        </w:rPr>
        <mc:AlternateContent>
          <mc:Choice Requires="wps">
            <w:drawing>
              <wp:anchor distT="0" distB="0" distL="114298" distR="114298" simplePos="0" relativeHeight="42" behindDoc="0" locked="0" layoutInCell="1" hidden="0" allowOverlap="1">
                <wp:simplePos x="0" y="0"/>
                <wp:positionH relativeFrom="column">
                  <wp:posOffset>-1088390</wp:posOffset>
                </wp:positionH>
                <wp:positionV relativeFrom="paragraph">
                  <wp:posOffset>3023870</wp:posOffset>
                </wp:positionV>
                <wp:extent cx="7793355" cy="2200275"/>
                <wp:effectExtent l="0" t="0" r="0" b="0"/>
                <wp:wrapNone/>
                <wp:docPr id="47" name="矩形"/>
                <wp:cNvGraphicFramePr>
                  <a:graphicFrameLocks noChangeAspect="0"/>
                </wp:cNvGraphicFramePr>
                <a:graphic>
                  <a:graphicData uri="http://schemas.microsoft.com/office/word/2010/wordprocessingShape">
                    <wps:wsp>
                      <wps:cNvSpPr/>
                      <wps:spPr>
                        <a:xfrm rot="0">
                          <a:off x="0" y="0"/>
                          <a:ext cx="7793355" cy="2200275"/>
                        </a:xfrm>
                        <a:prstGeom prst="rect"/>
                        <a:noFill/>
                        <a:ln w="9525" cmpd="sng" cap="flat">
                          <a:noFill/>
                          <a:prstDash val="solid"/>
                          <a:miter/>
                        </a:ln>
                      </wps:spPr>
                      <wps:txbx id="48">
                        <w:txbxContent>
                          <w:p>
                            <w:pPr>
                              <w:widowControl/>
                              <w:jc w:val="center"/>
                              <w:rPr>
                                <w:rFonts w:ascii="黑体" w:eastAsia="黑体" w:cs="黑体"/>
                                <w:color w:val="000000"/>
                                <w:sz w:val="96"/>
                                <w:szCs w:val="96"/>
                              </w:rPr>
                            </w:pPr>
                            <w:r>
                              <w:rPr>
                                <w:rFonts w:ascii="黑体" w:eastAsia="黑体" w:cs="黑体" w:hint="eastAsia"/>
                                <w:color w:val="000000"/>
                                <w:sz w:val="96"/>
                                <w:szCs w:val="96"/>
                              </w:rPr>
                              <w:t xml:space="preserve"> </w:t>
                            </w:r>
                          </w:p>
                          <w:p>
                            <w:pPr>
                              <w:widowControl/>
                              <w:jc w:val="center"/>
                              <w:rPr>
                                <w:rFonts w:ascii="黑体" w:eastAsia="黑体" w:cs="黑体"/>
                                <w:color w:val="000000"/>
                                <w:sz w:val="96"/>
                                <w:szCs w:val="96"/>
                              </w:rPr>
                            </w:pPr>
                          </w:p>
                        </w:txbxContent>
                      </wps:txbx>
                      <wps:bodyPr vert="horz" wrap="square" lIns="91440" tIns="45720" rIns="91440" bIns="45720" anchor="t" anchorCtr="0" upright="1">
                        <a:noAutofit/>
                      </wps:bodyPr>
                    </wps:wsp>
                  </a:graphicData>
                </a:graphic>
              </wp:anchor>
            </w:drawing>
          </mc:Choice>
          <mc:Fallback>
            <w:pict>
              <v:rect type="#_x0000_t1" id="矩形 49" o:spid="_x0000_s49" filled="f" stroked="f" style="position:absolute;margin-left:-85.7pt;margin-top:238.09999pt;width:613.65pt;height:173.25002pt;z-index:42;mso-position-horizontal:absolute;mso-position-vertical:absolute;mso-wrap-distance-left:8.999863pt;mso-wrap-distance-right:8.999863pt;mso-wrap-style:square;">
                <v:stroke color="#000000"/>
                <v:textbox id="864" inset="2.54mm,1.27mm,2.54mm,1.27mm" o:insetmode="custom" style="layout-flow:horizontal;v-text-anchor:top;">
                  <w:txbxContent>
                    <w:p>
                      <w:pPr>
                        <w:widowControl/>
                        <w:jc w:val="center"/>
                        <w:rPr>
                          <w:rFonts w:ascii="黑体" w:eastAsia="黑体" w:cs="黑体"/>
                          <w:color w:val="000000"/>
                          <w:sz w:val="96"/>
                          <w:szCs w:val="96"/>
                        </w:rPr>
                      </w:pPr>
                      <w:r>
                        <w:rPr>
                          <w:rFonts w:ascii="黑体" w:eastAsia="黑体" w:cs="黑体" w:hint="eastAsia"/>
                          <w:color w:val="000000"/>
                          <w:sz w:val="96"/>
                          <w:szCs w:val="96"/>
                        </w:rPr>
                        <w:t xml:space="preserve"> </w:t>
                      </w:r>
                    </w:p>
                    <w:p>
                      <w:pPr>
                        <w:widowControl/>
                        <w:jc w:val="center"/>
                        <w:rPr>
                          <w:rFonts w:ascii="黑体" w:eastAsia="黑体" w:cs="黑体"/>
                          <w:color w:val="000000"/>
                          <w:sz w:val="96"/>
                          <w:szCs w:val="96"/>
                        </w:rPr>
                      </w:pPr>
                    </w:p>
                  </w:txbxContent>
                </v:textbox>
              </v:rect>
            </w:pict>
          </mc:Fallback>
        </mc:AlternateContent>
      </w:r>
    </w:p>
    <w:p>
      <w:pPr>
        <w:widowControl/>
        <w:spacing w:line="580" w:lineRule="exact"/>
        <w:ind w:firstLineChars="200" w:firstLine="640"/>
        <w:rPr>
          <w:rFonts w:eastAsia="黑体"/>
          <w:color w:val="000000"/>
          <w:sz w:val="32"/>
          <w:szCs w:val="3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r>
        <w:rPr>
          <w:color w:val="000000"/>
          <w:sz w:val="72"/>
        </w:rPr>
        <mc:AlternateContent>
          <mc:Choice Requires="wps">
            <w:drawing>
              <wp:anchor distT="0" distB="0" distL="114298" distR="114298" simplePos="0" relativeHeight="43" behindDoc="0" locked="0" layoutInCell="1" hidden="0" allowOverlap="1">
                <wp:simplePos x="0" y="0"/>
                <wp:positionH relativeFrom="column">
                  <wp:posOffset>-1153160</wp:posOffset>
                </wp:positionH>
                <wp:positionV relativeFrom="paragraph">
                  <wp:posOffset>55245</wp:posOffset>
                </wp:positionV>
                <wp:extent cx="7793355" cy="3341370"/>
                <wp:effectExtent l="0" t="0" r="0" b="0"/>
                <wp:wrapNone/>
                <wp:docPr id="50" name="矩形"/>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51">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txbxContent>
                      </wps:txbx>
                      <wps:bodyPr vert="horz" wrap="square" lIns="91440" tIns="45720" rIns="91440" bIns="45720" anchor="ctr" anchorCtr="0" upright="1">
                        <a:noAutofit/>
                      </wps:bodyPr>
                    </wps:wsp>
                  </a:graphicData>
                </a:graphic>
              </wp:anchor>
            </w:drawing>
          </mc:Choice>
          <mc:Fallback>
            <w:pict>
              <v:rect type="#_x0000_t1" id="矩形 52" o:spid="_x0000_s52" fillcolor="#FFD966" stroked="t" strokeweight="0.5pt" style="position:absolute;margin-left:-90.8pt;margin-top:4.35pt;width:613.64996pt;height:263.1pt;z-index:43;mso-position-horizontal:absolute;mso-position-vertical:absolute;mso-wrap-distance-left:8.999863pt;mso-wrap-distance-right:8.999863pt;mso-wrap-style:square;">
                <v:fill r:id="rId14" o:title="5%" color2="#FFFFFF" type="pattern"/>
                <v:stroke color="#FFD966"/>
                <v:textbox id="865"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txbxContent>
                </v:textbox>
              </v:rect>
            </w:pict>
          </mc:Fallback>
        </mc:AlternateContent>
      </w: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本部门2019年度收支总计（含结转和结余）3725.63万元。与2018年度决算相比，收支各减少1097.14万元，下降22.8%，主要原因是</w:t>
      </w:r>
      <w:r>
        <w:rPr>
          <w:rFonts w:ascii="仿宋_GB2312" w:eastAsia="仿宋_GB2312" w:cs="DengXian-Regular" w:hint="eastAsia"/>
          <w:sz w:val="32"/>
          <w:szCs w:val="32"/>
        </w:rPr>
        <w:t>2018年度用于偿还审判楼基建款的结转结余资金较多。</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pPr>
        <w:adjustRightInd w:val="0"/>
        <w:snapToGrid w:val="0"/>
        <w:spacing w:line="580" w:lineRule="exact"/>
        <w:ind w:firstLineChars="200" w:firstLine="640"/>
        <w:rPr>
          <w:rFonts w:ascii="黑体" w:eastAsia="黑体" w:cs="Times New Roman"/>
          <w:b/>
          <w:bCs/>
          <w:color w:val="000000"/>
          <w:sz w:val="32"/>
          <w:szCs w:val="32"/>
        </w:rPr>
      </w:pPr>
      <w:r>
        <w:rPr>
          <w:rFonts w:ascii="仿宋_GB2312" w:eastAsia="仿宋_GB2312" w:cs="DengXian-Regular" w:hint="eastAsia"/>
          <w:color w:val="000000"/>
          <w:sz w:val="32"/>
          <w:szCs w:val="32"/>
        </w:rPr>
        <w:t>本部门2019年度本年收入合计3662.19万元，其中：财政拨款收入3545.38万元，占96.8%；事业收入0万元，占0%；经营收入0万元，占0%；其他收入116.81万元，占3.2%。</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pPr>
        <w:keepNext/>
        <w:keepLines/>
        <w:widowControl w:val="0"/>
        <w:snapToGrid w:val="0"/>
        <w:spacing w:line="580" w:lineRule="exact"/>
        <w:ind w:firstLineChars="200" w:firstLine="640"/>
        <w:outlineLvl w:val="1"/>
        <w:rPr>
          <w:rFonts w:ascii="黑体" w:eastAsia="黑体" w:cs="Times New Roman"/>
          <w:b/>
          <w:bCs/>
          <w:color w:val="000000"/>
          <w:sz w:val="32"/>
          <w:szCs w:val="32"/>
        </w:rPr>
      </w:pPr>
      <w:r>
        <w:rPr>
          <w:rFonts w:ascii="仿宋_GB2312" w:eastAsia="仿宋_GB2312" w:cs="DengXian-Regular" w:hint="eastAsia"/>
          <w:color w:val="000000"/>
          <w:sz w:val="32"/>
          <w:szCs w:val="32"/>
        </w:rPr>
        <w:t>本部门2019年度本年支出合计3672.65万元，其中：基本支出3212.86万元，占87.5%；项目支出459.8万元，占12.5%；经营支出0万元，占0%。</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pPr>
        <w:snapToGrid w:val="0"/>
        <w:spacing w:line="580" w:lineRule="exact"/>
        <w:ind w:firstLineChars="200" w:firstLine="64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（一）财政拨款收支与2018 年度决算对比情况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形成的财政拨款收支均为一般公共预算财政拨款，其中本年收入3662.19万元,比2018年度增加32.49万元，增长0.9%，主要是社会保障和就业支出方面收入增加；本年支出3672.65万元，减少1079.27万元，降低22.7%，主要是</w:t>
      </w:r>
      <w:r>
        <w:rPr>
          <w:rFonts w:ascii="仿宋_GB2312" w:eastAsia="仿宋_GB2312" w:cs="DengXian-Regular" w:hint="eastAsia"/>
          <w:sz w:val="32"/>
          <w:szCs w:val="32"/>
        </w:rPr>
        <w:t>减少了用于偿还审判楼基建款的结转结余资金支出</w:t>
      </w:r>
      <w:r>
        <w:rPr>
          <w:rFonts w:ascii="仿宋_GB2312" w:eastAsia="仿宋_GB2312" w:cs="DengXian-Regular" w:hint="eastAsia"/>
          <w:color w:val="000000"/>
          <w:sz w:val="32"/>
          <w:szCs w:val="32"/>
        </w:rPr>
        <w:t>。</w:t>
      </w:r>
    </w:p>
    <w:p>
      <w:pPr>
        <w:snapToGrid w:val="0"/>
        <w:spacing w:line="580" w:lineRule="exact"/>
        <w:ind w:firstLineChars="200" w:firstLine="640"/>
        <w:rPr>
          <w:rFonts w:ascii="仿宋_GB2312" w:eastAsia="仿宋_GB2312" w:cs="DengXian-Regular"/>
          <w:color w:val="000000"/>
          <w:sz w:val="32"/>
          <w:szCs w:val="32"/>
          <w:highlight w:val="yellow"/>
        </w:rPr>
      </w:pPr>
      <w:r>
        <w:rPr>
          <w:rFonts w:ascii="楷体_GB2312" w:eastAsia="楷体_GB2312" w:cs="DengXian-Bold" w:hint="eastAsia"/>
          <w:b/>
          <w:bCs/>
          <w:color w:val="000000"/>
          <w:sz w:val="32"/>
          <w:szCs w:val="32"/>
        </w:rPr>
        <w:t>（二）财政拨款收支与年初预算数对比情况</w:t>
      </w:r>
    </w:p>
    <w:p>
      <w:pPr>
        <w:adjustRightInd w:val="0"/>
        <w:snapToGrid w:val="0"/>
        <w:spacing w:line="580" w:lineRule="exact"/>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2019年度一般公共预算财政拨款收入3545.38万元，完成年初预算的1.3%,比年初预算增加733.22万元，决算数大于预算数主要原因是社会保障和就业支出、项目支出方面收入、其他收入增加；本年支出3557.72万元，完成年初预算的1.3%,比年初预算增加745.56万元，决算数大于预算数主要原因是主要是社会保障和就业支出、项目支出、其他支出（用于购置空气源低温模块机组）经费增加。</w:t>
      </w:r>
    </w:p>
    <w:p>
      <w:pPr>
        <w:numPr>
          <w:ilvl w:val="0"/>
          <w:numId w:val="1"/>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2019 年度财政拨款支出3557.72万元，主要用于以下方面：一般公共服务（类）支出0万元，占0%，；公共安全（类）支出3076.91万元，占86.5%；教育（类）支出0万元，占0%；科学技术（类）支出0万元，占0%；社会保障和就业（类）支出 351.38万元，占9.9%；卫生健康（类）支出48.48万元，占1.3%；住房保障（类）支出80.96万元，占2.3%。</w:t>
      </w:r>
    </w:p>
    <w:p>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2019 年度财政拨款基本支出3186.57万元，其中：人员经费 2267.95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918.62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 经费支出决算情况说明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三公”经费支出共计32.94万元，完成预算的88.7%,较预算减少4.21万元，降低11.3%，主要是我部门认真贯彻落实中央、省、市、区关于厉行节约的各项要求，进一步从严控制、节约“三公”经费开支；较2018年度减少20.95万元，降低38.9%，主要是我部门加强“三公”经费管理，削减、节约“三公”经费开支，此外，</w:t>
      </w:r>
      <w:r>
        <w:rPr>
          <w:rFonts w:ascii="仿宋_GB2312" w:eastAsia="仿宋_GB2312" w:cs="DengXian-Regular" w:hint="eastAsia"/>
          <w:sz w:val="32"/>
          <w:szCs w:val="32"/>
        </w:rPr>
        <w:t>2018年度是“基本解决执行难”攻坚决战阶段，解决执行难任务重，使用公车出差任务繁重</w:t>
      </w:r>
      <w:r>
        <w:rPr>
          <w:rFonts w:ascii="仿宋_GB2312" w:eastAsia="仿宋_GB2312" w:cs="DengXian-Regular" w:hint="eastAsia"/>
          <w:color w:val="000000"/>
          <w:sz w:val="32"/>
          <w:szCs w:val="32"/>
        </w:rPr>
        <w:t>。具体情况如下：</w:t>
      </w:r>
    </w:p>
    <w:p>
      <w:pPr>
        <w:adjustRightInd w:val="0"/>
        <w:snapToGrid w:val="0"/>
        <w:spacing w:line="580" w:lineRule="exact"/>
        <w:ind w:firstLineChars="200" w:firstLine="640"/>
        <w:rPr>
          <w:rFonts w:ascii="仿宋_GB2312" w:eastAsia="仿宋_GB2312" w:cs="DengXian-Regular"/>
          <w:color w:val="000000"/>
          <w:sz w:val="32"/>
          <w:szCs w:val="32"/>
        </w:rPr>
      </w:pPr>
      <w:r>
        <w:rPr>
          <w:rFonts w:ascii="楷体_GB2312" w:eastAsia="楷体_GB2312" w:cs="DengXian-Bold" w:hint="eastAsia"/>
          <w:b/>
          <w:bCs/>
          <w:color w:val="000000"/>
          <w:sz w:val="32"/>
          <w:szCs w:val="32"/>
        </w:rPr>
        <w:t>（一）因公出国（境）费支出0万元。</w:t>
      </w:r>
      <w:r>
        <w:rPr>
          <w:rFonts w:ascii="仿宋_GB2312" w:eastAsia="仿宋_GB2312" w:cs="DengXian-Regular" w:hint="eastAsia"/>
          <w:color w:val="000000"/>
          <w:sz w:val="32"/>
          <w:szCs w:val="32"/>
        </w:rPr>
        <w:t>本部门2019年度因公出国（境）团组0个、共0人，参加其他单位组织的因公出国（境）团组0个、共0人，无本单位组织的出国（境）团组。因公出国（境）费支出较预算持平,主要是2019年度未发生因公出国（境）费支出；与2018年度决算支出持平,主要是2018和2019年度均未发生因公出国（境）费支出。</w:t>
      </w:r>
    </w:p>
    <w:p>
      <w:pPr>
        <w:adjustRightInd w:val="0"/>
        <w:snapToGrid w:val="0"/>
        <w:spacing w:line="580" w:lineRule="exact"/>
        <w:ind w:firstLineChars="200" w:firstLine="640"/>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（二）公务用车购置及运行维护费支出32.94万元。</w:t>
      </w:r>
      <w:r>
        <w:rPr>
          <w:rFonts w:ascii="仿宋_GB2312" w:eastAsia="仿宋_GB2312" w:cs="DengXian-Regular" w:hint="eastAsia"/>
          <w:color w:val="000000"/>
          <w:sz w:val="32"/>
          <w:szCs w:val="32"/>
        </w:rPr>
        <w:t>本部门2019年度公务用车购置及运行维护费较预算减少4.21万元，降低11.3%,主要是我部门认真贯彻落实中央、省、市、区关于厉行节约的各项要求，进一步从严控制、节约“三公”经费开支；较上年减少20.95万元，降低38.9%,主要是我部门加强“三公”经费管理，削减、节约“三公”经费开支，此外，</w:t>
      </w:r>
      <w:r>
        <w:rPr>
          <w:rFonts w:ascii="仿宋_GB2312" w:eastAsia="仿宋_GB2312" w:cs="DengXian-Regular" w:hint="eastAsia"/>
          <w:sz w:val="32"/>
          <w:szCs w:val="32"/>
        </w:rPr>
        <w:t>2018年度是“基本解决执行难”攻坚决战阶段，解决执行难任务重，使用公车出差任务繁重</w:t>
      </w:r>
      <w:r>
        <w:rPr>
          <w:rFonts w:ascii="仿宋_GB2312" w:eastAsia="仿宋_GB2312" w:cs="DengXian-Regular" w:hint="eastAsia"/>
          <w:color w:val="000000"/>
          <w:sz w:val="32"/>
          <w:szCs w:val="32"/>
        </w:rPr>
        <w:t>。</w:t>
      </w:r>
      <w:r>
        <w:rPr>
          <w:rFonts w:ascii="仿宋_GB2312" w:eastAsia="仿宋_GB2312" w:cs="DengXian-Bold" w:hint="eastAsia"/>
          <w:b/>
          <w:bCs/>
          <w:color w:val="000000"/>
          <w:sz w:val="32"/>
          <w:szCs w:val="32"/>
        </w:rPr>
        <w:t>其中：</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2019年度公务用车购置量0辆，发生“公务用车购置”经费支出0万元。公务用车购置费支出与年初预算持平,主要是2019年度未发生公务用车购置费支出；与2018年度决算支出持平,主要是2018和2019年度均未发生公务用车购置费支出。</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2019年度单位公务用车保有量16辆。公车运行维护费支出较预算减少4.21万元，降低11.3%,主要是我部门认真贯彻落实中央、省、市、区关于厉行节约的各项要求，进一步从严控制、节约“三公”经费开支；较上年增加减少20.95万元，降低38.9%，主要是我部门加强“三公”经费管理，削减、节约“三公”经费开支，此外，</w:t>
      </w:r>
      <w:r>
        <w:rPr>
          <w:rFonts w:ascii="仿宋_GB2312" w:eastAsia="仿宋_GB2312" w:cs="DengXian-Regular" w:hint="eastAsia"/>
          <w:sz w:val="32"/>
          <w:szCs w:val="32"/>
        </w:rPr>
        <w:t>2018年度是“基本解决执行难”攻坚决战阶段，解决执行难任务重，使用公车出差任务繁重</w:t>
      </w:r>
      <w:r>
        <w:rPr>
          <w:rFonts w:ascii="仿宋_GB2312" w:eastAsia="仿宋_GB2312" w:cs="DengXian-Regular" w:hint="eastAsia"/>
          <w:color w:val="000000"/>
          <w:sz w:val="32"/>
          <w:szCs w:val="32"/>
        </w:rPr>
        <w:t>。</w:t>
      </w:r>
    </w:p>
    <w:p>
      <w:pPr>
        <w:adjustRightInd w:val="0"/>
        <w:snapToGrid w:val="0"/>
        <w:spacing w:line="580" w:lineRule="exact"/>
        <w:ind w:firstLineChars="200" w:firstLine="640"/>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（三）公务接待费支出0万元。</w:t>
      </w:r>
      <w:r>
        <w:rPr>
          <w:rFonts w:ascii="仿宋_GB2312" w:eastAsia="仿宋_GB2312" w:cs="DengXian-Regular" w:hint="eastAsia"/>
          <w:color w:val="000000"/>
          <w:sz w:val="32"/>
          <w:szCs w:val="32"/>
        </w:rPr>
        <w:t>本部门2019年度公务接待共0批次、0人次。公务接待费支出与年初预算持平,主要是2019年度未发生公务接待费支出；与2018年度决算支出持平,主要是2018和2019年度均未发生公务接待费支出。</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本部门2019年度机关运行经费支出918.62万元，比2018年度增加200.82万元，增长28.0%。主要原因是购置审判设备经费支出、聘任制司法辅助人员经费等支出增加。</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本部门2019年度政府采购支出总额209.56万元，从采购类型来看，</w:t>
      </w:r>
      <w:r>
        <w:rPr>
          <w:rFonts w:ascii="仿宋_GB2312" w:eastAsia="仿宋_GB2312" w:cs="仿宋_GB2312"/>
          <w:color w:val="000000"/>
          <w:kern w:val="0"/>
          <w:sz w:val="32"/>
          <w:szCs w:val="32"/>
        </w:rPr>
        <w:t>政府采购货物支出</w:t>
      </w:r>
      <w:r>
        <w:rPr>
          <w:rFonts w:ascii="仿宋_GB2312" w:eastAsia="仿宋_GB2312" w:cs="仿宋_GB2312" w:hint="eastAsia"/>
          <w:color w:val="000000"/>
          <w:kern w:val="0"/>
          <w:sz w:val="32"/>
          <w:szCs w:val="32"/>
        </w:rPr>
        <w:t>73.68</w:t>
      </w:r>
      <w:r>
        <w:rPr>
          <w:rFonts w:ascii="仿宋_GB2312" w:eastAsia="仿宋_GB2312" w:cs="仿宋_GB2312"/>
          <w:color w:val="000000"/>
          <w:kern w:val="0"/>
          <w:sz w:val="32"/>
          <w:szCs w:val="32"/>
        </w:rPr>
        <w:t>万元、政府采购工程支出</w:t>
      </w:r>
      <w:r>
        <w:rPr>
          <w:rFonts w:ascii="仿宋_GB2312" w:eastAsia="仿宋_GB2312" w:cs="仿宋_GB2312" w:hint="eastAsia"/>
          <w:color w:val="000000"/>
          <w:kern w:val="0"/>
          <w:sz w:val="32"/>
          <w:szCs w:val="32"/>
        </w:rPr>
        <w:t>73.46</w:t>
      </w:r>
      <w:r>
        <w:rPr>
          <w:rFonts w:ascii="仿宋_GB2312" w:eastAsia="仿宋_GB2312" w:cs="仿宋_GB2312"/>
          <w:color w:val="000000"/>
          <w:kern w:val="0"/>
          <w:sz w:val="32"/>
          <w:szCs w:val="32"/>
        </w:rPr>
        <w:t xml:space="preserve">万元、政府采购服务支出 </w:t>
      </w:r>
      <w:r>
        <w:rPr>
          <w:rFonts w:ascii="仿宋_GB2312" w:eastAsia="仿宋_GB2312" w:cs="仿宋_GB2312" w:hint="eastAsia"/>
          <w:color w:val="000000"/>
          <w:kern w:val="0"/>
          <w:sz w:val="32"/>
          <w:szCs w:val="32"/>
        </w:rPr>
        <w:t>62.42</w:t>
      </w:r>
      <w:r>
        <w:rPr>
          <w:rFonts w:ascii="仿宋_GB2312" w:eastAsia="仿宋_GB2312" w:cs="仿宋_GB2312"/>
          <w:color w:val="000000"/>
          <w:kern w:val="0"/>
          <w:sz w:val="32"/>
          <w:szCs w:val="32"/>
        </w:rPr>
        <w:t>万元。授予中小企业合同金</w:t>
      </w:r>
      <w:r>
        <w:rPr>
          <w:rFonts w:ascii="仿宋_GB2312" w:eastAsia="仿宋_GB2312" w:cs="仿宋_GB2312" w:hint="eastAsia"/>
          <w:color w:val="000000"/>
          <w:kern w:val="0"/>
          <w:sz w:val="32"/>
          <w:szCs w:val="32"/>
        </w:rPr>
        <w:t>138.72</w:t>
      </w:r>
      <w:r>
        <w:rPr>
          <w:rFonts w:ascii="仿宋_GB2312" w:eastAsia="仿宋_GB2312" w:cs="仿宋_GB2312"/>
          <w:color w:val="000000"/>
          <w:kern w:val="0"/>
          <w:sz w:val="32"/>
          <w:szCs w:val="32"/>
        </w:rPr>
        <w:t>万元，占政府采购支出总额的</w:t>
      </w:r>
      <w:r>
        <w:rPr>
          <w:rFonts w:ascii="仿宋_GB2312" w:eastAsia="仿宋_GB2312" w:cs="仿宋_GB2312" w:hint="eastAsia"/>
          <w:color w:val="000000"/>
          <w:kern w:val="0"/>
          <w:sz w:val="32"/>
          <w:szCs w:val="32"/>
        </w:rPr>
        <w:t>66.2%，</w:t>
      </w:r>
      <w:r>
        <w:rPr>
          <w:rFonts w:ascii="仿宋_GB2312" w:eastAsia="仿宋_GB2312" w:cs="仿宋_GB2312"/>
          <w:color w:val="000000"/>
          <w:kern w:val="0"/>
          <w:sz w:val="32"/>
          <w:szCs w:val="32"/>
        </w:rPr>
        <w:t>其中授予小微企业合同金额</w:t>
      </w:r>
      <w:r>
        <w:rPr>
          <w:rFonts w:ascii="仿宋_GB2312" w:eastAsia="仿宋_GB2312" w:cs="仿宋_GB2312" w:hint="eastAsia"/>
          <w:color w:val="000000"/>
          <w:kern w:val="0"/>
          <w:sz w:val="32"/>
          <w:szCs w:val="32"/>
        </w:rPr>
        <w:t>103.24</w:t>
      </w:r>
      <w:r>
        <w:rPr>
          <w:rFonts w:ascii="仿宋_GB2312" w:eastAsia="仿宋_GB2312" w:cs="仿宋_GB2312"/>
          <w:color w:val="000000"/>
          <w:kern w:val="0"/>
          <w:sz w:val="32"/>
          <w:szCs w:val="32"/>
        </w:rPr>
        <w:t xml:space="preserve">万元，占政府采购支出总额的 </w:t>
      </w:r>
      <w:r>
        <w:rPr>
          <w:rFonts w:ascii="仿宋_GB2312" w:eastAsia="仿宋_GB2312" w:cs="仿宋_GB2312" w:hint="eastAsia"/>
          <w:color w:val="000000"/>
          <w:kern w:val="0"/>
          <w:sz w:val="32"/>
          <w:szCs w:val="32"/>
        </w:rPr>
        <w:t>49.3</w:t>
      </w:r>
      <w:r>
        <w:rPr>
          <w:rFonts w:ascii="仿宋_GB2312" w:eastAsia="仿宋_GB2312" w:cs="仿宋_GB2312"/>
          <w:color w:val="000000"/>
          <w:kern w:val="0"/>
          <w:sz w:val="32"/>
          <w:szCs w:val="32"/>
        </w:rPr>
        <w:t>%。</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2019年12月31日，本部门共有车辆16辆，比上年减少1辆，主要是处置了一辆执法执勤用车。其中，副部（省）级及以上领导用车0辆，主要领导干部用车0辆，机要通信用车0辆，应急保障用车2辆，执法执勤用车11辆，特种专业技术用车3辆，离退休干部用车0辆，其他用车0辆；</w:t>
      </w:r>
    </w:p>
    <w:p>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hint="eastAsia"/>
          <w:color w:val="000000"/>
          <w:sz w:val="32"/>
          <w:szCs w:val="32"/>
        </w:rPr>
        <w:t>50</w:t>
      </w:r>
      <w:r>
        <w:rPr>
          <w:rFonts w:ascii="仿宋_GB2312" w:eastAsia="仿宋_GB2312" w:cs="DengXian-Regular" w:hint="eastAsia"/>
          <w:color w:val="000000"/>
          <w:sz w:val="32"/>
          <w:szCs w:val="32"/>
        </w:rPr>
        <w:t>万元以上通用设备0套，</w:t>
      </w:r>
      <w:r>
        <w:rPr>
          <w:rFonts w:ascii="仿宋_GB2312" w:eastAsia="仿宋_GB2312" w:cs="DengXian-Regular" w:hint="eastAsia"/>
          <w:sz w:val="32"/>
          <w:szCs w:val="32"/>
        </w:rPr>
        <w:t>与上年相比无增减变化</w:t>
      </w:r>
      <w:r>
        <w:rPr>
          <w:rFonts w:ascii="仿宋_GB2312" w:eastAsia="仿宋_GB2312" w:cs="DengXian-Regular" w:hint="eastAsia"/>
          <w:color w:val="000000"/>
          <w:sz w:val="32"/>
          <w:szCs w:val="32"/>
        </w:rPr>
        <w:t>，主要是2018年度与2019年度均未发生购买此类通用设备的支出 ，单位价值</w:t>
      </w:r>
      <w:r>
        <w:rPr>
          <w:rFonts w:ascii="仿宋_GB2312" w:eastAsia="仿宋_GB2312" w:cs="TimesNewRomanPSMT" w:hint="eastAsia"/>
          <w:color w:val="000000"/>
          <w:sz w:val="32"/>
          <w:szCs w:val="32"/>
        </w:rPr>
        <w:t>100</w:t>
      </w:r>
      <w:r>
        <w:rPr>
          <w:rFonts w:ascii="仿宋_GB2312" w:eastAsia="仿宋_GB2312" w:cs="DengXian-Regular" w:hint="eastAsia"/>
          <w:color w:val="000000"/>
          <w:sz w:val="32"/>
          <w:szCs w:val="32"/>
        </w:rPr>
        <w:t>万元以上专用设备0台（套）,</w:t>
      </w:r>
      <w:r>
        <w:rPr>
          <w:rFonts w:ascii="仿宋_GB2312" w:eastAsia="仿宋_GB2312" w:cs="DengXian-Regular" w:hint="eastAsia"/>
          <w:sz w:val="32"/>
          <w:szCs w:val="32"/>
        </w:rPr>
        <w:t>与上年相比无增减变化</w:t>
      </w:r>
      <w:r>
        <w:rPr>
          <w:rFonts w:ascii="仿宋_GB2312" w:eastAsia="仿宋_GB2312" w:cs="DengXian-Regular" w:hint="eastAsia"/>
          <w:color w:val="000000"/>
          <w:sz w:val="32"/>
          <w:szCs w:val="32"/>
        </w:rPr>
        <w:t>，主要是2018年度与2019年度均未发生购买此类专用设备的支出。</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1. 本部门2019年度政府性基金预算财政拨款和国有资本经营预算财政拨款无收支及结转结余情况，故政府性基金预算财政拨款和国有资本经营预算财政拨款表以空表列示。</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Chars="200" w:firstLine="880"/>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docGrid w:type="lines" w:linePitch="312" w:charSpace="0"/>
        </w:sectPr>
      </w:pPr>
    </w:p>
    <w:p>
      <w:pPr>
        <w:jc w:val="center"/>
        <w:rPr>
          <w:rFonts w:ascii="黑体" w:eastAsia="黑体" w:cs="黑体"/>
          <w:color w:val="000000"/>
          <w:sz w:val="56"/>
          <w:szCs w:val="72"/>
        </w:rPr>
      </w:pPr>
    </w:p>
    <w:p>
      <w:pPr>
        <w:jc w:val="center"/>
        <w:rPr>
          <w:rFonts w:ascii="黑体" w:eastAsia="黑体" w:cs="黑体"/>
          <w:color w:val="000000"/>
          <w:sz w:val="56"/>
          <w:szCs w:val="72"/>
        </w:rPr>
        <w:sectPr>
          <w:type w:val="continuous"/>
          <w:pgSz w:w="11906" w:h="16838"/>
          <w:pgMar w:top="2041" w:right="1531" w:bottom="2041" w:left="1531" w:header="851" w:footer="992" w:gutter="0"/>
          <w:pgNumType w:fmt="numberInDash"/>
          <w:titlePg/>
          <w:docGrid w:type="lines" w:linePitch="312" w:charSpace="0"/>
        </w:sectPr>
      </w:pPr>
    </w:p>
    <w:p>
      <w:pPr>
        <w:rPr>
          <w:rFonts w:ascii="黑体" w:eastAsia="黑体" w:cs="黑体"/>
          <w:color w:val="000000"/>
          <w:sz w:val="56"/>
          <w:szCs w:val="72"/>
        </w:rPr>
        <w:sectPr>
          <w:headerReference w:type="default" r:id="rId15"/>
          <w:headerReference w:type="first" r:id="rId16"/>
          <w:footerReference w:type="default" r:id="rId17"/>
          <w:footerReference w:type="first" r:id="rId18"/>
          <w:type w:val="continuous"/>
          <w:pgSz w:w="11906" w:h="16838"/>
          <w:pgMar w:top="2041" w:right="1531" w:bottom="2041" w:left="1531" w:header="851" w:footer="992" w:gutter="0"/>
          <w:pgNumType w:fmt="numberInDash"/>
          <w:titlePg/>
          <w:docGrid w:type="lines" w:linePitch="312" w:charSpace="0"/>
        </w:sectPr>
      </w:pPr>
      <w:r>
        <w:rPr>
          <w:rFonts w:ascii="黑体" w:eastAsia="黑体" w:cs="黑体"/>
          <w:color w:val="000000"/>
          <w:sz w:val="56"/>
          <w:szCs w:val="72"/>
        </w:rPr>
        <w:br w:type="page"/>
      </w: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sz w:val="72"/>
        </w:rPr>
        <mc:AlternateContent>
          <mc:Choice Requires="wps">
            <w:drawing>
              <wp:anchor distT="0" distB="0" distL="114298" distR="114298" simplePos="0" relativeHeight="44" behindDoc="0" locked="0" layoutInCell="1" hidden="0" allowOverlap="1">
                <wp:simplePos x="0" y="0"/>
                <wp:positionH relativeFrom="column">
                  <wp:posOffset>-1021715</wp:posOffset>
                </wp:positionH>
                <wp:positionV relativeFrom="paragraph">
                  <wp:posOffset>441960</wp:posOffset>
                </wp:positionV>
                <wp:extent cx="7793355" cy="3341370"/>
                <wp:effectExtent l="0" t="0" r="0" b="0"/>
                <wp:wrapNone/>
                <wp:docPr id="90" name="矩形"/>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91">
                        <w:txbxContent>
                          <w:p>
                            <w:pPr>
                              <w:widowControl/>
                              <w:jc w:val="center"/>
                            </w:pPr>
                            <w:r>
                              <w:rPr>
                                <w:rFonts w:ascii="黑体" w:eastAsia="黑体" w:cs="黑体" w:hint="eastAsia"/>
                                <w:color w:val="000000"/>
                                <w:sz w:val="90"/>
                                <w:szCs w:val="90"/>
                              </w:rPr>
                              <w:t>第三部分 相关名词解释</w:t>
                            </w:r>
                          </w:p>
                        </w:txbxContent>
                      </wps:txbx>
                      <wps:bodyPr vert="horz" wrap="square" lIns="91440" tIns="45720" rIns="91440" bIns="45720" anchor="ctr" anchorCtr="0" upright="1">
                        <a:noAutofit/>
                      </wps:bodyPr>
                    </wps:wsp>
                  </a:graphicData>
                </a:graphic>
              </wp:anchor>
            </w:drawing>
          </mc:Choice>
          <mc:Fallback>
            <w:pict>
              <v:rect type="#_x0000_t1" id="矩形 92" o:spid="_x0000_s92" fillcolor="#FFD966" stroked="t" strokeweight="0.5pt" style="position:absolute;margin-left:-80.45pt;margin-top:34.8pt;width:613.65pt;height:263.1pt;z-index:44;mso-position-horizontal:absolute;mso-position-vertical:absolute;mso-wrap-distance-left:8.999863pt;mso-wrap-distance-right:8.999863pt;mso-wrap-style:square;">
                <v:fill r:id="rId20" o:title="5%" color2="#FFFFFF" type="pattern"/>
                <v:stroke color="#FFD966"/>
                <v:textbox id="866" inset="2.54mm,1.27mm,2.54mm,1.27mm" o:insetmode="custom" style="layout-flow:horizontal;v-text-anchor:middle;">
                  <w:txbxContent>
                    <w:p>
                      <w:pPr>
                        <w:widowControl/>
                        <w:jc w:val="center"/>
                      </w:pPr>
                      <w:r>
                        <w:rPr>
                          <w:rFonts w:ascii="黑体" w:eastAsia="黑体" w:cs="黑体" w:hint="eastAsia"/>
                          <w:color w:val="000000"/>
                          <w:sz w:val="90"/>
                          <w:szCs w:val="90"/>
                        </w:rPr>
                        <w:t>第三部分 相关名词解释</w:t>
                      </w:r>
                    </w:p>
                  </w:txbxContent>
                </v:textbox>
              </v:rect>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86"/>
        </w:tabs>
        <w:jc w:val="left"/>
        <w:rPr>
          <w:color w:val="000000"/>
        </w:rPr>
        <w:sectPr>
          <w:headerReference w:type="first" r:id="rId19"/>
          <w:pgSz w:w="11906" w:h="16838"/>
          <w:pgMar w:top="2041" w:right="1531" w:bottom="2041" w:left="1531" w:header="851" w:footer="992" w:gutter="0"/>
          <w:pgNumType w:fmt="numberInDash"/>
          <w:titlePg/>
          <w:docGrid w:type="lines" w:linePitch="312" w:charSpace="0"/>
        </w:sectPr>
      </w:pP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（十四）公务用车购置：</w:t>
      </w:r>
      <w:r>
        <w:rPr>
          <w:rFonts w:ascii="仿宋_GB2312" w:eastAsia="仿宋_GB2312" w:cs="Times New Roman" w:hint="eastAsia"/>
          <w:color w:val="000000"/>
          <w:kern w:val="0"/>
          <w:sz w:val="32"/>
          <w:szCs w:val="32"/>
        </w:rPr>
        <w:t>填列单位公务用车车辆购置支出（含车辆购置税、牌照费）。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Chars="200" w:firstLine="640"/>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pPr>
        <w:rPr>
          <w:color w:val="000000"/>
        </w:rPr>
      </w:pPr>
    </w:p>
    <w:p>
      <w:pPr>
        <w:rPr>
          <w:color w:val="000000"/>
        </w:rPr>
      </w:pPr>
    </w:p>
    <w:p>
      <w:pPr>
        <w:rPr>
          <w:color w:val="000000"/>
        </w:rPr>
      </w:pPr>
    </w:p>
    <w:p>
      <w:pPr>
        <w:rPr>
          <w:color w:val="000000"/>
        </w:rPr>
      </w:pPr>
    </w:p>
    <w:p>
      <w:pPr>
        <w:tabs>
          <w:tab w:val="left" w:pos="235"/>
        </w:tabs>
        <w:jc w:val="left"/>
        <w:rPr>
          <w:color w:val="000000"/>
        </w:rPr>
      </w:pPr>
    </w:p>
    <w:p>
      <w:pPr>
        <w:tabs>
          <w:tab w:val="left" w:pos="235"/>
        </w:tabs>
        <w:jc w:val="left"/>
        <w:rPr>
          <w:color w:val="000000"/>
        </w:rPr>
        <w:sectPr>
          <w:headerReference w:type="default" r:id="rId21"/>
          <w:pgSz w:w="11906" w:h="16838"/>
          <w:pgMar w:top="2098" w:right="1474" w:bottom="1985" w:left="1588" w:header="851" w:footer="992" w:gutter="0"/>
          <w:pgNumType w:fmt="numberInDash"/>
          <w:docGrid w:type="lines" w:linePitch="312" w:charSpace="0"/>
        </w:sectPr>
      </w:pPr>
    </w:p>
    <w:p>
      <w:pPr>
        <w:rPr>
          <w:color w:val="000000"/>
        </w:rPr>
      </w:pPr>
    </w:p>
    <w:p>
      <w:pPr>
        <w:tabs>
          <w:tab w:val="left" w:pos="235"/>
        </w:tabs>
        <w:jc w:val="left"/>
        <w:rPr>
          <w:color w:val="000000"/>
        </w:rPr>
        <w:sectPr>
          <w:headerReference w:type="default" r:id="rId22"/>
          <w:pgSz w:w="11906" w:h="16838"/>
          <w:pgMar w:top="2098" w:right="1474" w:bottom="1985" w:left="1588" w:header="851" w:footer="992" w:gutter="0"/>
          <w:pgNumType w:fmt="numberInDash"/>
          <w:docGrid w:type="lines" w:linePitch="312" w:charSpace="0"/>
        </w:sectPr>
      </w:pPr>
      <w:r>
        <w:rPr>
          <w:color w:val="000000"/>
          <w:sz w:val="72"/>
        </w:rPr>
        <mc:AlternateContent>
          <mc:Choice Requires="wps">
            <w:drawing>
              <wp:anchor distT="0" distB="0" distL="114298" distR="114298" simplePos="0" relativeHeight="45" behindDoc="0" locked="0" layoutInCell="1" hidden="0" allowOverlap="1">
                <wp:simplePos x="0" y="0"/>
                <wp:positionH relativeFrom="column">
                  <wp:posOffset>-1042035</wp:posOffset>
                </wp:positionH>
                <wp:positionV relativeFrom="paragraph">
                  <wp:posOffset>1420495</wp:posOffset>
                </wp:positionV>
                <wp:extent cx="7793355" cy="3341370"/>
                <wp:effectExtent l="0" t="0" r="0" b="0"/>
                <wp:wrapNone/>
                <wp:docPr id="94" name="矩形"/>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95">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pPr>
                              <w:widowControl/>
                              <w:jc w:val="center"/>
                            </w:pPr>
                            <w:r>
                              <w:rPr>
                                <w:rFonts w:ascii="黑体" w:eastAsia="黑体" w:cs="黑体" w:hint="eastAsia"/>
                                <w:color w:val="000000"/>
                                <w:sz w:val="90"/>
                                <w:szCs w:val="90"/>
                              </w:rPr>
                              <w:t>2019年度部门决算报表</w:t>
                            </w:r>
                          </w:p>
                        </w:txbxContent>
                      </wps:txbx>
                      <wps:bodyPr vert="horz" wrap="square" lIns="91440" tIns="45720" rIns="91440" bIns="45720" anchor="ctr" anchorCtr="0" upright="1">
                        <a:noAutofit/>
                      </wps:bodyPr>
                    </wps:wsp>
                  </a:graphicData>
                </a:graphic>
              </wp:anchor>
            </w:drawing>
          </mc:Choice>
          <mc:Fallback>
            <w:pict>
              <v:rect type="#_x0000_t1" id="矩形 96" o:spid="_x0000_s96" fillcolor="#FFD966" stroked="t" strokeweight="0.5pt" style="position:absolute;margin-left:-82.05pt;margin-top:111.85pt;width:613.65pt;height:263.1pt;z-index:45;mso-position-horizontal:absolute;mso-position-vertical:absolute;mso-wrap-distance-left:8.999863pt;mso-wrap-distance-right:8.999863pt;mso-wrap-style:square;">
                <v:fill r:id="rId23" o:title="5%" color2="#FFFFFF" type="pattern"/>
                <v:stroke color="#FFD966"/>
                <v:textbox id="867"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pPr>
                        <w:widowControl/>
                        <w:jc w:val="center"/>
                      </w:pPr>
                      <w:r>
                        <w:rPr>
                          <w:rFonts w:ascii="黑体" w:eastAsia="黑体" w:cs="黑体" w:hint="eastAsia"/>
                          <w:color w:val="000000"/>
                          <w:sz w:val="90"/>
                          <w:szCs w:val="90"/>
                        </w:rPr>
                        <w:t>2019年度部门决算报表</w:t>
                      </w:r>
                    </w:p>
                  </w:txbxContent>
                </v:textbox>
              </v:rect>
            </w:pict>
          </mc:Fallback>
        </mc:AlternateContent>
      </w:r>
    </w:p>
    <w:tbl>
      <w:tblPr>
        <w:tblpPr w:leftFromText="180" w:rightFromText="180" w:vertAnchor="text" w:horzAnchor="page" w:tblpXSpec="center" w:tblpY="31"/>
        <w:tblOverlap w:val="never"/>
        <w:tblW w:w="9517"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236"/>
        <w:gridCol w:w="731"/>
        <w:gridCol w:w="691"/>
        <w:gridCol w:w="3474"/>
        <w:gridCol w:w="541"/>
        <w:gridCol w:w="844"/>
      </w:tblGrid>
      <w:tr>
        <w:trPr>
          <w:trHeight w:val="489"/>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t>收入支出决算总表</w:t>
            </w:r>
          </w:p>
        </w:tc>
      </w:tr>
      <w:tr>
        <w:trPr>
          <w:trHeight w:val="205"/>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公开01表</w:t>
            </w:r>
          </w:p>
        </w:tc>
      </w:tr>
      <w:tr>
        <w:trPr>
          <w:trHeight w:val="421"/>
        </w:trPr>
        <w:tc>
          <w:tcPr>
            <w:tcW w:w="323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9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284"/>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trPr>
          <w:trHeight w:val="770"/>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tabs>
                <w:tab w:val="left" w:pos="271"/>
                <w:tab w:val="right" w:pos="1001"/>
              </w:tabs>
              <w:jc w:val="left"/>
              <w:textAlignment w:val="center"/>
              <w:rPr>
                <w:rFonts w:ascii="宋体" w:eastAsia="宋体" w:cs="宋体"/>
                <w:color w:val="000000"/>
                <w:sz w:val="22"/>
              </w:rPr>
            </w:pPr>
            <w:r>
              <w:rPr>
                <w:rFonts w:ascii="宋体" w:eastAsia="宋体" w:cs="宋体" w:hint="eastAsia"/>
                <w:color w:val="000000"/>
                <w:kern w:val="0"/>
                <w:sz w:val="22"/>
              </w:rPr>
              <w:t>3545.38</w:t>
              <w:tab/>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90"/>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182"/>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3191.84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116.81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351.38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48.48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80.96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3662.19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3672.65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63.44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52.98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r>
      <w:tr>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69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3725.63　</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hint="eastAsia"/>
                <w:color w:val="000000"/>
                <w:kern w:val="0"/>
                <w:sz w:val="22"/>
              </w:rPr>
              <w:t>3725.63　</w:t>
            </w:r>
          </w:p>
        </w:tc>
      </w:tr>
      <w:tr>
        <w:trPr>
          <w:trHeight w:val="213"/>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pPr>
              <w:widowControl/>
              <w:jc w:val="left"/>
              <w:textAlignment w:val="center"/>
              <w:rPr>
                <w:rFonts w:ascii="宋体" w:eastAsia="宋体" w:cs="宋体"/>
                <w:color w:val="000000"/>
                <w:kern w:val="0"/>
                <w:sz w:val="22"/>
              </w:rPr>
            </w:pPr>
          </w:p>
          <w:p>
            <w:pPr>
              <w:widowControl/>
              <w:jc w:val="left"/>
              <w:textAlignment w:val="center"/>
              <w:rPr>
                <w:rFonts w:ascii="宋体" w:eastAsia="宋体" w:cs="宋体"/>
                <w:color w:val="000000"/>
                <w:kern w:val="0"/>
                <w:sz w:val="22"/>
              </w:rPr>
            </w:pPr>
          </w:p>
        </w:tc>
      </w:tr>
    </w:tbl>
    <w:tbl>
      <w:tblPr>
        <w:jc w:val="center"/>
        <w:tblW w:w="958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690"/>
        <w:gridCol w:w="55"/>
        <w:gridCol w:w="55"/>
        <w:gridCol w:w="3550"/>
        <w:gridCol w:w="812"/>
        <w:gridCol w:w="812"/>
        <w:gridCol w:w="676"/>
        <w:gridCol w:w="676"/>
        <w:gridCol w:w="676"/>
        <w:gridCol w:w="676"/>
        <w:gridCol w:w="901"/>
      </w:tblGrid>
      <w:tr>
        <w:trPr>
          <w:trHeight w:val="670"/>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eastAsia="黑体" w:cs="黑体"/>
                <w:color w:val="000000"/>
                <w:kern w:val="0"/>
                <w:sz w:val="32"/>
                <w:szCs w:val="32"/>
              </w:rPr>
            </w:pPr>
          </w:p>
          <w:p>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trPr>
          <w:trHeight w:val="357"/>
        </w:trPr>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公开02表</w:t>
            </w:r>
          </w:p>
        </w:tc>
      </w:tr>
      <w:tr>
        <w:trPr>
          <w:trHeight w:val="357"/>
        </w:trPr>
        <w:tc>
          <w:tcPr>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85"/>
        </w:trPr>
        <w:tc>
          <w:tcPr>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999"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100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trPr>
          <w:trHeight w:val="380"/>
        </w:trPr>
        <w:tc>
          <w:tcPr>
            <w:tcW w:w="1124"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1124"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1124"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0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85"/>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9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10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r>
      <w:tr>
        <w:trPr>
          <w:trHeight w:val="385"/>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3662.19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3545.38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116.81</w:t>
            </w: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ind w:firstLine="291"/>
              <w:jc w:val="left"/>
              <w:rPr>
                <w:rFonts w:ascii="宋体" w:eastAsia="宋体" w:cs="宋体"/>
                <w:color w:val="000000"/>
                <w:sz w:val="22"/>
              </w:rPr>
            </w:pPr>
            <w:r>
              <w:rPr>
                <w:rFonts w:ascii="宋体" w:eastAsia="宋体" w:cs="宋体" w:hint="eastAsia"/>
                <w:color w:val="000000"/>
                <w:sz w:val="22"/>
              </w:rPr>
              <w:t>204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公共安全支出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3181.81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3065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116.81</w:t>
            </w: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法院</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3181.81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3065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116.81</w:t>
            </w: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2040501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行政运行</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2731.81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2705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26.81</w:t>
            </w: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2040599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其他法院支出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450</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360</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90</w:t>
            </w: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社会保障和就业支出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350.94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350.94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9"/>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行政事业单位离退休</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350.94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350.94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 xml:space="preserve"> 归口管理的行政单位离退休</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213.76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213.76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137.18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137.18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卫生健康支出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行政事业单位医疗</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行政单位医疗</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住房保障支出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住房改革支出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住房公积金</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85"/>
        </w:trPr>
        <w:tc>
          <w:tcPr>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pPr>
        <w:jc w:val="left"/>
        <w:rPr>
          <w:color w:val="000000"/>
        </w:rPr>
      </w:pPr>
    </w:p>
    <w:p>
      <w:pPr>
        <w:rPr>
          <w:color w:val="000000"/>
        </w:rPr>
      </w:pPr>
      <w:r>
        <w:rPr>
          <w:color w:val="000000"/>
        </w:rPr>
        <w:br w:type="page"/>
      </w:r>
    </w:p>
    <w:tbl>
      <w:tblPr>
        <w:jc w:val="center"/>
        <w:tblW w:w="968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rPr>
          <w:trHeight w:val="612"/>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trPr>
          <w:trHeight w:val="313"/>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公开03表</w:t>
            </w:r>
          </w:p>
        </w:tc>
      </w:tr>
      <w:tr>
        <w:trPr>
          <w:trHeight w:val="313"/>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23"/>
        </w:trPr>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trPr>
          <w:trHeight w:val="319"/>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35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3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35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23"/>
        </w:trPr>
        <w:tc>
          <w:tcPr>
            <w:tcW w:w="2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323"/>
        </w:trPr>
        <w:tc>
          <w:tcPr>
            <w:tcW w:w="2464"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3672.65</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3212.86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459.8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rPr>
                <w:rFonts w:ascii="宋体" w:eastAsia="宋体" w:cs="宋体"/>
                <w:b/>
                <w:color w:val="000000"/>
                <w:sz w:val="22"/>
              </w:rPr>
            </w:pPr>
            <w:r>
              <w:rPr>
                <w:rFonts w:ascii="宋体" w:eastAsia="宋体" w:cs="宋体" w:hint="eastAsia"/>
                <w:b/>
                <w:color w:val="000000"/>
                <w:sz w:val="22"/>
              </w:rPr>
              <w:t xml:space="preserve"> </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ordWrap w:val="0"/>
              <w:jc w:val="right"/>
              <w:rPr>
                <w:rFonts w:ascii="宋体" w:eastAsia="宋体" w:cs="宋体"/>
                <w:b/>
                <w:color w:val="000000"/>
                <w:sz w:val="22"/>
              </w:rPr>
            </w:pPr>
            <w:r>
              <w:rPr>
                <w:rFonts w:ascii="宋体" w:eastAsia="宋体" w:cs="宋体" w:hint="eastAsia"/>
                <w:b/>
                <w:color w:val="000000"/>
                <w:sz w:val="22"/>
              </w:rPr>
              <w:t xml:space="preserve">  </w:t>
            </w: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公共安全支出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3191.84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2732.04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459.8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20405</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法院</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3191.84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2732.04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459.8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2040501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行政运行</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2732.04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2732.04</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2040599</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其他法院支出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459.8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459.8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社会保障和就业支出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351.38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351.38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行政事业单位离退休</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351.38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351.38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 xml:space="preserve"> 归口管理的行政单位离退休</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213.76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213.76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2080505</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137.62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137.62</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卫生健康支出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行政事业单位医疗</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 xml:space="preserve"> 行政单位医疗</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住房保障支出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住房改革支出</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2210201</w:t>
            </w:r>
          </w:p>
        </w:tc>
        <w:tc>
          <w:tcPr>
            <w:tcW w:w="135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 xml:space="preserve"> 住房公积金</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pPr>
        <w:rPr>
          <w:color w:val="000000"/>
        </w:rPr>
      </w:pPr>
      <w:r>
        <w:rPr>
          <w:color w:val="000000"/>
        </w:rPr>
        <w:br w:type="page"/>
      </w:r>
    </w:p>
    <w:tbl>
      <w:tblPr>
        <w:jc w:val="center"/>
        <w:tblW w:w="952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922"/>
        <w:gridCol w:w="425"/>
        <w:gridCol w:w="662"/>
        <w:gridCol w:w="2946"/>
        <w:gridCol w:w="507"/>
        <w:gridCol w:w="414"/>
        <w:gridCol w:w="855"/>
        <w:gridCol w:w="789"/>
      </w:tblGrid>
      <w:tr>
        <w:trPr>
          <w:trHeight w:val="406"/>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trPr>
          <w:trHeight w:val="90"/>
        </w:trPr>
        <w:tc>
          <w:tcPr>
            <w:tcW w:w="29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公开04表</w:t>
            </w:r>
          </w:p>
        </w:tc>
      </w:tr>
      <w:tr>
        <w:trPr>
          <w:trHeight w:val="90"/>
        </w:trPr>
        <w:tc>
          <w:tcPr>
            <w:tcW w:w="2922"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90"/>
        </w:trPr>
        <w:tc>
          <w:tcPr>
            <w:tcW w:w="400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     入</w:t>
            </w:r>
          </w:p>
        </w:tc>
        <w:tc>
          <w:tcPr>
            <w:tcW w:w="5511"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     出</w:t>
            </w:r>
          </w:p>
        </w:tc>
      </w:tr>
      <w:tr>
        <w:trPr>
          <w:trHeight w:val="312"/>
        </w:trPr>
        <w:tc>
          <w:tcPr>
            <w:tcW w:w="292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2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6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94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07"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414"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78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trPr>
          <w:trHeight w:val="624"/>
        </w:trPr>
        <w:tc>
          <w:tcPr>
            <w:tcW w:w="292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4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66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9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5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414"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8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8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3545.38</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0</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3076.91</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3076.91</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351.38</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351.38</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Cs w:val="21"/>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3545.38</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3557.72</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3557.72</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63.44</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51.1</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51.1</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63.44</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57</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42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3608.82</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58</w:t>
            </w:r>
          </w:p>
        </w:tc>
        <w:tc>
          <w:tcPr>
            <w:tcW w:w="4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3608.82</w:t>
            </w:r>
          </w:p>
        </w:tc>
        <w:tc>
          <w:tcPr>
            <w:tcW w:w="8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3608.82</w:t>
            </w:r>
          </w:p>
        </w:tc>
        <w:tc>
          <w:tcPr>
            <w:tcW w:w="7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bl>
    <w:p>
      <w:pPr>
        <w:rPr>
          <w:color w:val="000000"/>
        </w:rPr>
      </w:pPr>
      <w:r>
        <w:rPr>
          <w:color w:val="000000"/>
        </w:rPr>
        <w:br w:type="page"/>
      </w:r>
    </w:p>
    <w:tbl>
      <w:tblPr>
        <w:jc w:val="center"/>
        <w:tblW w:w="999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690"/>
        <w:gridCol w:w="55"/>
        <w:gridCol w:w="55"/>
        <w:gridCol w:w="3550"/>
        <w:gridCol w:w="1507"/>
        <w:gridCol w:w="1507"/>
        <w:gridCol w:w="2625"/>
      </w:tblGrid>
      <w:tr>
        <w:trPr>
          <w:trHeight w:val="600"/>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公开05表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249"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312"/>
        </w:trPr>
        <w:tc>
          <w:tcPr>
            <w:tcW w:w="969"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21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21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203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624"/>
        </w:trPr>
        <w:tc>
          <w:tcPr>
            <w:tcW w:w="969"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21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1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03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969"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21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1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03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3557.72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3186.56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r>
              <w:rPr>
                <w:rFonts w:ascii="宋体" w:eastAsia="宋体" w:cs="宋体" w:hint="eastAsia"/>
                <w:b/>
                <w:color w:val="000000"/>
                <w:sz w:val="22"/>
              </w:rPr>
              <w:t>371.16</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公共安全支出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3076.91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2705.75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371.16</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法院</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3076.91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2705.75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371.16</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2040501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行政运行</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2705.75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2705.75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2040599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其他法院支出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371.16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371.16</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社会保障和就业支出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351.38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351.38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行政事业单位离退休</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351.38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351.38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归口管理的行政单位离退休</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213.76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213.76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2080505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137.62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137.62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卫生健康支出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行政事业单位医疗</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2101101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行政单位医疗</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48.48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住房保障支出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住房改革支出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2210201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ascii="宋体" w:eastAsia="宋体" w:cs="宋体" w:hint="eastAsia"/>
                <w:color w:val="000000"/>
                <w:sz w:val="22"/>
              </w:rPr>
              <w:t>住房公积金</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80.96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color w:val="000000"/>
        </w:rPr>
        <w:br w:type="page"/>
      </w:r>
    </w:p>
    <w:tbl>
      <w:tblPr>
        <w:jc w:val="center"/>
        <w:tblW w:w="100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96"/>
        <w:gridCol w:w="371"/>
        <w:gridCol w:w="1561"/>
        <w:gridCol w:w="125"/>
        <w:gridCol w:w="658"/>
        <w:gridCol w:w="655"/>
        <w:gridCol w:w="252"/>
        <w:gridCol w:w="1347"/>
        <w:gridCol w:w="218"/>
        <w:gridCol w:w="550"/>
        <w:gridCol w:w="744"/>
        <w:gridCol w:w="271"/>
        <w:gridCol w:w="1572"/>
        <w:gridCol w:w="48"/>
        <w:gridCol w:w="732"/>
      </w:tblGrid>
      <w:tr>
        <w:trPr>
          <w:trHeight w:val="662"/>
        </w:trPr>
        <w:tc>
          <w:tcPr>
            <w:tcW w:w="10000" w:type="dxa"/>
            <w:gridSpan w:val="1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一般公共预算财政拨款基本支出决算表</w:t>
            </w:r>
          </w:p>
        </w:tc>
      </w:tr>
      <w:tr>
        <w:trPr>
          <w:trHeight w:val="339"/>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932"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公开06表</w:t>
            </w:r>
          </w:p>
        </w:tc>
      </w:tr>
      <w:tr>
        <w:trPr>
          <w:trHeight w:val="339"/>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932"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99"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6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623"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trPr>
          <w:trHeight w:val="362"/>
        </w:trPr>
        <w:tc>
          <w:tcPr>
            <w:tcW w:w="36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10"/>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trPr>
          <w:trHeight w:val="362"/>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624"/>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93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83"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99"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6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891"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2049.38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880.47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基本工资</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295.41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30201</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49.56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津贴补贴</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823.98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30202</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印刷费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2.17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115.53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30203</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咨询费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ascii="宋体" w:eastAsia="宋体" w:cs="宋体" w:hint="eastAsia"/>
                <w:color w:val="000000"/>
                <w:sz w:val="20"/>
                <w:szCs w:val="20"/>
              </w:rPr>
              <w:t>38.15</w:t>
            </w: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30106</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伙食补助费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30204</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手续费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0.03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30107</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绩效工资</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105.3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30205</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水费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4.05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ascii="宋体" w:eastAsia="宋体" w:cs="宋体" w:hint="eastAsia"/>
                <w:color w:val="000000"/>
                <w:sz w:val="20"/>
                <w:szCs w:val="20"/>
              </w:rPr>
              <w:t>31.41</w:t>
            </w: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30108</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机关事业单位基本养老保险缴费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137.62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30206</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电费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37.45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31003</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职业年金缴费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9.24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30207</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邮电费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5.31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31005</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30110</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职工基本医疗保险缴费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48.48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30208</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取暖费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31006</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公务员医疗补助缴费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30209</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物业管理费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74.44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31007</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其他社会保障缴费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60.22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30211</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差旅费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0.49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31008</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住房公积金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80.96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30212</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因公出国（境）费用</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30114</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30213</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维修（护）费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88.6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31010</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30199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其他工资福利支出</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372.65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30214</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租赁费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218.56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30215</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会议费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0.03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离休费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30216</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培训费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5.84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31013</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退休费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公务接待费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退职（役）费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30218</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专用材料费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31021</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30304</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抚恤金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30224</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被装购置费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31022</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30305</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生活补助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218.56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30225</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专用燃料费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31099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ascii="宋体" w:eastAsia="宋体" w:cs="宋体" w:hint="eastAsia"/>
                <w:color w:val="000000"/>
                <w:sz w:val="20"/>
                <w:szCs w:val="20"/>
              </w:rPr>
              <w:t>6.74</w:t>
            </w: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30306</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救济费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30226</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劳务费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289.7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30307</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30227</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委托业务费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14.74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39906</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30308</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助学金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30228</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工会经费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8.42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39907</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奖励金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30229</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福利费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39908</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30310</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个人农业生产补贴</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30231</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公务用车运行维护费</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32.94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39999</w:t>
            </w: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30399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其他对个人和家庭的补助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30239</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其他交通费用</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30240</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税金及附加费用</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30299</w:t>
            </w:r>
          </w:p>
        </w:tc>
        <w:tc>
          <w:tcPr>
            <w:tcW w:w="1599"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其他商品和服务支出</w:t>
            </w:r>
          </w:p>
        </w:tc>
        <w:tc>
          <w:tcPr>
            <w:tcW w:w="768"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266.71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317"/>
        </w:trPr>
        <w:tc>
          <w:tcPr>
            <w:tcW w:w="282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hint="eastAsia"/>
                <w:color w:val="000000"/>
                <w:sz w:val="20"/>
                <w:szCs w:val="20"/>
              </w:rPr>
              <w:t>2267.95</w:t>
            </w:r>
          </w:p>
        </w:tc>
        <w:tc>
          <w:tcPr>
            <w:tcW w:w="5657" w:type="dxa"/>
            <w:gridSpan w:val="9"/>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ascii="宋体" w:eastAsia="宋体" w:cs="宋体" w:hint="eastAsia"/>
                <w:color w:val="000000"/>
                <w:sz w:val="20"/>
                <w:szCs w:val="20"/>
              </w:rPr>
              <w:t>918.62</w:t>
            </w:r>
          </w:p>
        </w:tc>
      </w:tr>
      <w:tr>
        <w:trPr>
          <w:trHeight w:val="638"/>
          <w:gridAfter w:val="2"/>
          <w:wAfter w:w="780" w:type="dxa"/>
        </w:trPr>
        <w:tc>
          <w:tcPr>
            <w:tcW w:w="9220" w:type="dxa"/>
            <w:gridSpan w:val="1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color w:val="000000"/>
              </w:rPr>
              <w:br w:type="page"/>
            </w:r>
            <w:r>
              <w:rPr>
                <w:rFonts w:ascii="黑体" w:eastAsia="黑体" w:cs="黑体" w:hint="eastAsia"/>
                <w:color w:val="000000"/>
                <w:kern w:val="0"/>
                <w:sz w:val="32"/>
                <w:szCs w:val="32"/>
              </w:rPr>
              <w:t>一般公共预算财政拨款“三公”经费支出决算表</w:t>
            </w:r>
          </w:p>
        </w:tc>
      </w:tr>
      <w:tr>
        <w:trPr>
          <w:trHeight w:val="360"/>
          <w:gridAfter w:val="2"/>
          <w:wAfter w:w="780" w:type="dxa"/>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公开07表</w:t>
            </w:r>
          </w:p>
        </w:tc>
      </w:tr>
      <w:tr>
        <w:trPr>
          <w:trHeight w:val="360"/>
          <w:gridAfter w:val="2"/>
          <w:wAfter w:w="780" w:type="dxa"/>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417"/>
          <w:gridAfter w:val="2"/>
          <w:wAfter w:w="780" w:type="dxa"/>
        </w:trPr>
        <w:tc>
          <w:tcPr>
            <w:tcW w:w="9220" w:type="dxa"/>
            <w:gridSpan w:val="13"/>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trPr>
          <w:trHeight w:val="417"/>
          <w:gridAfter w:val="2"/>
          <w:wAfter w:w="780" w:type="dxa"/>
        </w:trPr>
        <w:tc>
          <w:tcPr>
            <w:tcW w:w="1267"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gridAfter w:val="2"/>
          <w:wAfter w:w="780" w:type="dxa"/>
        </w:trPr>
        <w:tc>
          <w:tcPr>
            <w:tcW w:w="1267" w:type="dxa"/>
            <w:gridSpan w:val="2"/>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tc>
        <w:tc>
          <w:tcPr>
            <w:tcW w:w="1686"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tc>
      </w:tr>
      <w:tr>
        <w:trPr>
          <w:trHeight w:val="417"/>
          <w:gridAfter w:val="2"/>
          <w:wAfter w:w="780" w:type="dxa"/>
        </w:trPr>
        <w:tc>
          <w:tcPr>
            <w:tcW w:w="1267"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6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417"/>
          <w:gridAfter w:val="2"/>
          <w:wAfter w:w="780" w:type="dxa"/>
        </w:trPr>
        <w:tc>
          <w:tcPr>
            <w:tcW w:w="1267" w:type="dxa"/>
            <w:gridSpan w:val="2"/>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37.15</w:t>
            </w:r>
          </w:p>
        </w:tc>
        <w:tc>
          <w:tcPr>
            <w:tcW w:w="168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37.15</w:t>
            </w:r>
          </w:p>
        </w:tc>
        <w:tc>
          <w:tcPr>
            <w:tcW w:w="156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37.15</w:t>
            </w:r>
          </w:p>
        </w:tc>
        <w:tc>
          <w:tcPr>
            <w:tcW w:w="157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417"/>
          <w:gridAfter w:val="2"/>
          <w:wAfter w:w="780" w:type="dxa"/>
        </w:trPr>
        <w:tc>
          <w:tcPr>
            <w:tcW w:w="9220" w:type="dxa"/>
            <w:gridSpan w:val="13"/>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417"/>
          <w:gridAfter w:val="2"/>
          <w:wAfter w:w="780" w:type="dxa"/>
        </w:trPr>
        <w:tc>
          <w:tcPr>
            <w:tcW w:w="1267"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gridAfter w:val="2"/>
          <w:wAfter w:w="780" w:type="dxa"/>
        </w:trPr>
        <w:tc>
          <w:tcPr>
            <w:tcW w:w="1267" w:type="dxa"/>
            <w:gridSpan w:val="2"/>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tc>
        <w:tc>
          <w:tcPr>
            <w:tcW w:w="1686"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tc>
      </w:tr>
      <w:tr>
        <w:trPr>
          <w:trHeight w:val="417"/>
          <w:gridAfter w:val="2"/>
          <w:wAfter w:w="780" w:type="dxa"/>
        </w:trPr>
        <w:tc>
          <w:tcPr>
            <w:tcW w:w="1267"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16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156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r>
      <w:tr>
        <w:trPr>
          <w:trHeight w:val="447"/>
          <w:gridAfter w:val="2"/>
          <w:wAfter w:w="780" w:type="dxa"/>
        </w:trPr>
        <w:tc>
          <w:tcPr>
            <w:tcW w:w="1267" w:type="dxa"/>
            <w:gridSpan w:val="2"/>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32.94</w:t>
            </w:r>
          </w:p>
        </w:tc>
        <w:tc>
          <w:tcPr>
            <w:tcW w:w="1686"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32.94</w:t>
            </w:r>
          </w:p>
        </w:tc>
        <w:tc>
          <w:tcPr>
            <w:tcW w:w="1565"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ascii="宋体" w:eastAsia="宋体" w:cs="宋体" w:hint="eastAsia"/>
                <w:color w:val="000000"/>
                <w:sz w:val="22"/>
              </w:rPr>
              <w:t>32.94</w:t>
            </w:r>
          </w:p>
        </w:tc>
        <w:tc>
          <w:tcPr>
            <w:tcW w:w="157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hint="eastAsia"/>
          <w:color w:val="000000"/>
        </w:rPr>
        <w:tab/>
      </w:r>
      <w:r>
        <w:rPr>
          <w:color w:val="000000"/>
        </w:rPr>
        <w:tab/>
        <w:tab/>
        <w:tab/>
        <w:tab/>
        <w:tab/>
        <w:tab/>
        <w:tab/>
        <w:tab/>
        <w:tab/>
        <w:tab/>
        <w:br w:type="page"/>
      </w:r>
    </w:p>
    <w:tbl>
      <w:tblPr>
        <w:jc w:val="center"/>
        <w:tblW w:w="951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777"/>
        <w:gridCol w:w="62"/>
        <w:gridCol w:w="62"/>
        <w:gridCol w:w="910"/>
        <w:gridCol w:w="1064"/>
        <w:gridCol w:w="1064"/>
        <w:gridCol w:w="1064"/>
        <w:gridCol w:w="1064"/>
        <w:gridCol w:w="1064"/>
        <w:gridCol w:w="2382"/>
      </w:tblGrid>
      <w:tr>
        <w:trPr>
          <w:trHeight w:val="780"/>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公开08表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51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trPr>
          <w:trHeight w:val="312"/>
        </w:trPr>
        <w:tc>
          <w:tcPr>
            <w:tcW w:w="99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hint="eastAsia"/>
          <w:color w:val="000000"/>
        </w:rPr>
        <w:t>注：本部门本年度无相关收入收支及结转结余情况，按要求空表列示。</w:t>
      </w:r>
      <w:r>
        <w:rPr>
          <w:color w:val="000000"/>
        </w:rPr>
        <w:br w:type="page"/>
      </w:r>
    </w:p>
    <w:tbl>
      <w:tblPr>
        <w:jc w:val="center"/>
        <w:tblW w:w="991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2492"/>
        <w:gridCol w:w="198"/>
        <w:gridCol w:w="198"/>
        <w:gridCol w:w="4737"/>
        <w:gridCol w:w="470"/>
        <w:gridCol w:w="910"/>
        <w:gridCol w:w="910"/>
      </w:tblGrid>
      <w:tr>
        <w:trPr>
          <w:trHeight w:val="840"/>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公开09表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615"/>
        </w:trPr>
        <w:tc>
          <w:tcPr>
            <w:tcW w:w="17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sectPr>
          <w:headerReference w:type="default" r:id="rId24"/>
          <w:headerReference w:type="first" r:id="rId25"/>
          <w:footerReference w:type="default" r:id="rId26"/>
          <w:pgSz w:w="11906" w:h="16838"/>
          <w:pgMar w:top="1701" w:right="1417" w:bottom="1281" w:left="1417" w:header="851" w:footer="992" w:gutter="0"/>
          <w:pgNumType w:fmt="numberInDash"/>
          <w:docGrid w:type="lines" w:linePitch="312" w:charSpace="0"/>
        </w:sectPr>
      </w:pPr>
      <w:r>
        <w:rPr>
          <w:rFonts w:hint="eastAsia"/>
          <w:color w:val="000000"/>
        </w:rPr>
        <w:t>注：本部门本年度无相关收入收支及结转结余情况，按要求空表列示。</w:t>
      </w:r>
      <w:r>
        <w:rPr>
          <w:color w:val="000000"/>
        </w:rPr>
        <w:br w:type="page"/>
      </w:r>
    </w:p>
    <w:p>
      <w:pPr>
        <w:rPr>
          <w:color w:val="000000"/>
        </w:rPr>
      </w:pPr>
    </w:p>
    <w:p>
      <w:pPr>
        <w:rPr>
          <w:color w:val="000000"/>
        </w:rPr>
      </w:pP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sz w:val="72"/>
        </w:rPr>
        <mc:AlternateContent>
          <mc:Choice Requires="wps">
            <w:drawing>
              <wp:anchor distT="0" distB="0" distL="114298" distR="114298" simplePos="0" relativeHeight="46" behindDoc="0" locked="0" layoutInCell="1" hidden="0" allowOverlap="1">
                <wp:simplePos x="0" y="0"/>
                <wp:positionH relativeFrom="column">
                  <wp:posOffset>-1021715</wp:posOffset>
                </wp:positionH>
                <wp:positionV relativeFrom="paragraph">
                  <wp:posOffset>441960</wp:posOffset>
                </wp:positionV>
                <wp:extent cx="7793355" cy="3341370"/>
                <wp:effectExtent l="0" t="0" r="0" b="0"/>
                <wp:wrapNone/>
                <wp:docPr id="124" name="矩形"/>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25">
                        <w:txbxContent>
                          <w:p>
                            <w:pPr>
                              <w:widowControl/>
                              <w:jc w:val="center"/>
                            </w:pPr>
                            <w:r>
                              <w:rPr>
                                <w:rFonts w:ascii="黑体" w:eastAsia="黑体" w:cs="黑体" w:hint="eastAsia"/>
                                <w:color w:val="000000"/>
                                <w:sz w:val="90"/>
                                <w:szCs w:val="90"/>
                              </w:rPr>
                              <w:t>第五部分 预算绩效公开内容</w:t>
                            </w:r>
                          </w:p>
                        </w:txbxContent>
                      </wps:txbx>
                      <wps:bodyPr vert="horz" wrap="square" lIns="91440" tIns="45720" rIns="91440" bIns="45720" anchor="ctr" anchorCtr="0" upright="1">
                        <a:noAutofit/>
                      </wps:bodyPr>
                    </wps:wsp>
                  </a:graphicData>
                </a:graphic>
              </wp:anchor>
            </w:drawing>
          </mc:Choice>
          <mc:Fallback>
            <w:pict>
              <v:rect type="#_x0000_t1" id="矩形 126" o:spid="_x0000_s126" fillcolor="#FFD966" stroked="t" strokeweight="0.5pt" style="position:absolute;margin-left:-80.45pt;margin-top:34.8pt;width:613.65pt;height:263.1pt;z-index:46;mso-position-horizontal:absolute;mso-position-vertical:absolute;mso-wrap-distance-left:8.999863pt;mso-wrap-distance-right:8.999863pt;mso-wrap-style:square;">
                <v:fill r:id="rId28" o:title="5%" color2="#FFFFFF" type="pattern"/>
                <v:stroke color="#FFD966"/>
                <v:textbox id="868" inset="2.54mm,1.27mm,2.54mm,1.27mm" o:insetmode="custom" style="layout-flow:horizontal;v-text-anchor:middle;">
                  <w:txbxContent>
                    <w:p>
                      <w:pPr>
                        <w:widowControl/>
                        <w:jc w:val="center"/>
                      </w:pPr>
                      <w:r>
                        <w:rPr>
                          <w:rFonts w:ascii="黑体" w:eastAsia="黑体" w:cs="黑体" w:hint="eastAsia"/>
                          <w:color w:val="000000"/>
                          <w:sz w:val="90"/>
                          <w:szCs w:val="90"/>
                        </w:rPr>
                        <w:t>第五部分 预算绩效公开内容</w:t>
                      </w:r>
                    </w:p>
                  </w:txbxContent>
                </v:textbox>
              </v:rect>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widowControl/>
        <w:jc w:val="left"/>
        <w:rPr>
          <w:color w:val="000000"/>
        </w:rPr>
        <w:sectPr>
          <w:headerReference w:type="default" r:id="rId27"/>
          <w:pgSz w:w="11906" w:h="16838"/>
          <w:pgMar w:top="1701" w:right="1417" w:bottom="1281" w:left="1417" w:header="851" w:footer="992" w:gutter="0"/>
          <w:pgNumType w:fmt="numberInDash"/>
          <w:docGrid w:type="lines" w:linePitch="312" w:charSpace="0"/>
        </w:sectPr>
      </w:pPr>
      <w:r>
        <w:rPr>
          <w:color w:val="000000"/>
        </w:rPr>
        <w:br w:type="page"/>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40"/>
        </w:rPr>
        <w:t>一、预算绩效情况说明</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b/>
          <w:bCs/>
          <w:color w:val="000000"/>
          <w:sz w:val="32"/>
          <w:szCs w:val="32"/>
        </w:rPr>
        <w:t>（一）预算绩效管理工作开展情况</w:t>
      </w:r>
    </w:p>
    <w:p>
      <w:pPr>
        <w:adjustRightInd w:val="0"/>
        <w:snapToGrid w:val="0"/>
        <w:spacing w:line="58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根据预算绩效管理要求，本部门对2019年度整体绩效实现情况和项目支出情况开展绩效评价。组织对2019年度一般公共预算项目支出全面开展绩效自评，项目</w:t>
      </w:r>
      <w:r>
        <w:rPr>
          <w:rFonts w:ascii="Times New Roman" w:eastAsia="仿宋_GB2312" w:cs="Times New Roman" w:hAnsi="Times New Roman" w:hint="eastAsia"/>
          <w:color w:val="000000"/>
          <w:sz w:val="32"/>
          <w:szCs w:val="32"/>
        </w:rPr>
        <w:t>4</w:t>
      </w:r>
      <w:r>
        <w:rPr>
          <w:rFonts w:ascii="Times New Roman" w:eastAsia="仿宋_GB2312" w:cs="Times New Roman" w:hAnsi="Times New Roman"/>
          <w:color w:val="000000"/>
          <w:sz w:val="32"/>
          <w:szCs w:val="32"/>
        </w:rPr>
        <w:t>个，涉及资金</w:t>
      </w:r>
      <w:r>
        <w:rPr>
          <w:rFonts w:ascii="Times New Roman" w:eastAsia="仿宋_GB2312" w:cs="Times New Roman" w:hAnsi="Times New Roman" w:hint="eastAsia"/>
          <w:color w:val="000000"/>
          <w:sz w:val="32"/>
          <w:szCs w:val="32"/>
        </w:rPr>
        <w:t>318.70</w:t>
      </w:r>
      <w:r>
        <w:rPr>
          <w:rFonts w:ascii="Times New Roman" w:eastAsia="仿宋_GB2312" w:cs="Times New Roman" w:hAnsi="Times New Roman"/>
          <w:color w:val="000000"/>
          <w:sz w:val="32"/>
          <w:szCs w:val="32"/>
        </w:rPr>
        <w:t>万元，占一般公共预算项目支出总额的</w:t>
      </w:r>
      <w:r>
        <w:rPr>
          <w:rFonts w:ascii="Times New Roman" w:eastAsia="仿宋_GB2312" w:cs="Times New Roman" w:hAnsi="Times New Roman" w:hint="eastAsia"/>
          <w:color w:val="000000"/>
          <w:sz w:val="32"/>
          <w:szCs w:val="32"/>
        </w:rPr>
        <w:t>85.9%</w:t>
      </w:r>
      <w:r>
        <w:rPr>
          <w:rFonts w:ascii="Times New Roman" w:eastAsia="仿宋_GB2312" w:cs="Times New Roman" w:hAnsi="Times New Roman"/>
          <w:color w:val="000000"/>
          <w:sz w:val="32"/>
          <w:szCs w:val="32"/>
        </w:rPr>
        <w:t>。组织对“</w:t>
      </w:r>
      <w:r>
        <w:rPr>
          <w:rFonts w:ascii="Times New Roman" w:eastAsia="仿宋_GB2312" w:cs="Times New Roman" w:hAnsi="Times New Roman" w:hint="eastAsia"/>
          <w:color w:val="000000"/>
          <w:sz w:val="32"/>
          <w:szCs w:val="32"/>
        </w:rPr>
        <w:t>2019年中央政法纪检监察转移支付资金</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2019年省级基层公检法司转移支付资金</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、“2019年度法院建设补助资金”</w:t>
      </w:r>
      <w:r>
        <w:rPr>
          <w:rFonts w:ascii="Times New Roman" w:eastAsia="仿宋_GB2312" w:cs="Times New Roman" w:hAnsi="Times New Roman"/>
          <w:color w:val="000000"/>
          <w:sz w:val="32"/>
          <w:szCs w:val="32"/>
        </w:rPr>
        <w:t>等</w:t>
      </w:r>
      <w:r>
        <w:rPr>
          <w:rFonts w:ascii="Times New Roman" w:eastAsia="仿宋_GB2312" w:cs="Times New Roman" w:hAnsi="Times New Roman" w:hint="eastAsia"/>
          <w:color w:val="000000"/>
          <w:sz w:val="32"/>
          <w:szCs w:val="32"/>
        </w:rPr>
        <w:t>4</w:t>
      </w:r>
      <w:r>
        <w:rPr>
          <w:rFonts w:ascii="Times New Roman" w:eastAsia="仿宋_GB2312" w:cs="Times New Roman" w:hAnsi="Times New Roman"/>
          <w:color w:val="000000"/>
          <w:sz w:val="32"/>
          <w:szCs w:val="32"/>
        </w:rPr>
        <w:t>个项目开展了部门评价，涉及一般公共预算支出</w:t>
      </w:r>
      <w:r>
        <w:rPr>
          <w:rFonts w:ascii="Times New Roman" w:eastAsia="仿宋_GB2312" w:cs="Times New Roman" w:hAnsi="Times New Roman" w:hint="eastAsia"/>
          <w:color w:val="000000"/>
          <w:sz w:val="32"/>
          <w:szCs w:val="32"/>
        </w:rPr>
        <w:t>318.70</w:t>
      </w:r>
      <w:r>
        <w:rPr>
          <w:rFonts w:ascii="Times New Roman" w:eastAsia="仿宋_GB2312" w:cs="Times New Roman" w:hAnsi="Times New Roman"/>
          <w:color w:val="000000"/>
          <w:sz w:val="32"/>
          <w:szCs w:val="32"/>
        </w:rPr>
        <w:t>万元，政府性基金预算支出</w:t>
      </w:r>
      <w:r>
        <w:rPr>
          <w:rFonts w:ascii="Times New Roman" w:eastAsia="仿宋_GB2312" w:cs="Times New Roman" w:hAnsi="Times New Roman" w:hint="eastAsia"/>
          <w:color w:val="000000"/>
          <w:sz w:val="32"/>
          <w:szCs w:val="32"/>
        </w:rPr>
        <w:t>0</w:t>
      </w:r>
      <w:r>
        <w:rPr>
          <w:rFonts w:ascii="Times New Roman" w:eastAsia="仿宋_GB2312" w:cs="Times New Roman" w:hAnsi="Times New Roman"/>
          <w:color w:val="000000"/>
          <w:sz w:val="32"/>
          <w:szCs w:val="32"/>
        </w:rPr>
        <w:t>万元。从评价情况来看，</w:t>
      </w:r>
      <w:r>
        <w:rPr>
          <w:rFonts w:ascii="Times New Roman" w:eastAsia="仿宋_GB2312" w:cs="Times New Roman" w:hAnsi="Times New Roman" w:hint="eastAsia"/>
          <w:color w:val="000000"/>
          <w:sz w:val="32"/>
          <w:szCs w:val="32"/>
        </w:rPr>
        <w:t>本部门2019年度一般公共预算项目总体预算绩效评价情况良好，基本实现了预算总体绩效目标，充分发挥了审判职能作用，审结了刑事、民商事、行政审判等案件7355件，审结执行案件4773件，案件受理数、绝对结案数、人均结案数均居全省前列，并努力完善质效评估体系，健全司法权力运行机制，提升司法公信力。</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b/>
          <w:bCs/>
          <w:color w:val="000000"/>
          <w:sz w:val="32"/>
          <w:szCs w:val="32"/>
        </w:rPr>
        <w:t>（二）部门绩效评价结果</w:t>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b/>
          <w:bCs/>
          <w:color w:val="000000"/>
          <w:sz w:val="32"/>
          <w:szCs w:val="32"/>
        </w:rPr>
        <w:t>1.项目绩效自评结果。</w:t>
      </w:r>
      <w:r>
        <w:rPr>
          <w:rFonts w:ascii="Times New Roman" w:eastAsia="仿宋_GB2312" w:cs="Times New Roman" w:hAnsi="Times New Roman"/>
          <w:color w:val="000000"/>
          <w:sz w:val="32"/>
          <w:szCs w:val="32"/>
        </w:rPr>
        <w:t>本部门2019 年度对</w:t>
      </w:r>
      <w:r>
        <w:rPr>
          <w:rFonts w:ascii="Times New Roman" w:eastAsia="仿宋_GB2312" w:cs="Times New Roman" w:hAnsi="Times New Roman" w:hint="eastAsia"/>
          <w:color w:val="000000"/>
          <w:sz w:val="32"/>
          <w:szCs w:val="32"/>
        </w:rPr>
        <w:t>4</w:t>
      </w:r>
      <w:r>
        <w:rPr>
          <w:rFonts w:ascii="Times New Roman" w:eastAsia="仿宋_GB2312" w:cs="Times New Roman" w:hAnsi="Times New Roman"/>
          <w:color w:val="000000"/>
          <w:sz w:val="32"/>
          <w:szCs w:val="32"/>
        </w:rPr>
        <w:t>个项目进行了绩效自评，项目自评结果90 分以上的</w:t>
      </w:r>
      <w:r>
        <w:rPr>
          <w:rFonts w:ascii="Times New Roman" w:eastAsia="仿宋_GB2312" w:cs="Times New Roman" w:hAnsi="Times New Roman" w:hint="eastAsia"/>
          <w:color w:val="000000"/>
          <w:sz w:val="32"/>
          <w:szCs w:val="32"/>
        </w:rPr>
        <w:t>3</w:t>
      </w:r>
      <w:r>
        <w:rPr>
          <w:rFonts w:ascii="Times New Roman" w:eastAsia="仿宋_GB2312" w:cs="Times New Roman" w:hAnsi="Times New Roman"/>
          <w:color w:val="000000"/>
          <w:sz w:val="32"/>
          <w:szCs w:val="32"/>
        </w:rPr>
        <w:t>项，80 -90分的</w:t>
      </w:r>
      <w:r>
        <w:rPr>
          <w:rFonts w:ascii="Times New Roman" w:eastAsia="仿宋_GB2312" w:cs="Times New Roman" w:hAnsi="Times New Roman" w:hint="eastAsia"/>
          <w:color w:val="000000"/>
          <w:sz w:val="32"/>
          <w:szCs w:val="32"/>
        </w:rPr>
        <w:t>0</w:t>
      </w:r>
      <w:r>
        <w:rPr>
          <w:rFonts w:ascii="Times New Roman" w:eastAsia="仿宋_GB2312" w:cs="Times New Roman" w:hAnsi="Times New Roman"/>
          <w:color w:val="000000"/>
          <w:sz w:val="32"/>
          <w:szCs w:val="32"/>
        </w:rPr>
        <w:t>项，80分以下的</w:t>
      </w:r>
      <w:r>
        <w:rPr>
          <w:rFonts w:ascii="Times New Roman" w:eastAsia="仿宋_GB2312" w:cs="Times New Roman" w:hAnsi="Times New Roman" w:hint="eastAsia"/>
          <w:color w:val="000000"/>
          <w:sz w:val="32"/>
          <w:szCs w:val="32"/>
        </w:rPr>
        <w:t>1</w:t>
      </w:r>
      <w:r>
        <w:rPr>
          <w:rFonts w:ascii="Times New Roman" w:eastAsia="仿宋_GB2312" w:cs="Times New Roman" w:hAnsi="Times New Roman"/>
          <w:color w:val="000000"/>
          <w:sz w:val="32"/>
          <w:szCs w:val="32"/>
        </w:rPr>
        <w:t>项。在部门决算公开中反映“</w:t>
      </w:r>
      <w:r>
        <w:rPr>
          <w:rFonts w:ascii="Times New Roman" w:eastAsia="仿宋_GB2312" w:cs="Times New Roman" w:hAnsi="Times New Roman" w:hint="eastAsia"/>
          <w:color w:val="000000"/>
          <w:sz w:val="32"/>
          <w:szCs w:val="32"/>
        </w:rPr>
        <w:t>2019年中央政法纪检监察转移支付资金</w:t>
      </w:r>
      <w:r>
        <w:rPr>
          <w:rFonts w:ascii="Times New Roman" w:eastAsia="仿宋_GB2312" w:cs="Times New Roman" w:hAnsi="Times New Roman"/>
          <w:color w:val="000000"/>
          <w:sz w:val="32"/>
          <w:szCs w:val="32"/>
        </w:rPr>
        <w:t>”项目及“</w:t>
      </w:r>
      <w:r>
        <w:rPr>
          <w:rFonts w:ascii="Times New Roman" w:eastAsia="仿宋_GB2312" w:cs="Times New Roman" w:hAnsi="Times New Roman" w:hint="eastAsia"/>
          <w:color w:val="000000"/>
          <w:sz w:val="32"/>
          <w:szCs w:val="32"/>
        </w:rPr>
        <w:t>2019年省级基层公检法司转移支付资金</w:t>
      </w:r>
      <w:r>
        <w:rPr>
          <w:rFonts w:ascii="Times New Roman" w:eastAsia="仿宋_GB2312" w:cs="Times New Roman" w:hAnsi="Times New Roman"/>
          <w:color w:val="000000"/>
          <w:sz w:val="32"/>
          <w:szCs w:val="32"/>
        </w:rPr>
        <w:t>” 项目等</w:t>
      </w:r>
      <w:r>
        <w:rPr>
          <w:rFonts w:ascii="Times New Roman" w:eastAsia="仿宋_GB2312" w:cs="Times New Roman" w:hAnsi="Times New Roman" w:hint="eastAsia"/>
          <w:color w:val="000000"/>
          <w:sz w:val="32"/>
          <w:szCs w:val="32"/>
        </w:rPr>
        <w:t>4</w:t>
      </w:r>
      <w:r>
        <w:rPr>
          <w:rFonts w:ascii="Times New Roman" w:eastAsia="仿宋_GB2312" w:cs="Times New Roman" w:hAnsi="Times New Roman"/>
          <w:color w:val="000000"/>
          <w:sz w:val="32"/>
          <w:szCs w:val="32"/>
        </w:rPr>
        <w:t>个项目绩效自评结果。</w:t>
      </w:r>
    </w:p>
    <w:p>
      <w:pPr>
        <w:widowControl/>
        <w:numPr>
          <w:ilvl w:val="0"/>
          <w:numId w:val="2"/>
        </w:numPr>
        <w:adjustRightInd w:val="0"/>
        <w:snapToGrid w:val="0"/>
        <w:spacing w:line="580" w:lineRule="exact"/>
        <w:ind w:left="0" w:firstLineChars="200" w:firstLine="640"/>
        <w:jc w:val="left"/>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2019年中央政法转移支付资金</w:t>
      </w:r>
      <w:r>
        <w:rPr>
          <w:rFonts w:ascii="Times New Roman" w:eastAsia="仿宋_GB2312" w:cs="Times New Roman" w:hAnsi="Times New Roman"/>
          <w:color w:val="000000"/>
          <w:sz w:val="32"/>
          <w:szCs w:val="32"/>
        </w:rPr>
        <w:t>项目</w:t>
      </w:r>
      <w:r>
        <w:rPr>
          <w:rFonts w:ascii="Times New Roman" w:eastAsia="仿宋_GB2312" w:cs="Times New Roman" w:hAnsi="Times New Roman" w:hint="eastAsia"/>
          <w:color w:val="000000"/>
          <w:sz w:val="32"/>
          <w:szCs w:val="32"/>
        </w:rPr>
        <w:t>绩效</w:t>
      </w:r>
      <w:r>
        <w:rPr>
          <w:rFonts w:ascii="Times New Roman" w:eastAsia="仿宋_GB2312" w:cs="Times New Roman" w:hAnsi="Times New Roman"/>
          <w:color w:val="000000"/>
          <w:sz w:val="32"/>
          <w:szCs w:val="32"/>
        </w:rPr>
        <w:t>自评综述：根据年初设定的绩效目标，</w:t>
      </w:r>
      <w:r>
        <w:rPr>
          <w:rFonts w:ascii="Times New Roman" w:eastAsia="仿宋_GB2312" w:cs="Times New Roman" w:hAnsi="Times New Roman" w:hint="eastAsia"/>
          <w:color w:val="000000"/>
          <w:sz w:val="32"/>
          <w:szCs w:val="32"/>
        </w:rPr>
        <w:t>2019年中央政法转移支付资金</w:t>
      </w:r>
      <w:r>
        <w:rPr>
          <w:rFonts w:ascii="Times New Roman" w:eastAsia="仿宋_GB2312" w:cs="Times New Roman" w:hAnsi="Times New Roman"/>
          <w:color w:val="000000"/>
          <w:sz w:val="32"/>
          <w:szCs w:val="32"/>
        </w:rPr>
        <w:t>项目绩效自评得分为</w:t>
      </w:r>
      <w:r>
        <w:rPr>
          <w:rFonts w:ascii="Times New Roman" w:eastAsia="仿宋_GB2312" w:cs="Times New Roman" w:hAnsi="Times New Roman" w:hint="eastAsia"/>
          <w:color w:val="000000"/>
          <w:sz w:val="32"/>
          <w:szCs w:val="32"/>
        </w:rPr>
        <w:t>90</w:t>
      </w:r>
      <w:r>
        <w:rPr>
          <w:rFonts w:ascii="Times New Roman" w:eastAsia="仿宋_GB2312" w:cs="Times New Roman" w:hAnsi="Times New Roman"/>
          <w:color w:val="000000"/>
          <w:sz w:val="32"/>
          <w:szCs w:val="32"/>
        </w:rPr>
        <w:t>分。全年预算数为</w:t>
      </w:r>
      <w:r>
        <w:rPr>
          <w:rFonts w:ascii="Times New Roman" w:eastAsia="仿宋_GB2312" w:cs="Times New Roman" w:hAnsi="Times New Roman" w:hint="eastAsia"/>
          <w:color w:val="000000"/>
          <w:sz w:val="32"/>
          <w:szCs w:val="32"/>
        </w:rPr>
        <w:t>203</w:t>
      </w:r>
      <w:r>
        <w:rPr>
          <w:rFonts w:ascii="Times New Roman" w:eastAsia="仿宋_GB2312" w:cs="Times New Roman" w:hAnsi="Times New Roman"/>
          <w:color w:val="000000"/>
          <w:sz w:val="32"/>
          <w:szCs w:val="32"/>
        </w:rPr>
        <w:t>万元，执行数为</w:t>
      </w:r>
      <w:r>
        <w:rPr>
          <w:rFonts w:ascii="Times New Roman" w:eastAsia="仿宋_GB2312" w:cs="Times New Roman" w:hAnsi="Times New Roman" w:hint="eastAsia"/>
          <w:color w:val="000000"/>
          <w:sz w:val="32"/>
          <w:szCs w:val="32"/>
        </w:rPr>
        <w:t>200.70</w:t>
      </w:r>
      <w:r>
        <w:rPr>
          <w:rFonts w:ascii="Times New Roman" w:eastAsia="仿宋_GB2312" w:cs="Times New Roman" w:hAnsi="Times New Roman"/>
          <w:color w:val="000000"/>
          <w:sz w:val="32"/>
          <w:szCs w:val="32"/>
        </w:rPr>
        <w:t>万元，完成预算的</w:t>
      </w:r>
      <w:r>
        <w:rPr>
          <w:rFonts w:ascii="Times New Roman" w:eastAsia="仿宋_GB2312" w:cs="Times New Roman" w:hAnsi="Times New Roman" w:hint="eastAsia"/>
          <w:color w:val="000000"/>
          <w:sz w:val="32"/>
          <w:szCs w:val="32"/>
        </w:rPr>
        <w:t>98.9%</w:t>
      </w:r>
      <w:r>
        <w:rPr>
          <w:rFonts w:ascii="Times New Roman" w:eastAsia="仿宋_GB2312" w:cs="Times New Roman" w:hAnsi="Times New Roman"/>
          <w:color w:val="000000"/>
          <w:sz w:val="32"/>
          <w:szCs w:val="32"/>
        </w:rPr>
        <w:t>。项目绩效目标完成情况：一是</w:t>
      </w:r>
      <w:r>
        <w:rPr>
          <w:rFonts w:ascii="Times New Roman" w:eastAsia="仿宋_GB2312" w:cs="Times New Roman" w:hAnsi="Times New Roman" w:hint="eastAsia"/>
          <w:color w:val="000000"/>
          <w:sz w:val="32"/>
          <w:szCs w:val="32"/>
        </w:rPr>
        <w:t>年度总体绩效目标基本完成</w:t>
      </w:r>
      <w:r>
        <w:rPr>
          <w:rFonts w:ascii="Times New Roman" w:eastAsia="仿宋_GB2312" w:cs="Times New Roman" w:hAnsi="Times New Roman"/>
          <w:color w:val="000000"/>
          <w:sz w:val="32"/>
          <w:szCs w:val="32"/>
        </w:rPr>
        <w:t>；二是</w:t>
      </w:r>
      <w:r>
        <w:rPr>
          <w:rFonts w:ascii="Times New Roman" w:eastAsia="仿宋_GB2312" w:cs="Times New Roman" w:hAnsi="Times New Roman" w:hint="eastAsia"/>
          <w:color w:val="000000"/>
          <w:sz w:val="32"/>
          <w:szCs w:val="32"/>
        </w:rPr>
        <w:t>产出指标和效果指标大部分完成</w:t>
      </w:r>
      <w:r>
        <w:rPr>
          <w:rFonts w:ascii="Times New Roman" w:eastAsia="仿宋_GB2312" w:cs="Times New Roman" w:hAnsi="Times New Roman"/>
          <w:color w:val="000000"/>
          <w:sz w:val="32"/>
          <w:szCs w:val="32"/>
        </w:rPr>
        <w:t>。发现的主要问题及原因：</w:t>
      </w:r>
      <w:r>
        <w:rPr>
          <w:rFonts w:ascii="Times New Roman" w:eastAsia="仿宋_GB2312" w:cs="Times New Roman" w:hAnsi="Times New Roman" w:hint="eastAsia"/>
          <w:color w:val="000000"/>
          <w:sz w:val="32"/>
          <w:szCs w:val="32"/>
        </w:rPr>
        <w:t>由于人案矛盾尖锐，产出指标中的案件结案率这一数量指标未完成</w:t>
      </w:r>
      <w:r>
        <w:rPr>
          <w:rFonts w:ascii="Times New Roman" w:eastAsia="仿宋_GB2312" w:cs="Times New Roman" w:hAnsi="Times New Roman"/>
          <w:color w:val="000000"/>
          <w:sz w:val="32"/>
          <w:szCs w:val="32"/>
        </w:rPr>
        <w:t>。下一步改进措施：一是</w:t>
      </w:r>
      <w:r>
        <w:rPr>
          <w:rFonts w:ascii="Times New Roman" w:eastAsia="仿宋_GB2312" w:cs="Times New Roman" w:hAnsi="Times New Roman" w:hint="eastAsia"/>
          <w:color w:val="000000"/>
          <w:sz w:val="32"/>
          <w:szCs w:val="32"/>
        </w:rPr>
        <w:t>增加干警数量，强大干警队伍</w:t>
      </w:r>
      <w:r>
        <w:rPr>
          <w:rFonts w:ascii="Times New Roman" w:eastAsia="仿宋_GB2312" w:cs="Times New Roman" w:hAnsi="Times New Roman"/>
          <w:color w:val="000000"/>
          <w:sz w:val="32"/>
          <w:szCs w:val="32"/>
        </w:rPr>
        <w:t>；二是</w:t>
      </w:r>
      <w:r>
        <w:rPr>
          <w:rFonts w:ascii="Times New Roman" w:eastAsia="仿宋_GB2312" w:cs="Times New Roman" w:hAnsi="Times New Roman" w:hint="eastAsia"/>
          <w:color w:val="000000"/>
          <w:sz w:val="32"/>
          <w:szCs w:val="32"/>
        </w:rPr>
        <w:t>提高干警工作积极性和工作效率，提高审判质效</w:t>
      </w:r>
      <w:r>
        <w:rPr>
          <w:rFonts w:ascii="Times New Roman" w:eastAsia="仿宋_GB2312" w:cs="Times New Roman" w:hAnsi="Times New Roman"/>
          <w:color w:val="000000"/>
          <w:sz w:val="32"/>
          <w:szCs w:val="32"/>
        </w:rPr>
        <w:t>。</w:t>
      </w:r>
    </w:p>
    <w:tbl>
      <w:tblPr>
        <w:jc w:val="left"/>
        <w:tblInd w:w="30" w:type="dxa"/>
        <w:tblW w:w="897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781"/>
      </w:tblGrid>
      <w:tr>
        <w:trPr>
          <w:trHeight w:val="773"/>
        </w:trPr>
        <w:tc>
          <w:tcPr>
            <w:tcW w:w="8970" w:type="dxa"/>
            <w:gridSpan w:val="14"/>
            <w:tcBorders>
              <w:top w:val="nil"/>
              <w:left w:val="nil"/>
              <w:bottom w:val="nil"/>
              <w:right w:val="nil"/>
            </w:tcBorders>
            <w:noWrap/>
            <w:tcMar>
              <w:top w:w="15" w:type="dxa"/>
              <w:left w:w="15" w:type="dxa"/>
              <w:right w:w="15" w:type="dxa"/>
            </w:tcMar>
            <w:vAlign w:val="center"/>
          </w:tcPr>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方正小标宋简体" w:hint="eastAsia"/>
                <w:kern w:val="0"/>
                <w:sz w:val="44"/>
                <w:szCs w:val="44"/>
              </w:rPr>
            </w:pPr>
          </w:p>
          <w:p>
            <w:pPr>
              <w:widowControl/>
              <w:jc w:val="center"/>
              <w:textAlignment w:val="center"/>
              <w:rPr>
                <w:rFonts w:eastAsia="方正小标宋简体" w:hint="eastAsia"/>
                <w:kern w:val="0"/>
                <w:sz w:val="44"/>
                <w:szCs w:val="44"/>
              </w:rPr>
            </w:pPr>
          </w:p>
          <w:p>
            <w:pPr>
              <w:widowControl/>
              <w:jc w:val="center"/>
              <w:textAlignment w:val="center"/>
              <w:rPr>
                <w:rFonts w:eastAsia="方正小标宋简体" w:hint="eastAsia"/>
                <w:kern w:val="0"/>
                <w:sz w:val="44"/>
                <w:szCs w:val="44"/>
              </w:rPr>
            </w:pPr>
          </w:p>
          <w:p>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trPr>
          <w:trHeight w:val="259"/>
        </w:trPr>
        <w:tc>
          <w:tcPr>
            <w:tcW w:w="8970" w:type="dxa"/>
            <w:gridSpan w:val="14"/>
            <w:tcBorders>
              <w:top w:val="nil"/>
              <w:left w:val="nil"/>
              <w:bottom w:val="nil"/>
              <w:right w:val="nil"/>
            </w:tcBorders>
            <w:noWrap/>
          </w:tcPr>
          <w:p>
            <w:pPr>
              <w:widowControl/>
              <w:spacing w:line="240" w:lineRule="exact"/>
              <w:jc w:val="center"/>
              <w:rPr>
                <w:kern w:val="0"/>
                <w:sz w:val="22"/>
              </w:rPr>
            </w:pPr>
            <w:r>
              <w:rPr>
                <w:rFonts w:eastAsia="仿宋_GB2312"/>
                <w:kern w:val="0"/>
                <w:sz w:val="24"/>
              </w:rPr>
              <w:t xml:space="preserve">（  </w:t>
            </w:r>
            <w:r>
              <w:rPr>
                <w:rFonts w:eastAsia="仿宋_GB2312" w:hint="eastAsia"/>
                <w:kern w:val="0"/>
                <w:sz w:val="24"/>
              </w:rPr>
              <w:t>2019</w:t>
            </w:r>
            <w:r>
              <w:rPr>
                <w:rFonts w:eastAsia="仿宋_GB2312"/>
                <w:kern w:val="0"/>
                <w:sz w:val="24"/>
              </w:rPr>
              <w:t xml:space="preserve"> 年度）</w:t>
            </w:r>
          </w:p>
        </w:tc>
      </w:tr>
      <w:tr>
        <w:trPr>
          <w:trHeight w:val="308"/>
        </w:trPr>
        <w:tc>
          <w:tcPr>
            <w:tcW w:w="1212" w:type="dxa"/>
            <w:gridSpan w:val="2"/>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项目名称</w:t>
            </w:r>
          </w:p>
        </w:tc>
        <w:tc>
          <w:tcPr>
            <w:tcW w:w="7758" w:type="dxa"/>
            <w:gridSpan w:val="1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2019年中央政法转移支付资金</w:t>
            </w:r>
          </w:p>
        </w:tc>
      </w:tr>
      <w:tr>
        <w:trPr>
          <w:trHeight w:val="373"/>
        </w:trPr>
        <w:tc>
          <w:tcPr>
            <w:tcW w:w="1212" w:type="dxa"/>
            <w:gridSpan w:val="2"/>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廊坊市广阳区人民法院</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实施单位</w:t>
            </w:r>
          </w:p>
        </w:tc>
        <w:tc>
          <w:tcPr>
            <w:tcW w:w="2447"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廊坊市广阳区人民法院</w:t>
            </w:r>
          </w:p>
        </w:tc>
      </w:tr>
      <w:tr>
        <w:trPr>
          <w:trHeight w:val="580"/>
        </w:trPr>
        <w:tc>
          <w:tcPr>
            <w:tcW w:w="1212" w:type="dxa"/>
            <w:gridSpan w:val="2"/>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项目资金</w:t>
              <w:br/>
              <w:t>（万元）</w:t>
            </w: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年初</w:t>
            </w:r>
          </w:p>
          <w:p>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执行率</w:t>
            </w: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得分</w:t>
            </w:r>
          </w:p>
        </w:tc>
      </w:tr>
      <w:tr>
        <w:trPr>
          <w:trHeight w:val="340"/>
        </w:trP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203</w:t>
            </w: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203</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200.70</w:t>
            </w: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100</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98.9%</w:t>
            </w: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90</w:t>
            </w:r>
          </w:p>
        </w:tc>
      </w:tr>
      <w:tr>
        <w:trPr>
          <w:trHeight w:val="306"/>
        </w:trP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203</w:t>
            </w: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203</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200.70</w:t>
            </w: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trHeight w:val="318"/>
        </w:trP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trHeight w:val="296"/>
        </w:trP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trHeight w:val="285"/>
        </w:trPr>
        <w:tc>
          <w:tcPr>
            <w:tcW w:w="586"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预期目标</w:t>
            </w:r>
          </w:p>
        </w:tc>
        <w:tc>
          <w:tcPr>
            <w:tcW w:w="3570"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实际完成情况</w:t>
            </w:r>
          </w:p>
        </w:tc>
      </w:tr>
      <w:tr>
        <w:trPr>
          <w:trHeight w:val="1094"/>
        </w:trPr>
        <w:tc>
          <w:tcPr>
            <w:tcW w:w="586" w:type="dxa"/>
            <w:vMerge/>
            <w:tcBorders>
              <w:top w:val="nil"/>
              <w:left w:val="single" w:sz="4" w:space="0" w:color="auto"/>
              <w:bottom w:val="single" w:sz="4" w:space="0" w:color="auto"/>
              <w:right w:val="single" w:sz="4" w:space="0" w:color="auto"/>
            </w:tcBorders>
            <w:noWrap/>
            <w:vAlign w:val="center"/>
          </w:tcPr>
          <w:p/>
        </w:tc>
        <w:tc>
          <w:tcPr>
            <w:tcW w:w="481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满足审判及执行工作所需经费开支，做到办案经费专款专用，为诉讼、审判购置业务装备，为审判工作做好充足的保障。</w:t>
            </w:r>
          </w:p>
        </w:tc>
        <w:tc>
          <w:tcPr>
            <w:tcW w:w="3570"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年初设定目标基本完成，该资金保障了我院2019年度审判及执行工作所需经费开支，并购置了桌面云项目，提高了我院业务装备水平，充分保障了我院审判工作的顺利进行。</w:t>
            </w:r>
          </w:p>
        </w:tc>
      </w:tr>
      <w:tr>
        <w:trPr>
          <w:trHeight w:val="612"/>
        </w:trPr>
        <w:tc>
          <w:tcPr>
            <w:tcW w:w="586" w:type="dxa"/>
            <w:vMerge w:val="restart"/>
            <w:tcBorders>
              <w:top w:val="nil"/>
              <w:left w:val="single" w:sz="4" w:space="0" w:color="auto"/>
              <w:bottom w:val="nil"/>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绩</w:t>
              <w:br/>
              <w:t>效</w:t>
              <w:br/>
              <w:t>指</w:t>
              <w:br/>
              <w:t>标</w:t>
            </w:r>
          </w:p>
        </w:tc>
        <w:tc>
          <w:tcPr>
            <w:tcW w:w="626"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年度</w:t>
            </w:r>
          </w:p>
          <w:p>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实际</w:t>
            </w:r>
          </w:p>
          <w:p>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得分</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偏差原因分析及改进措施</w:t>
            </w:r>
          </w:p>
        </w:tc>
      </w:tr>
      <w:tr>
        <w:trPr>
          <w:trHeight w:val="4315"/>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val="restart"/>
            <w:tcBorders>
              <w:top w:val="nil"/>
              <w:left w:val="single" w:sz="4" w:space="0" w:color="auto"/>
              <w:right w:val="single" w:sz="4" w:space="0" w:color="auto"/>
            </w:tcBorders>
            <w:noWrap/>
            <w:vAlign w:val="center"/>
          </w:tcPr>
          <w:p>
            <w:pPr>
              <w:ind w:left="113" w:right="113"/>
              <w:jc w:val="center"/>
              <w:rPr>
                <w:rFonts w:eastAsia="宋体"/>
              </w:rPr>
            </w:pPr>
            <w:r>
              <w:rPr>
                <w:rFonts w:eastAsia="仿宋_GB2312" w:hint="eastAsia"/>
                <w:kern w:val="0"/>
                <w:sz w:val="24"/>
              </w:rPr>
              <w:t>产出指标</w:t>
            </w:r>
          </w:p>
        </w:tc>
        <w:tc>
          <w:tcPr>
            <w:tcW w:w="1465" w:type="dxa"/>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数量指标</w:t>
            </w:r>
          </w:p>
          <w:p>
            <w:pPr>
              <w:widowControl/>
              <w:spacing w:line="240" w:lineRule="exact"/>
              <w:jc w:val="center"/>
              <w:rPr>
                <w:rFonts w:eastAsia="仿宋_GB2312"/>
                <w:kern w:val="0"/>
                <w:sz w:val="24"/>
              </w:rPr>
            </w:p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案件结案率</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≥75%</w:t>
            </w: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68%</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30</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原因：2019年我院共受理各类案件17897件，案件基数大。2019年我院五名正式干警辞职、退休及调走，正式干警数量不断减少，法官年龄普遍偏大，案多人少的矛盾突出。                    改进措施：我院将努力提高审判人员的工作积极性和工作效率，解决案多人少的突出矛盾，缓解审判压力，提高审判质效。</w:t>
              <w:tab/>
            </w:r>
          </w:p>
        </w:tc>
      </w:tr>
      <w:tr>
        <w:trPr>
          <w:trHeight w:val="261"/>
        </w:trPr>
        <w:tc>
          <w:tcPr>
            <w:tcW w:w="586" w:type="dxa"/>
            <w:vMerge/>
            <w:tcBorders>
              <w:top w:val="single" w:sz="4" w:space="0" w:color="auto"/>
              <w:left w:val="single" w:sz="4" w:space="0" w:color="auto"/>
              <w:bottom w:val="single" w:sz="4" w:space="0" w:color="auto"/>
              <w:right w:val="single" w:sz="4" w:space="0" w:color="auto"/>
            </w:tcBorders>
            <w:noWrap/>
            <w:vAlign w:val="center"/>
          </w:tcPr>
          <w:p/>
        </w:tc>
        <w:tc>
          <w:tcPr>
            <w:tcW w:w="626" w:type="dxa"/>
            <w:vMerge/>
            <w:tcBorders>
              <w:left w:val="single" w:sz="4" w:space="0" w:color="auto"/>
              <w:right w:val="single" w:sz="4" w:space="0" w:color="auto"/>
            </w:tcBorders>
            <w:noWrap/>
            <w:vAlign w:val="center"/>
          </w:tcPr>
          <w:p/>
        </w:tc>
        <w:tc>
          <w:tcPr>
            <w:tcW w:w="1465" w:type="dxa"/>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质量指标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案件信息录入率</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≥90%</w:t>
            </w: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99%</w:t>
            </w:r>
          </w:p>
        </w:tc>
        <w:tc>
          <w:tcPr>
            <w:tcW w:w="5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20</w:t>
            </w: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20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882"/>
        </w:trPr>
        <w:tc>
          <w:tcPr>
            <w:tcW w:w="586" w:type="dxa"/>
            <w:vMerge/>
            <w:tcBorders>
              <w:top w:val="single" w:sz="4" w:space="0" w:color="auto"/>
              <w:left w:val="single" w:sz="4" w:space="0" w:color="auto"/>
              <w:bottom w:val="single" w:sz="4" w:space="0" w:color="auto"/>
              <w:right w:val="single" w:sz="4" w:space="0" w:color="auto"/>
            </w:tcBorders>
            <w:noWrap/>
            <w:vAlign w:val="center"/>
          </w:tcPr>
          <w:p/>
        </w:tc>
        <w:tc>
          <w:tcPr>
            <w:tcW w:w="626" w:type="dxa"/>
            <w:vMerge/>
            <w:tcBorders>
              <w:left w:val="single" w:sz="4" w:space="0" w:color="auto"/>
              <w:bottom w:val="single" w:sz="4" w:space="0" w:color="auto"/>
              <w:right w:val="single" w:sz="4" w:space="0" w:color="auto"/>
            </w:tcBorders>
            <w:noWrap/>
            <w:vAlign w:val="center"/>
          </w:tcPr>
          <w:p/>
        </w:tc>
        <w:tc>
          <w:tcPr>
            <w:tcW w:w="1465" w:type="dxa"/>
            <w:vMerge/>
            <w:tcBorders>
              <w:top w:val="single" w:sz="4" w:space="0" w:color="auto"/>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实际政府采购项目数占按规定应列入政府采购的项目数的比例</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100%</w:t>
            </w: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100%</w:t>
            </w:r>
          </w:p>
        </w:tc>
        <w:tc>
          <w:tcPr>
            <w:tcW w:w="5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w:t>
            </w: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757"/>
        </w:trPr>
        <w:tc>
          <w:tcPr>
            <w:tcW w:w="586" w:type="dxa"/>
            <w:vMerge/>
            <w:tcBorders>
              <w:top w:val="single" w:sz="4" w:space="0" w:color="auto"/>
              <w:left w:val="single" w:sz="4" w:space="0" w:color="auto"/>
              <w:bottom w:val="single" w:sz="4" w:space="0" w:color="auto"/>
              <w:right w:val="single" w:sz="4" w:space="0" w:color="auto"/>
            </w:tcBorders>
            <w:noWrap/>
            <w:vAlign w:val="center"/>
          </w:tcPr>
          <w:p/>
        </w:tc>
        <w:tc>
          <w:tcPr>
            <w:tcW w:w="626"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效益</w:t>
            </w:r>
          </w:p>
          <w:p>
            <w:pPr>
              <w:widowControl/>
              <w:spacing w:line="240" w:lineRule="exact"/>
              <w:jc w:val="center"/>
              <w:rPr>
                <w:rFonts w:eastAsia="仿宋_GB2312"/>
                <w:kern w:val="0"/>
                <w:sz w:val="24"/>
              </w:rPr>
            </w:pPr>
            <w:r>
              <w:rPr>
                <w:rFonts w:eastAsia="仿宋_GB2312" w:hint="eastAsia"/>
                <w:kern w:val="0"/>
                <w:sz w:val="24"/>
              </w:rPr>
              <w:t>指标</w:t>
            </w:r>
          </w:p>
        </w:tc>
        <w:tc>
          <w:tcPr>
            <w:tcW w:w="1465"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社会效益指标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法院公信力</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有效提升</w:t>
            </w: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有效提升</w:t>
            </w:r>
          </w:p>
        </w:tc>
        <w:tc>
          <w:tcPr>
            <w:tcW w:w="5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20</w:t>
            </w: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20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887"/>
        </w:trPr>
        <w:tc>
          <w:tcPr>
            <w:tcW w:w="586" w:type="dxa"/>
            <w:vMerge/>
            <w:tcBorders>
              <w:top w:val="single" w:sz="4" w:space="0" w:color="auto"/>
              <w:left w:val="single" w:sz="4" w:space="0" w:color="auto"/>
              <w:bottom w:val="single" w:sz="4" w:space="0" w:color="auto"/>
              <w:right w:val="single" w:sz="4" w:space="0" w:color="auto"/>
            </w:tcBorders>
            <w:noWrap/>
            <w:vAlign w:val="center"/>
          </w:tcPr>
          <w:p/>
        </w:tc>
        <w:tc>
          <w:tcPr>
            <w:tcW w:w="626" w:type="dxa"/>
            <w:tcBorders>
              <w:top w:val="single" w:sz="4" w:space="0" w:color="auto"/>
              <w:left w:val="single" w:sz="4" w:space="0" w:color="auto"/>
              <w:bottom w:val="nil"/>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满意度</w:t>
            </w:r>
          </w:p>
          <w:p>
            <w:pPr>
              <w:widowControl/>
              <w:spacing w:line="240" w:lineRule="exact"/>
              <w:jc w:val="center"/>
              <w:rPr>
                <w:rFonts w:eastAsia="仿宋_GB2312"/>
                <w:kern w:val="0"/>
                <w:sz w:val="24"/>
              </w:rPr>
            </w:pPr>
            <w:r>
              <w:rPr>
                <w:rFonts w:eastAsia="仿宋_GB2312"/>
                <w:kern w:val="0"/>
                <w:sz w:val="24"/>
              </w:rPr>
              <w:t>指标</w:t>
            </w:r>
          </w:p>
        </w:tc>
        <w:tc>
          <w:tcPr>
            <w:tcW w:w="1465"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服务对象满意度指标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当事人满意度</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≥80%</w:t>
            </w: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85%</w:t>
            </w:r>
          </w:p>
        </w:tc>
        <w:tc>
          <w:tcPr>
            <w:tcW w:w="5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10</w:t>
            </w: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10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c>
          <w:tcPr>
            <w:tcW w:w="6327" w:type="dxa"/>
            <w:gridSpan w:val="8"/>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hint="eastAsia"/>
                <w:kern w:val="0"/>
                <w:szCs w:val="21"/>
              </w:rPr>
              <w:t>100</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hint="eastAsia"/>
                <w:kern w:val="0"/>
                <w:szCs w:val="21"/>
              </w:rPr>
              <w:t>90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bl>
    <w:p>
      <w:pPr>
        <w:widowControl/>
        <w:numPr>
          <w:ilvl w:val="0"/>
          <w:numId w:val="2"/>
        </w:numPr>
        <w:adjustRightInd w:val="0"/>
        <w:snapToGrid w:val="0"/>
        <w:spacing w:line="580" w:lineRule="exact"/>
        <w:ind w:left="0" w:firstLineChars="200" w:firstLine="640"/>
        <w:jc w:val="left"/>
        <w:rPr>
          <w:rFonts w:ascii="Times New Roman" w:eastAsia="仿宋_GB2312" w:cs="Times New Roman" w:hAnsi="Times New Roman" w:hint="eastAsia"/>
          <w:color w:val="000000"/>
          <w:sz w:val="32"/>
          <w:szCs w:val="32"/>
        </w:rPr>
      </w:pPr>
      <w:r>
        <w:rPr>
          <w:rFonts w:ascii="Times New Roman" w:eastAsia="仿宋_GB2312" w:cs="Times New Roman" w:hAnsi="Times New Roman" w:hint="eastAsia"/>
          <w:color w:val="000000"/>
          <w:sz w:val="32"/>
          <w:szCs w:val="32"/>
        </w:rPr>
        <w:t>2019年中央政法纪检监察转移支付资金</w:t>
      </w:r>
      <w:r>
        <w:rPr>
          <w:rFonts w:ascii="Times New Roman" w:eastAsia="仿宋_GB2312" w:cs="Times New Roman" w:hAnsi="Times New Roman"/>
          <w:color w:val="000000"/>
          <w:sz w:val="32"/>
          <w:szCs w:val="32"/>
        </w:rPr>
        <w:t>项目绩效自评综述：根据年初设定的绩效目标，</w:t>
      </w:r>
      <w:r>
        <w:rPr>
          <w:rFonts w:ascii="Times New Roman" w:eastAsia="仿宋_GB2312" w:cs="Times New Roman" w:hAnsi="Times New Roman" w:hint="eastAsia"/>
          <w:color w:val="000000"/>
          <w:sz w:val="32"/>
          <w:szCs w:val="32"/>
        </w:rPr>
        <w:t>2019年中央政法纪检监察转移支付资金</w:t>
      </w:r>
      <w:r>
        <w:rPr>
          <w:rFonts w:ascii="Times New Roman" w:eastAsia="仿宋_GB2312" w:cs="Times New Roman" w:hAnsi="Times New Roman"/>
          <w:color w:val="000000"/>
          <w:sz w:val="32"/>
          <w:szCs w:val="32"/>
        </w:rPr>
        <w:t>项目绩效自评得分为</w:t>
      </w:r>
      <w:r>
        <w:rPr>
          <w:rFonts w:ascii="Times New Roman" w:eastAsia="仿宋_GB2312" w:cs="Times New Roman" w:hAnsi="Times New Roman" w:hint="eastAsia"/>
          <w:color w:val="000000"/>
          <w:sz w:val="32"/>
          <w:szCs w:val="32"/>
        </w:rPr>
        <w:t>0</w:t>
      </w:r>
      <w:r>
        <w:rPr>
          <w:rFonts w:ascii="Times New Roman" w:eastAsia="仿宋_GB2312" w:cs="Times New Roman" w:hAnsi="Times New Roman"/>
          <w:color w:val="000000"/>
          <w:sz w:val="32"/>
          <w:szCs w:val="32"/>
        </w:rPr>
        <w:t>分。全年预算数为</w:t>
      </w:r>
      <w:r>
        <w:rPr>
          <w:rFonts w:ascii="Times New Roman" w:eastAsia="仿宋_GB2312" w:cs="Times New Roman" w:hAnsi="Times New Roman" w:hint="eastAsia"/>
          <w:color w:val="000000"/>
          <w:sz w:val="32"/>
          <w:szCs w:val="32"/>
        </w:rPr>
        <w:t>39</w:t>
      </w:r>
      <w:r>
        <w:rPr>
          <w:rFonts w:ascii="Times New Roman" w:eastAsia="仿宋_GB2312" w:cs="Times New Roman" w:hAnsi="Times New Roman"/>
          <w:color w:val="000000"/>
          <w:sz w:val="32"/>
          <w:szCs w:val="32"/>
        </w:rPr>
        <w:t>万元，执行数为</w:t>
      </w:r>
      <w:r>
        <w:rPr>
          <w:rFonts w:ascii="Times New Roman" w:eastAsia="仿宋_GB2312" w:cs="Times New Roman" w:hAnsi="Times New Roman" w:hint="eastAsia"/>
          <w:color w:val="000000"/>
          <w:sz w:val="32"/>
          <w:szCs w:val="32"/>
        </w:rPr>
        <w:t>0</w:t>
      </w:r>
      <w:r>
        <w:rPr>
          <w:rFonts w:ascii="Times New Roman" w:eastAsia="仿宋_GB2312" w:cs="Times New Roman" w:hAnsi="Times New Roman"/>
          <w:color w:val="000000"/>
          <w:sz w:val="32"/>
          <w:szCs w:val="32"/>
        </w:rPr>
        <w:t>万元，完成预算的</w:t>
      </w:r>
      <w:r>
        <w:rPr>
          <w:rFonts w:ascii="Times New Roman" w:eastAsia="仿宋_GB2312" w:cs="Times New Roman" w:hAnsi="Times New Roman" w:hint="eastAsia"/>
          <w:color w:val="000000"/>
          <w:sz w:val="32"/>
          <w:szCs w:val="32"/>
        </w:rPr>
        <w:t>0%</w:t>
      </w:r>
      <w:r>
        <w:rPr>
          <w:rFonts w:ascii="Times New Roman" w:eastAsia="仿宋_GB2312" w:cs="Times New Roman" w:hAnsi="Times New Roman"/>
          <w:color w:val="000000"/>
          <w:sz w:val="32"/>
          <w:szCs w:val="32"/>
        </w:rPr>
        <w:t>。项目绩效目标完成情况：</w:t>
      </w:r>
      <w:r>
        <w:rPr>
          <w:rFonts w:ascii="Times New Roman" w:eastAsia="仿宋_GB2312" w:cs="Times New Roman" w:hAnsi="Times New Roman" w:hint="eastAsia"/>
          <w:color w:val="000000"/>
          <w:sz w:val="32"/>
          <w:szCs w:val="32"/>
        </w:rPr>
        <w:t>未完成</w:t>
      </w:r>
      <w:r>
        <w:rPr>
          <w:rFonts w:ascii="Times New Roman" w:eastAsia="仿宋_GB2312" w:cs="Times New Roman" w:hAnsi="Times New Roman"/>
          <w:color w:val="000000"/>
          <w:sz w:val="32"/>
          <w:szCs w:val="32"/>
        </w:rPr>
        <w:t>。发现的主要问题及原因：</w:t>
      </w:r>
      <w:r>
        <w:rPr>
          <w:rFonts w:ascii="Times New Roman" w:eastAsia="仿宋_GB2312" w:cs="Times New Roman" w:hAnsi="Times New Roman" w:hint="eastAsia"/>
          <w:color w:val="000000"/>
          <w:sz w:val="32"/>
          <w:szCs w:val="32"/>
        </w:rPr>
        <w:t>该资金用于“智慧法院”和档案数字化建设，但由于2019年度未能列入政府采购预算，故未能在2019年度支出</w:t>
      </w:r>
      <w:r>
        <w:rPr>
          <w:rFonts w:ascii="Times New Roman" w:eastAsia="仿宋_GB2312" w:cs="Times New Roman" w:hAnsi="Times New Roman"/>
          <w:color w:val="000000"/>
          <w:sz w:val="32"/>
          <w:szCs w:val="32"/>
        </w:rPr>
        <w:t>。下一步改进措施：</w:t>
      </w:r>
      <w:r>
        <w:rPr>
          <w:rFonts w:ascii="Times New Roman" w:eastAsia="仿宋_GB2312" w:cs="Times New Roman" w:hAnsi="Times New Roman" w:hint="eastAsia"/>
          <w:color w:val="000000"/>
          <w:sz w:val="32"/>
          <w:szCs w:val="32"/>
        </w:rPr>
        <w:t>在2020年度按原途径支出该资金，用于我院“智慧法院”和档案数字化建设</w:t>
      </w:r>
      <w:r>
        <w:rPr>
          <w:rFonts w:ascii="Times New Roman" w:eastAsia="仿宋_GB2312" w:cs="Times New Roman" w:hAnsi="Times New Roman"/>
          <w:color w:val="000000"/>
          <w:sz w:val="32"/>
          <w:szCs w:val="32"/>
        </w:rPr>
        <w:t>。</w:t>
      </w: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color w:val="000000"/>
          <w:sz w:val="32"/>
          <w:szCs w:val="32"/>
        </w:rPr>
      </w:pPr>
    </w:p>
    <w:tbl>
      <w:tblPr>
        <w:jc w:val="left"/>
        <w:tblInd w:w="30" w:type="dxa"/>
        <w:tblW w:w="897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781"/>
      </w:tblGrid>
      <w:tr>
        <w:trPr>
          <w:trHeight w:val="773"/>
        </w:trPr>
        <w:tc>
          <w:tcPr>
            <w:tcW w:w="8970" w:type="dxa"/>
            <w:gridSpan w:val="14"/>
            <w:tcBorders>
              <w:top w:val="nil"/>
              <w:left w:val="nil"/>
              <w:bottom w:val="nil"/>
              <w:right w:val="nil"/>
            </w:tcBorders>
            <w:noWrap/>
            <w:tcMar>
              <w:top w:w="15" w:type="dxa"/>
              <w:left w:w="15" w:type="dxa"/>
              <w:right w:w="15" w:type="dxa"/>
            </w:tcMar>
            <w:vAlign w:val="center"/>
          </w:tcPr>
          <w:p>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trPr>
          <w:trHeight w:val="259"/>
        </w:trPr>
        <w:tc>
          <w:tcPr>
            <w:tcW w:w="8970" w:type="dxa"/>
            <w:gridSpan w:val="14"/>
            <w:tcBorders>
              <w:top w:val="nil"/>
              <w:left w:val="nil"/>
              <w:bottom w:val="nil"/>
              <w:right w:val="nil"/>
            </w:tcBorders>
            <w:noWrap/>
          </w:tcPr>
          <w:p>
            <w:pPr>
              <w:widowControl/>
              <w:spacing w:line="240" w:lineRule="exact"/>
              <w:jc w:val="center"/>
              <w:rPr>
                <w:kern w:val="0"/>
                <w:sz w:val="22"/>
              </w:rPr>
            </w:pPr>
            <w:r>
              <w:rPr>
                <w:rFonts w:eastAsia="仿宋_GB2312"/>
                <w:kern w:val="0"/>
                <w:sz w:val="24"/>
              </w:rPr>
              <w:t xml:space="preserve">（  </w:t>
            </w:r>
            <w:r>
              <w:rPr>
                <w:rFonts w:eastAsia="仿宋_GB2312" w:hint="eastAsia"/>
                <w:kern w:val="0"/>
                <w:sz w:val="24"/>
              </w:rPr>
              <w:t>2019</w:t>
            </w:r>
            <w:r>
              <w:rPr>
                <w:rFonts w:eastAsia="仿宋_GB2312"/>
                <w:kern w:val="0"/>
                <w:sz w:val="24"/>
              </w:rPr>
              <w:t xml:space="preserve"> 年度）</w:t>
            </w:r>
          </w:p>
        </w:tc>
      </w:tr>
      <w:tr>
        <w:trPr>
          <w:trHeight w:val="308"/>
        </w:trPr>
        <w:tc>
          <w:tcPr>
            <w:tcW w:w="1212" w:type="dxa"/>
            <w:gridSpan w:val="2"/>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项目名称</w:t>
            </w:r>
          </w:p>
        </w:tc>
        <w:tc>
          <w:tcPr>
            <w:tcW w:w="7758" w:type="dxa"/>
            <w:gridSpan w:val="1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2019年中央政法纪检监察转移支付资金</w:t>
            </w:r>
          </w:p>
        </w:tc>
      </w:tr>
      <w:tr>
        <w:trPr>
          <w:trHeight w:val="373"/>
        </w:trPr>
        <w:tc>
          <w:tcPr>
            <w:tcW w:w="1212" w:type="dxa"/>
            <w:gridSpan w:val="2"/>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廊坊市广阳区人民法院</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实施单位</w:t>
            </w:r>
          </w:p>
        </w:tc>
        <w:tc>
          <w:tcPr>
            <w:tcW w:w="2447"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廊坊市广阳区人民法院</w:t>
            </w:r>
          </w:p>
        </w:tc>
      </w:tr>
      <w:tr>
        <w:trPr>
          <w:trHeight w:val="580"/>
        </w:trPr>
        <w:tc>
          <w:tcPr>
            <w:tcW w:w="1212" w:type="dxa"/>
            <w:gridSpan w:val="2"/>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项目资金</w:t>
              <w:br/>
              <w:t>（万元）</w:t>
            </w: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年初</w:t>
            </w:r>
          </w:p>
          <w:p>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执行率</w:t>
            </w: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得分</w:t>
            </w:r>
          </w:p>
        </w:tc>
      </w:tr>
      <w:tr>
        <w:trPr>
          <w:trHeight w:val="340"/>
        </w:trP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39</w:t>
            </w: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39</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0</w:t>
            </w: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100</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0%</w:t>
            </w: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0</w:t>
            </w:r>
          </w:p>
        </w:tc>
      </w:tr>
      <w:tr>
        <w:trPr>
          <w:trHeight w:val="306"/>
        </w:trP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39</w:t>
            </w: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39</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0</w:t>
            </w: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trHeight w:val="318"/>
        </w:trP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trHeight w:val="296"/>
        </w:trP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trHeight w:val="285"/>
        </w:trPr>
        <w:tc>
          <w:tcPr>
            <w:tcW w:w="586"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年度总体目标</w:t>
            </w:r>
          </w:p>
        </w:tc>
        <w:tc>
          <w:tcPr>
            <w:tcW w:w="481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预期目标</w:t>
            </w:r>
          </w:p>
        </w:tc>
        <w:tc>
          <w:tcPr>
            <w:tcW w:w="3570"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实际完成情况</w:t>
            </w:r>
          </w:p>
        </w:tc>
      </w:tr>
      <w:tr>
        <w:trPr>
          <w:trHeight w:val="1094"/>
        </w:trPr>
        <w:tc>
          <w:tcPr>
            <w:tcW w:w="586" w:type="dxa"/>
            <w:vMerge/>
            <w:tcBorders>
              <w:top w:val="nil"/>
              <w:left w:val="single" w:sz="4" w:space="0" w:color="auto"/>
              <w:bottom w:val="single" w:sz="4" w:space="0" w:color="auto"/>
              <w:right w:val="single" w:sz="4" w:space="0" w:color="auto"/>
            </w:tcBorders>
            <w:noWrap/>
            <w:vAlign w:val="center"/>
          </w:tcPr>
          <w:p/>
        </w:tc>
        <w:tc>
          <w:tcPr>
            <w:tcW w:w="481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加强“智慧法院”和档案数字化建设，提高我院业务装备水平，提高审判质效。</w:t>
            </w:r>
          </w:p>
        </w:tc>
        <w:tc>
          <w:tcPr>
            <w:tcW w:w="3570"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未完成</w:t>
            </w:r>
          </w:p>
        </w:tc>
      </w:tr>
      <w:tr>
        <w:trPr>
          <w:trHeight w:val="612"/>
        </w:trPr>
        <w:tc>
          <w:tcPr>
            <w:tcW w:w="586" w:type="dxa"/>
            <w:vMerge w:val="restart"/>
            <w:tcBorders>
              <w:top w:val="nil"/>
              <w:left w:val="single" w:sz="4" w:space="0" w:color="auto"/>
              <w:bottom w:val="nil"/>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绩</w:t>
              <w:br/>
              <w:t>效</w:t>
              <w:br/>
              <w:t>指</w:t>
              <w:br/>
              <w:t>标</w:t>
            </w:r>
          </w:p>
        </w:tc>
        <w:tc>
          <w:tcPr>
            <w:tcW w:w="626"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年度</w:t>
            </w:r>
          </w:p>
          <w:p>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实际</w:t>
            </w:r>
          </w:p>
          <w:p>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得分</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偏差原因分析及改进措施</w:t>
            </w:r>
          </w:p>
        </w:tc>
      </w:tr>
      <w:tr>
        <w:trPr>
          <w:trHeight w:val="2492"/>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val="restart"/>
            <w:tcBorders>
              <w:top w:val="nil"/>
              <w:left w:val="single" w:sz="4" w:space="0" w:color="auto"/>
              <w:right w:val="single" w:sz="4" w:space="0" w:color="auto"/>
            </w:tcBorders>
            <w:noWrap/>
            <w:vAlign w:val="center"/>
          </w:tcPr>
          <w:p>
            <w:pPr>
              <w:ind w:left="113" w:right="113"/>
              <w:jc w:val="center"/>
              <w:rPr>
                <w:rFonts w:eastAsia="宋体"/>
              </w:rPr>
            </w:pPr>
            <w:r>
              <w:rPr>
                <w:rFonts w:eastAsia="仿宋_GB2312" w:hint="eastAsia"/>
                <w:kern w:val="0"/>
                <w:sz w:val="24"/>
              </w:rPr>
              <w:t>产出指标</w:t>
            </w:r>
          </w:p>
        </w:tc>
        <w:tc>
          <w:tcPr>
            <w:tcW w:w="1465" w:type="dxa"/>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数量指标</w:t>
            </w:r>
          </w:p>
          <w:p>
            <w:pPr>
              <w:widowControl/>
              <w:spacing w:line="240" w:lineRule="exact"/>
              <w:jc w:val="center"/>
              <w:rPr>
                <w:rFonts w:eastAsia="仿宋_GB2312"/>
                <w:kern w:val="0"/>
                <w:sz w:val="24"/>
              </w:rPr>
            </w:p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案件结案率</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≥75%</w:t>
            </w: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0</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30</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原因：该资金用于“智慧法院”和档案数字化建设，但由于当年未能列入政府采购预算，故未能在2019年度支出。                                                      改进措施：我院将于2020年度支出该资金，用于我院“智慧法院”和档案数字化建设。</w:t>
              <w:tab/>
            </w:r>
          </w:p>
        </w:tc>
      </w:tr>
      <w:tr>
        <w:trPr>
          <w:trHeight w:val="261"/>
        </w:trPr>
        <w:tc>
          <w:tcPr>
            <w:tcW w:w="586" w:type="dxa"/>
            <w:vMerge/>
            <w:tcBorders>
              <w:top w:val="single" w:sz="4" w:space="0" w:color="auto"/>
              <w:left w:val="single" w:sz="4" w:space="0" w:color="auto"/>
              <w:bottom w:val="single" w:sz="4" w:space="0" w:color="auto"/>
              <w:right w:val="single" w:sz="4" w:space="0" w:color="auto"/>
            </w:tcBorders>
            <w:noWrap/>
            <w:vAlign w:val="center"/>
          </w:tcPr>
          <w:p/>
        </w:tc>
        <w:tc>
          <w:tcPr>
            <w:tcW w:w="626" w:type="dxa"/>
            <w:vMerge/>
            <w:tcBorders>
              <w:left w:val="single" w:sz="4" w:space="0" w:color="auto"/>
              <w:right w:val="single" w:sz="4" w:space="0" w:color="auto"/>
            </w:tcBorders>
            <w:noWrap/>
            <w:vAlign w:val="center"/>
          </w:tcPr>
          <w:p/>
        </w:tc>
        <w:tc>
          <w:tcPr>
            <w:tcW w:w="1465" w:type="dxa"/>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质量指标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案件信息录入率</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≥90%</w:t>
            </w: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0</w:t>
            </w:r>
          </w:p>
        </w:tc>
        <w:tc>
          <w:tcPr>
            <w:tcW w:w="5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20</w:t>
            </w: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同上</w:t>
            </w:r>
          </w:p>
        </w:tc>
      </w:tr>
      <w:tr>
        <w:trPr>
          <w:trHeight w:val="882"/>
        </w:trPr>
        <w:tc>
          <w:tcPr>
            <w:tcW w:w="586" w:type="dxa"/>
            <w:vMerge/>
            <w:tcBorders>
              <w:top w:val="single" w:sz="4" w:space="0" w:color="auto"/>
              <w:left w:val="single" w:sz="4" w:space="0" w:color="auto"/>
              <w:bottom w:val="single" w:sz="4" w:space="0" w:color="auto"/>
              <w:right w:val="single" w:sz="4" w:space="0" w:color="auto"/>
            </w:tcBorders>
            <w:noWrap/>
            <w:vAlign w:val="center"/>
          </w:tcPr>
          <w:p/>
        </w:tc>
        <w:tc>
          <w:tcPr>
            <w:tcW w:w="626" w:type="dxa"/>
            <w:vMerge/>
            <w:tcBorders>
              <w:left w:val="single" w:sz="4" w:space="0" w:color="auto"/>
              <w:bottom w:val="single" w:sz="4" w:space="0" w:color="auto"/>
              <w:right w:val="single" w:sz="4" w:space="0" w:color="auto"/>
            </w:tcBorders>
            <w:noWrap/>
            <w:vAlign w:val="center"/>
          </w:tcPr>
          <w:p/>
        </w:tc>
        <w:tc>
          <w:tcPr>
            <w:tcW w:w="1465" w:type="dxa"/>
            <w:vMerge/>
            <w:tcBorders>
              <w:top w:val="single" w:sz="4" w:space="0" w:color="auto"/>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实际政府采购项目数占按规定应列入政府采购的项目数的比例</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100%</w:t>
            </w: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0</w:t>
            </w:r>
          </w:p>
        </w:tc>
        <w:tc>
          <w:tcPr>
            <w:tcW w:w="5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w:t>
            </w: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同上</w:t>
            </w:r>
          </w:p>
        </w:tc>
      </w:tr>
      <w:tr>
        <w:trPr>
          <w:trHeight w:val="757"/>
        </w:trPr>
        <w:tc>
          <w:tcPr>
            <w:tcW w:w="586" w:type="dxa"/>
            <w:vMerge/>
            <w:tcBorders>
              <w:top w:val="single" w:sz="4" w:space="0" w:color="auto"/>
              <w:left w:val="single" w:sz="4" w:space="0" w:color="auto"/>
              <w:bottom w:val="single" w:sz="4" w:space="0" w:color="auto"/>
              <w:right w:val="single" w:sz="4" w:space="0" w:color="auto"/>
            </w:tcBorders>
            <w:noWrap/>
            <w:vAlign w:val="center"/>
          </w:tcPr>
          <w:p/>
        </w:tc>
        <w:tc>
          <w:tcPr>
            <w:tcW w:w="626"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效益</w:t>
            </w:r>
          </w:p>
          <w:p>
            <w:pPr>
              <w:widowControl/>
              <w:spacing w:line="240" w:lineRule="exact"/>
              <w:jc w:val="center"/>
              <w:rPr>
                <w:rFonts w:eastAsia="宋体"/>
              </w:rPr>
            </w:pPr>
            <w:r>
              <w:rPr>
                <w:rFonts w:eastAsia="仿宋_GB2312" w:hint="eastAsia"/>
                <w:kern w:val="0"/>
                <w:sz w:val="24"/>
              </w:rPr>
              <w:t>指标</w:t>
            </w:r>
          </w:p>
        </w:tc>
        <w:tc>
          <w:tcPr>
            <w:tcW w:w="1465" w:type="dxa"/>
            <w:tcBorders>
              <w:top w:val="single" w:sz="4" w:space="0" w:color="auto"/>
              <w:left w:val="single" w:sz="4" w:space="0" w:color="auto"/>
              <w:bottom w:val="single" w:sz="4" w:space="0" w:color="auto"/>
              <w:right w:val="single" w:sz="4" w:space="0" w:color="auto"/>
            </w:tcBorders>
            <w:noWrap/>
            <w:vAlign w:val="center"/>
          </w:tcPr>
          <w:p>
            <w:pPr>
              <w:jc w:val="center"/>
              <w:rPr>
                <w:rFonts w:eastAsia="宋体"/>
              </w:rPr>
            </w:pPr>
            <w:r>
              <w:rPr>
                <w:rFonts w:eastAsia="仿宋_GB2312" w:hint="eastAsia"/>
                <w:kern w:val="0"/>
                <w:szCs w:val="21"/>
              </w:rPr>
              <w:t>社会效益指标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法院公信力</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有效提升</w:t>
            </w: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cs="Times New Roman" w:hint="eastAsia"/>
                <w:kern w:val="0"/>
                <w:szCs w:val="21"/>
              </w:rPr>
              <w:t>未有效提升</w:t>
            </w:r>
          </w:p>
        </w:tc>
        <w:tc>
          <w:tcPr>
            <w:tcW w:w="5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20</w:t>
            </w: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同上</w:t>
            </w:r>
          </w:p>
        </w:tc>
      </w:tr>
      <w:tr>
        <w:trPr>
          <w:trHeight w:val="887"/>
        </w:trPr>
        <w:tc>
          <w:tcPr>
            <w:tcW w:w="586" w:type="dxa"/>
            <w:vMerge/>
            <w:tcBorders>
              <w:top w:val="single" w:sz="4" w:space="0" w:color="auto"/>
              <w:left w:val="single" w:sz="4" w:space="0" w:color="auto"/>
              <w:bottom w:val="single" w:sz="4" w:space="0" w:color="auto"/>
              <w:right w:val="single" w:sz="4" w:space="0" w:color="auto"/>
            </w:tcBorders>
            <w:noWrap/>
            <w:vAlign w:val="center"/>
          </w:tcPr>
          <w:p/>
        </w:tc>
        <w:tc>
          <w:tcPr>
            <w:tcW w:w="626" w:type="dxa"/>
            <w:tcBorders>
              <w:top w:val="single" w:sz="4" w:space="0" w:color="auto"/>
              <w:left w:val="single" w:sz="4" w:space="0" w:color="auto"/>
              <w:bottom w:val="nil"/>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满意度</w:t>
            </w:r>
          </w:p>
          <w:p>
            <w:pPr>
              <w:widowControl/>
              <w:spacing w:line="240" w:lineRule="exact"/>
              <w:jc w:val="center"/>
              <w:rPr>
                <w:rFonts w:eastAsia="仿宋_GB2312"/>
                <w:kern w:val="0"/>
                <w:sz w:val="24"/>
              </w:rPr>
            </w:pPr>
            <w:r>
              <w:rPr>
                <w:rFonts w:eastAsia="仿宋_GB2312"/>
                <w:kern w:val="0"/>
                <w:sz w:val="24"/>
              </w:rPr>
              <w:t>指标</w:t>
            </w:r>
          </w:p>
        </w:tc>
        <w:tc>
          <w:tcPr>
            <w:tcW w:w="1465"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服务对象满意度指标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当事人满意度</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≥80%</w:t>
            </w: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0</w:t>
            </w:r>
          </w:p>
        </w:tc>
        <w:tc>
          <w:tcPr>
            <w:tcW w:w="5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10</w:t>
            </w: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同上</w:t>
            </w:r>
          </w:p>
        </w:tc>
      </w:tr>
      <w:tr>
        <w:tc>
          <w:tcPr>
            <w:tcW w:w="6327" w:type="dxa"/>
            <w:gridSpan w:val="8"/>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hint="eastAsia"/>
                <w:kern w:val="0"/>
                <w:szCs w:val="21"/>
              </w:rPr>
              <w:t>100</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hint="eastAsia"/>
                <w:kern w:val="0"/>
                <w:szCs w:val="21"/>
              </w:rPr>
              <w:t>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bl>
    <w:p>
      <w:pPr>
        <w:widowControl/>
        <w:tabs>
          <w:tab w:val="left" w:pos="0"/>
        </w:tabs>
        <w:adjustRightInd w:val="0"/>
        <w:snapToGrid w:val="0"/>
        <w:spacing w:line="580" w:lineRule="exact"/>
        <w:jc w:val="left"/>
        <w:rPr>
          <w:rFonts w:ascii="Times New Roman" w:eastAsia="仿宋_GB2312" w:cs="Times New Roman" w:hAnsi="Times New Roman"/>
          <w:color w:val="000000"/>
          <w:sz w:val="32"/>
          <w:szCs w:val="32"/>
        </w:rPr>
      </w:pPr>
    </w:p>
    <w:p>
      <w:pPr>
        <w:widowControl/>
        <w:numPr>
          <w:ilvl w:val="0"/>
          <w:numId w:val="2"/>
        </w:numPr>
        <w:adjustRightInd w:val="0"/>
        <w:snapToGrid w:val="0"/>
        <w:spacing w:line="580" w:lineRule="exact"/>
        <w:ind w:left="0" w:firstLineChars="200" w:firstLine="640"/>
        <w:jc w:val="left"/>
        <w:rPr>
          <w:rFonts w:ascii="Times New Roman" w:eastAsia="仿宋_GB2312" w:cs="Times New Roman" w:hAnsi="Times New Roman" w:hint="eastAsia"/>
          <w:color w:val="000000"/>
          <w:sz w:val="32"/>
          <w:szCs w:val="32"/>
        </w:rPr>
      </w:pPr>
      <w:r>
        <w:rPr>
          <w:rFonts w:ascii="Times New Roman" w:eastAsia="仿宋_GB2312" w:cs="Times New Roman" w:hAnsi="Times New Roman" w:hint="eastAsia"/>
          <w:color w:val="000000"/>
          <w:sz w:val="32"/>
          <w:szCs w:val="32"/>
        </w:rPr>
        <w:t>2019年省级基层公检法司转移支付资金</w:t>
      </w:r>
      <w:r>
        <w:rPr>
          <w:rFonts w:ascii="Times New Roman" w:eastAsia="仿宋_GB2312" w:cs="Times New Roman" w:hAnsi="Times New Roman"/>
          <w:color w:val="000000"/>
          <w:sz w:val="32"/>
          <w:szCs w:val="32"/>
        </w:rPr>
        <w:t>项目</w:t>
      </w:r>
      <w:r>
        <w:rPr>
          <w:rFonts w:ascii="Times New Roman" w:eastAsia="仿宋_GB2312" w:cs="Times New Roman" w:hAnsi="Times New Roman" w:hint="eastAsia"/>
          <w:color w:val="000000"/>
          <w:sz w:val="32"/>
          <w:szCs w:val="32"/>
        </w:rPr>
        <w:t>绩效自评</w:t>
      </w:r>
      <w:r>
        <w:rPr>
          <w:rFonts w:ascii="Times New Roman" w:eastAsia="仿宋_GB2312" w:cs="Times New Roman" w:hAnsi="Times New Roman"/>
          <w:color w:val="000000"/>
          <w:sz w:val="32"/>
          <w:szCs w:val="32"/>
        </w:rPr>
        <w:t>综述：根据年初设定的绩效目标，</w:t>
      </w:r>
      <w:r>
        <w:rPr>
          <w:rFonts w:ascii="Times New Roman" w:eastAsia="仿宋_GB2312" w:cs="Times New Roman" w:hAnsi="Times New Roman" w:hint="eastAsia"/>
          <w:color w:val="000000"/>
          <w:sz w:val="32"/>
          <w:szCs w:val="32"/>
        </w:rPr>
        <w:t>2019年省级基层公检法司转移支付资金</w:t>
      </w:r>
      <w:r>
        <w:rPr>
          <w:rFonts w:ascii="Times New Roman" w:eastAsia="仿宋_GB2312" w:cs="Times New Roman" w:hAnsi="Times New Roman"/>
          <w:color w:val="000000"/>
          <w:sz w:val="32"/>
          <w:szCs w:val="32"/>
        </w:rPr>
        <w:t>项目绩效自评得分为</w:t>
      </w:r>
      <w:r>
        <w:rPr>
          <w:rFonts w:ascii="Times New Roman" w:eastAsia="仿宋_GB2312" w:cs="Times New Roman" w:hAnsi="Times New Roman" w:hint="eastAsia"/>
          <w:color w:val="000000"/>
          <w:sz w:val="32"/>
          <w:szCs w:val="32"/>
        </w:rPr>
        <w:t>95</w:t>
      </w:r>
      <w:r>
        <w:rPr>
          <w:rFonts w:ascii="Times New Roman" w:eastAsia="仿宋_GB2312" w:cs="Times New Roman" w:hAnsi="Times New Roman"/>
          <w:color w:val="000000"/>
          <w:sz w:val="32"/>
          <w:szCs w:val="32"/>
        </w:rPr>
        <w:t>分。全年预算数为</w:t>
      </w:r>
      <w:r>
        <w:rPr>
          <w:rFonts w:ascii="Times New Roman" w:eastAsia="仿宋_GB2312" w:cs="Times New Roman" w:hAnsi="Times New Roman" w:hint="eastAsia"/>
          <w:color w:val="000000"/>
          <w:sz w:val="32"/>
          <w:szCs w:val="32"/>
        </w:rPr>
        <w:t>98</w:t>
      </w:r>
      <w:r>
        <w:rPr>
          <w:rFonts w:ascii="Times New Roman" w:eastAsia="仿宋_GB2312" w:cs="Times New Roman" w:hAnsi="Times New Roman"/>
          <w:color w:val="000000"/>
          <w:sz w:val="32"/>
          <w:szCs w:val="32"/>
        </w:rPr>
        <w:t>万元，执行数为</w:t>
      </w:r>
      <w:r>
        <w:rPr>
          <w:rFonts w:ascii="Times New Roman" w:eastAsia="仿宋_GB2312" w:cs="Times New Roman" w:hAnsi="Times New Roman" w:hint="eastAsia"/>
          <w:color w:val="000000"/>
          <w:sz w:val="32"/>
          <w:szCs w:val="32"/>
        </w:rPr>
        <w:t>98</w:t>
      </w:r>
      <w:r>
        <w:rPr>
          <w:rFonts w:ascii="Times New Roman" w:eastAsia="仿宋_GB2312" w:cs="Times New Roman" w:hAnsi="Times New Roman"/>
          <w:color w:val="000000"/>
          <w:sz w:val="32"/>
          <w:szCs w:val="32"/>
        </w:rPr>
        <w:t>万元，完成预算的</w:t>
      </w:r>
      <w:r>
        <w:rPr>
          <w:rFonts w:ascii="Times New Roman" w:eastAsia="仿宋_GB2312" w:cs="Times New Roman" w:hAnsi="Times New Roman" w:hint="eastAsia"/>
          <w:color w:val="000000"/>
          <w:sz w:val="32"/>
          <w:szCs w:val="32"/>
        </w:rPr>
        <w:t>100%</w:t>
      </w:r>
      <w:r>
        <w:rPr>
          <w:rFonts w:ascii="Times New Roman" w:eastAsia="仿宋_GB2312" w:cs="Times New Roman" w:hAnsi="Times New Roman"/>
          <w:color w:val="000000"/>
          <w:sz w:val="32"/>
          <w:szCs w:val="32"/>
        </w:rPr>
        <w:t>。项目绩效目标完成情况：一是</w:t>
      </w:r>
      <w:r>
        <w:rPr>
          <w:rFonts w:ascii="Times New Roman" w:eastAsia="仿宋_GB2312" w:cs="Times New Roman" w:hAnsi="Times New Roman" w:hint="eastAsia"/>
          <w:color w:val="000000"/>
          <w:sz w:val="32"/>
          <w:szCs w:val="32"/>
        </w:rPr>
        <w:t>年度总体绩效目标基本完成</w:t>
      </w:r>
      <w:r>
        <w:rPr>
          <w:rFonts w:ascii="Times New Roman" w:eastAsia="仿宋_GB2312" w:cs="Times New Roman" w:hAnsi="Times New Roman"/>
          <w:color w:val="000000"/>
          <w:sz w:val="32"/>
          <w:szCs w:val="32"/>
        </w:rPr>
        <w:t>；二是</w:t>
      </w:r>
      <w:r>
        <w:rPr>
          <w:rFonts w:ascii="Times New Roman" w:eastAsia="仿宋_GB2312" w:cs="Times New Roman" w:hAnsi="Times New Roman" w:hint="eastAsia"/>
          <w:color w:val="000000"/>
          <w:sz w:val="32"/>
          <w:szCs w:val="32"/>
        </w:rPr>
        <w:t>产出指标和效果指标大部分完成</w:t>
      </w:r>
      <w:r>
        <w:rPr>
          <w:rFonts w:ascii="Times New Roman" w:eastAsia="仿宋_GB2312" w:cs="Times New Roman" w:hAnsi="Times New Roman"/>
          <w:color w:val="000000"/>
          <w:sz w:val="32"/>
          <w:szCs w:val="32"/>
        </w:rPr>
        <w:t>。发现的主要问题及原因：</w:t>
      </w:r>
      <w:r>
        <w:rPr>
          <w:rFonts w:ascii="Times New Roman" w:eastAsia="仿宋_GB2312" w:cs="Times New Roman" w:hAnsi="Times New Roman" w:hint="eastAsia"/>
          <w:color w:val="000000"/>
          <w:sz w:val="32"/>
          <w:szCs w:val="32"/>
        </w:rPr>
        <w:t>由于人案矛盾尖锐，产出指标中的案件结案率这一数量指标未完成</w:t>
      </w:r>
      <w:r>
        <w:rPr>
          <w:rFonts w:ascii="Times New Roman" w:eastAsia="仿宋_GB2312" w:cs="Times New Roman" w:hAnsi="Times New Roman"/>
          <w:color w:val="000000"/>
          <w:sz w:val="32"/>
          <w:szCs w:val="32"/>
        </w:rPr>
        <w:t>。下一步改进措施：一是</w:t>
      </w:r>
      <w:r>
        <w:rPr>
          <w:rFonts w:ascii="Times New Roman" w:eastAsia="仿宋_GB2312" w:cs="Times New Roman" w:hAnsi="Times New Roman" w:hint="eastAsia"/>
          <w:color w:val="000000"/>
          <w:sz w:val="32"/>
          <w:szCs w:val="32"/>
        </w:rPr>
        <w:t>增加干警数量，强大干警队伍</w:t>
      </w:r>
      <w:r>
        <w:rPr>
          <w:rFonts w:ascii="Times New Roman" w:eastAsia="仿宋_GB2312" w:cs="Times New Roman" w:hAnsi="Times New Roman"/>
          <w:color w:val="000000"/>
          <w:sz w:val="32"/>
          <w:szCs w:val="32"/>
        </w:rPr>
        <w:t>；二是</w:t>
      </w:r>
      <w:r>
        <w:rPr>
          <w:rFonts w:ascii="Times New Roman" w:eastAsia="仿宋_GB2312" w:cs="Times New Roman" w:hAnsi="Times New Roman" w:hint="eastAsia"/>
          <w:color w:val="000000"/>
          <w:sz w:val="32"/>
          <w:szCs w:val="32"/>
        </w:rPr>
        <w:t>提高干警工作积极性和工作效率，提高审判质效</w:t>
      </w:r>
      <w:r>
        <w:rPr>
          <w:rFonts w:ascii="Times New Roman" w:eastAsia="仿宋_GB2312" w:cs="Times New Roman" w:hAnsi="Times New Roman"/>
          <w:color w:val="000000"/>
          <w:sz w:val="32"/>
          <w:szCs w:val="32"/>
        </w:rPr>
        <w:t>。</w:t>
      </w: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color w:val="000000"/>
          <w:sz w:val="32"/>
          <w:szCs w:val="32"/>
        </w:rPr>
      </w:pPr>
    </w:p>
    <w:tbl>
      <w:tblPr>
        <w:jc w:val="left"/>
        <w:tblInd w:w="30" w:type="dxa"/>
        <w:tblW w:w="897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781"/>
      </w:tblGrid>
      <w:tr>
        <w:trPr>
          <w:trHeight w:val="773"/>
        </w:trPr>
        <w:tc>
          <w:tcPr>
            <w:tcW w:w="8970" w:type="dxa"/>
            <w:gridSpan w:val="14"/>
            <w:tcBorders>
              <w:top w:val="nil"/>
              <w:left w:val="nil"/>
              <w:bottom w:val="nil"/>
              <w:right w:val="nil"/>
            </w:tcBorders>
            <w:noWrap/>
            <w:tcMar>
              <w:top w:w="15" w:type="dxa"/>
              <w:left w:w="15" w:type="dxa"/>
              <w:right w:w="15" w:type="dxa"/>
            </w:tcMar>
            <w:vAlign w:val="center"/>
          </w:tcPr>
          <w:p>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trPr>
          <w:trHeight w:val="259"/>
        </w:trPr>
        <w:tc>
          <w:tcPr>
            <w:tcW w:w="8970" w:type="dxa"/>
            <w:gridSpan w:val="14"/>
            <w:tcBorders>
              <w:top w:val="nil"/>
              <w:left w:val="nil"/>
              <w:bottom w:val="nil"/>
              <w:right w:val="nil"/>
            </w:tcBorders>
            <w:noWrap/>
          </w:tcPr>
          <w:p>
            <w:pPr>
              <w:widowControl/>
              <w:spacing w:line="240" w:lineRule="exact"/>
              <w:jc w:val="center"/>
              <w:rPr>
                <w:kern w:val="0"/>
                <w:sz w:val="22"/>
              </w:rPr>
            </w:pPr>
            <w:r>
              <w:rPr>
                <w:rFonts w:eastAsia="仿宋_GB2312"/>
                <w:kern w:val="0"/>
                <w:sz w:val="24"/>
              </w:rPr>
              <w:t xml:space="preserve">（  </w:t>
            </w:r>
            <w:r>
              <w:rPr>
                <w:rFonts w:eastAsia="仿宋_GB2312" w:hint="eastAsia"/>
                <w:kern w:val="0"/>
                <w:sz w:val="24"/>
              </w:rPr>
              <w:t>2019</w:t>
            </w:r>
            <w:r>
              <w:rPr>
                <w:rFonts w:eastAsia="仿宋_GB2312"/>
                <w:kern w:val="0"/>
                <w:sz w:val="24"/>
              </w:rPr>
              <w:t xml:space="preserve"> 年度）</w:t>
            </w:r>
          </w:p>
        </w:tc>
      </w:tr>
      <w:tr>
        <w:trPr>
          <w:trHeight w:val="308"/>
        </w:trPr>
        <w:tc>
          <w:tcPr>
            <w:tcW w:w="1212" w:type="dxa"/>
            <w:gridSpan w:val="2"/>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项目名称</w:t>
            </w:r>
          </w:p>
        </w:tc>
        <w:tc>
          <w:tcPr>
            <w:tcW w:w="7758" w:type="dxa"/>
            <w:gridSpan w:val="1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2019年省级基层公检法司转移支付资金</w:t>
            </w:r>
          </w:p>
        </w:tc>
      </w:tr>
      <w:tr>
        <w:trPr>
          <w:trHeight w:val="373"/>
        </w:trPr>
        <w:tc>
          <w:tcPr>
            <w:tcW w:w="1212" w:type="dxa"/>
            <w:gridSpan w:val="2"/>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廊坊市广阳区人民法院</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实施单位</w:t>
            </w:r>
          </w:p>
        </w:tc>
        <w:tc>
          <w:tcPr>
            <w:tcW w:w="2447"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廊坊市广阳区人民法院</w:t>
            </w:r>
          </w:p>
        </w:tc>
      </w:tr>
      <w:tr>
        <w:trPr>
          <w:trHeight w:val="580"/>
        </w:trPr>
        <w:tc>
          <w:tcPr>
            <w:tcW w:w="1212" w:type="dxa"/>
            <w:gridSpan w:val="2"/>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项目资金</w:t>
              <w:br/>
              <w:t>（万元）</w:t>
            </w: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年初</w:t>
            </w:r>
          </w:p>
          <w:p>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执行率</w:t>
            </w: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得分</w:t>
            </w:r>
          </w:p>
        </w:tc>
      </w:tr>
      <w:tr>
        <w:trPr>
          <w:trHeight w:val="340"/>
        </w:trP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98</w:t>
            </w: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98</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98</w:t>
            </w: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100</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100%</w:t>
            </w: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95</w:t>
            </w:r>
          </w:p>
        </w:tc>
      </w:tr>
      <w:tr>
        <w:trPr>
          <w:trHeight w:val="306"/>
        </w:trP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98</w:t>
            </w: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98</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98</w:t>
            </w: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trHeight w:val="318"/>
        </w:trP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trHeight w:val="296"/>
        </w:trP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trHeight w:val="285"/>
        </w:trPr>
        <w:tc>
          <w:tcPr>
            <w:tcW w:w="586"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预期目标</w:t>
            </w:r>
          </w:p>
        </w:tc>
        <w:tc>
          <w:tcPr>
            <w:tcW w:w="3570"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实际完成情况</w:t>
            </w:r>
          </w:p>
        </w:tc>
      </w:tr>
      <w:tr>
        <w:trPr>
          <w:trHeight w:val="1094"/>
        </w:trPr>
        <w:tc>
          <w:tcPr>
            <w:tcW w:w="586" w:type="dxa"/>
            <w:vMerge/>
            <w:tcBorders>
              <w:top w:val="nil"/>
              <w:left w:val="single" w:sz="4" w:space="0" w:color="auto"/>
              <w:bottom w:val="single" w:sz="4" w:space="0" w:color="auto"/>
              <w:right w:val="single" w:sz="4" w:space="0" w:color="auto"/>
            </w:tcBorders>
            <w:noWrap/>
            <w:vAlign w:val="center"/>
          </w:tcPr>
          <w:p/>
        </w:tc>
        <w:tc>
          <w:tcPr>
            <w:tcW w:w="481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满足审判及执行工作所需经费开支，做到办案经费专款专用，为诉讼、审判购置业务装备，为审判工作做好充足的保障。</w:t>
            </w:r>
          </w:p>
        </w:tc>
        <w:tc>
          <w:tcPr>
            <w:tcW w:w="3570"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年初设定目标基本完成，该资金保障了我院2019年度审判及执行工作所需经费开支，并购置了桌面云项目及安检机等警用设备，提高了我院业务装备水平，充分保障了我院审判工作的顺利进行。</w:t>
            </w:r>
          </w:p>
        </w:tc>
      </w:tr>
      <w:tr>
        <w:trPr>
          <w:trHeight w:val="612"/>
        </w:trPr>
        <w:tc>
          <w:tcPr>
            <w:tcW w:w="586" w:type="dxa"/>
            <w:vMerge w:val="restart"/>
            <w:tcBorders>
              <w:top w:val="nil"/>
              <w:left w:val="single" w:sz="4" w:space="0" w:color="auto"/>
              <w:bottom w:val="nil"/>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绩</w:t>
              <w:br/>
              <w:t>效</w:t>
              <w:br/>
              <w:t>指</w:t>
              <w:br/>
              <w:t>标</w:t>
            </w:r>
          </w:p>
        </w:tc>
        <w:tc>
          <w:tcPr>
            <w:tcW w:w="626"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年度</w:t>
            </w:r>
          </w:p>
          <w:p>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实际</w:t>
            </w:r>
          </w:p>
          <w:p>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得分</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偏差原因分析及改进措施</w:t>
            </w:r>
          </w:p>
        </w:tc>
      </w:tr>
      <w:tr>
        <w:trPr>
          <w:trHeight w:val="4315"/>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val="restart"/>
            <w:tcBorders>
              <w:top w:val="nil"/>
              <w:left w:val="single" w:sz="4" w:space="0" w:color="auto"/>
              <w:right w:val="single" w:sz="4" w:space="0" w:color="auto"/>
            </w:tcBorders>
            <w:noWrap/>
            <w:vAlign w:val="center"/>
          </w:tcPr>
          <w:p>
            <w:pPr>
              <w:ind w:left="113" w:right="113"/>
              <w:jc w:val="center"/>
              <w:rPr>
                <w:rFonts w:eastAsia="宋体"/>
              </w:rPr>
            </w:pPr>
            <w:r>
              <w:rPr>
                <w:rFonts w:eastAsia="仿宋_GB2312" w:hint="eastAsia"/>
                <w:kern w:val="0"/>
                <w:sz w:val="24"/>
              </w:rPr>
              <w:t>产出指标</w:t>
            </w:r>
          </w:p>
        </w:tc>
        <w:tc>
          <w:tcPr>
            <w:tcW w:w="1465" w:type="dxa"/>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数量指标</w:t>
            </w:r>
          </w:p>
          <w:p>
            <w:pPr>
              <w:widowControl/>
              <w:spacing w:line="240" w:lineRule="exact"/>
              <w:jc w:val="center"/>
              <w:rPr>
                <w:rFonts w:eastAsia="仿宋_GB2312"/>
                <w:kern w:val="0"/>
                <w:sz w:val="24"/>
              </w:rPr>
            </w:p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案件结案率</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≥75%</w:t>
            </w: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68%</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30</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25</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原因：2019年我院共受理各类案件17897件，案件基数大。2019年我院五名正式干警辞职、退休及调走，正式干警数量不断减少，法官年龄普遍偏大，案多人少的矛盾突出。                    改进措施：我院将努力提高审判人员的工作积极性和工作效率，解决案多人少的突出矛盾，缓解审判压力，提高审判质效。</w:t>
              <w:tab/>
            </w:r>
          </w:p>
        </w:tc>
      </w:tr>
      <w:tr>
        <w:trPr>
          <w:trHeight w:val="261"/>
        </w:trPr>
        <w:tc>
          <w:tcPr>
            <w:tcW w:w="586" w:type="dxa"/>
            <w:vMerge/>
            <w:tcBorders>
              <w:top w:val="single" w:sz="4" w:space="0" w:color="auto"/>
              <w:left w:val="single" w:sz="4" w:space="0" w:color="auto"/>
              <w:bottom w:val="single" w:sz="4" w:space="0" w:color="auto"/>
              <w:right w:val="single" w:sz="4" w:space="0" w:color="auto"/>
            </w:tcBorders>
            <w:noWrap/>
            <w:vAlign w:val="center"/>
          </w:tcPr>
          <w:p/>
        </w:tc>
        <w:tc>
          <w:tcPr>
            <w:tcW w:w="626" w:type="dxa"/>
            <w:vMerge/>
            <w:tcBorders>
              <w:left w:val="single" w:sz="4" w:space="0" w:color="auto"/>
              <w:right w:val="single" w:sz="4" w:space="0" w:color="auto"/>
            </w:tcBorders>
            <w:noWrap/>
            <w:vAlign w:val="center"/>
          </w:tcPr>
          <w:p/>
        </w:tc>
        <w:tc>
          <w:tcPr>
            <w:tcW w:w="1465" w:type="dxa"/>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质量指标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案件信息录入率</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≥90%</w:t>
            </w: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99%</w:t>
            </w:r>
          </w:p>
        </w:tc>
        <w:tc>
          <w:tcPr>
            <w:tcW w:w="5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20</w:t>
            </w: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20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882"/>
        </w:trPr>
        <w:tc>
          <w:tcPr>
            <w:tcW w:w="586" w:type="dxa"/>
            <w:vMerge/>
            <w:tcBorders>
              <w:top w:val="single" w:sz="4" w:space="0" w:color="auto"/>
              <w:left w:val="single" w:sz="4" w:space="0" w:color="auto"/>
              <w:bottom w:val="single" w:sz="4" w:space="0" w:color="auto"/>
              <w:right w:val="single" w:sz="4" w:space="0" w:color="auto"/>
            </w:tcBorders>
            <w:noWrap/>
            <w:vAlign w:val="center"/>
          </w:tcPr>
          <w:p/>
        </w:tc>
        <w:tc>
          <w:tcPr>
            <w:tcW w:w="626" w:type="dxa"/>
            <w:vMerge/>
            <w:tcBorders>
              <w:left w:val="single" w:sz="4" w:space="0" w:color="auto"/>
              <w:bottom w:val="single" w:sz="4" w:space="0" w:color="auto"/>
              <w:right w:val="single" w:sz="4" w:space="0" w:color="auto"/>
            </w:tcBorders>
            <w:noWrap/>
            <w:vAlign w:val="center"/>
          </w:tcPr>
          <w:p/>
        </w:tc>
        <w:tc>
          <w:tcPr>
            <w:tcW w:w="1465" w:type="dxa"/>
            <w:vMerge/>
            <w:tcBorders>
              <w:top w:val="single" w:sz="4" w:space="0" w:color="auto"/>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实际政府采购项目数占按规定应列入政府采购的项目数的比例</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100%</w:t>
            </w: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100%</w:t>
            </w:r>
          </w:p>
        </w:tc>
        <w:tc>
          <w:tcPr>
            <w:tcW w:w="5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w:t>
            </w: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569"/>
        </w:trPr>
        <w:tc>
          <w:tcPr>
            <w:tcW w:w="586" w:type="dxa"/>
            <w:vMerge/>
            <w:tcBorders>
              <w:top w:val="single" w:sz="4" w:space="0" w:color="auto"/>
              <w:left w:val="single" w:sz="4" w:space="0" w:color="auto"/>
              <w:bottom w:val="single" w:sz="4" w:space="0" w:color="auto"/>
              <w:right w:val="single" w:sz="4" w:space="0" w:color="auto"/>
            </w:tcBorders>
            <w:noWrap/>
            <w:vAlign w:val="center"/>
          </w:tcPr>
          <w:p/>
        </w:tc>
        <w:tc>
          <w:tcPr>
            <w:tcW w:w="626"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效益</w:t>
            </w:r>
          </w:p>
          <w:p>
            <w:pPr>
              <w:widowControl/>
              <w:spacing w:line="240" w:lineRule="exact"/>
              <w:jc w:val="center"/>
              <w:rPr>
                <w:rFonts w:eastAsia="仿宋_GB2312"/>
                <w:kern w:val="0"/>
                <w:sz w:val="24"/>
              </w:rPr>
            </w:pPr>
            <w:r>
              <w:rPr>
                <w:rFonts w:eastAsia="仿宋_GB2312" w:hint="eastAsia"/>
                <w:kern w:val="0"/>
                <w:sz w:val="24"/>
              </w:rPr>
              <w:t>指标</w:t>
            </w:r>
          </w:p>
        </w:tc>
        <w:tc>
          <w:tcPr>
            <w:tcW w:w="1465"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社会效益指标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法院公信力</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有效提升</w:t>
            </w: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有效提升</w:t>
            </w:r>
          </w:p>
        </w:tc>
        <w:tc>
          <w:tcPr>
            <w:tcW w:w="5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20</w:t>
            </w: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20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887"/>
        </w:trPr>
        <w:tc>
          <w:tcPr>
            <w:tcW w:w="586" w:type="dxa"/>
            <w:vMerge/>
            <w:tcBorders>
              <w:top w:val="single" w:sz="4" w:space="0" w:color="auto"/>
              <w:left w:val="single" w:sz="4" w:space="0" w:color="auto"/>
              <w:bottom w:val="single" w:sz="4" w:space="0" w:color="auto"/>
              <w:right w:val="single" w:sz="4" w:space="0" w:color="auto"/>
            </w:tcBorders>
            <w:noWrap/>
            <w:vAlign w:val="center"/>
          </w:tcPr>
          <w:p/>
        </w:tc>
        <w:tc>
          <w:tcPr>
            <w:tcW w:w="626" w:type="dxa"/>
            <w:tcBorders>
              <w:top w:val="single" w:sz="4" w:space="0" w:color="auto"/>
              <w:left w:val="single" w:sz="4" w:space="0" w:color="auto"/>
              <w:bottom w:val="nil"/>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满意度</w:t>
            </w:r>
          </w:p>
          <w:p>
            <w:pPr>
              <w:widowControl/>
              <w:spacing w:line="240" w:lineRule="exact"/>
              <w:jc w:val="center"/>
              <w:rPr>
                <w:rFonts w:eastAsia="仿宋_GB2312"/>
                <w:kern w:val="0"/>
                <w:sz w:val="24"/>
              </w:rPr>
            </w:pPr>
            <w:r>
              <w:rPr>
                <w:rFonts w:eastAsia="仿宋_GB2312"/>
                <w:kern w:val="0"/>
                <w:sz w:val="24"/>
              </w:rPr>
              <w:t>指标</w:t>
            </w:r>
          </w:p>
        </w:tc>
        <w:tc>
          <w:tcPr>
            <w:tcW w:w="1465"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服务对象满意度指标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当事人满意度</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≥80%</w:t>
            </w: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85%</w:t>
            </w:r>
          </w:p>
        </w:tc>
        <w:tc>
          <w:tcPr>
            <w:tcW w:w="5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10</w:t>
            </w: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10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c>
          <w:tcPr>
            <w:tcW w:w="6327" w:type="dxa"/>
            <w:gridSpan w:val="8"/>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hint="eastAsia"/>
                <w:kern w:val="0"/>
                <w:szCs w:val="21"/>
              </w:rPr>
              <w:t>100</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hint="eastAsia"/>
                <w:kern w:val="0"/>
                <w:szCs w:val="21"/>
              </w:rPr>
              <w:t>95</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bl>
    <w:p>
      <w:pPr>
        <w:widowControl/>
        <w:numPr>
          <w:ilvl w:val="0"/>
          <w:numId w:val="2"/>
        </w:numPr>
        <w:adjustRightInd w:val="0"/>
        <w:snapToGrid w:val="0"/>
        <w:spacing w:line="580" w:lineRule="exact"/>
        <w:ind w:left="0" w:firstLineChars="200" w:firstLine="640"/>
        <w:jc w:val="left"/>
        <w:rPr>
          <w:rFonts w:ascii="Times New Roman" w:eastAsia="仿宋_GB2312" w:cs="Times New Roman" w:hAnsi="Times New Roman" w:hint="eastAsia"/>
          <w:color w:val="000000"/>
          <w:sz w:val="32"/>
          <w:szCs w:val="32"/>
        </w:rPr>
      </w:pPr>
      <w:r>
        <w:rPr>
          <w:rFonts w:ascii="Times New Roman" w:eastAsia="仿宋_GB2312" w:cs="Times New Roman" w:hAnsi="Times New Roman" w:hint="eastAsia"/>
          <w:color w:val="000000"/>
          <w:sz w:val="32"/>
          <w:szCs w:val="32"/>
        </w:rPr>
        <w:t>2019年度法院建设补助资金</w:t>
      </w:r>
      <w:r>
        <w:rPr>
          <w:rFonts w:ascii="Times New Roman" w:eastAsia="仿宋_GB2312" w:cs="Times New Roman" w:hAnsi="Times New Roman"/>
          <w:color w:val="000000"/>
          <w:sz w:val="32"/>
          <w:szCs w:val="32"/>
        </w:rPr>
        <w:t>项目</w:t>
      </w:r>
      <w:r>
        <w:rPr>
          <w:rFonts w:ascii="Times New Roman" w:eastAsia="仿宋_GB2312" w:cs="Times New Roman" w:hAnsi="Times New Roman" w:hint="eastAsia"/>
          <w:color w:val="000000"/>
          <w:sz w:val="32"/>
          <w:szCs w:val="32"/>
        </w:rPr>
        <w:t>绩效自评</w:t>
      </w:r>
      <w:r>
        <w:rPr>
          <w:rFonts w:ascii="Times New Roman" w:eastAsia="仿宋_GB2312" w:cs="Times New Roman" w:hAnsi="Times New Roman"/>
          <w:color w:val="000000"/>
          <w:sz w:val="32"/>
          <w:szCs w:val="32"/>
        </w:rPr>
        <w:t>综述：根据年初设定的绩效目标，</w:t>
      </w:r>
      <w:r>
        <w:rPr>
          <w:rFonts w:ascii="Times New Roman" w:eastAsia="仿宋_GB2312" w:cs="Times New Roman" w:hAnsi="Times New Roman" w:hint="eastAsia"/>
          <w:color w:val="000000"/>
          <w:sz w:val="32"/>
          <w:szCs w:val="32"/>
        </w:rPr>
        <w:t>2019年度法院建设补助资金</w:t>
      </w:r>
      <w:r>
        <w:rPr>
          <w:rFonts w:ascii="Times New Roman" w:eastAsia="仿宋_GB2312" w:cs="Times New Roman" w:hAnsi="Times New Roman"/>
          <w:color w:val="000000"/>
          <w:sz w:val="32"/>
          <w:szCs w:val="32"/>
        </w:rPr>
        <w:t>项目绩效自评得分为</w:t>
      </w:r>
      <w:r>
        <w:rPr>
          <w:rFonts w:ascii="Times New Roman" w:eastAsia="仿宋_GB2312" w:cs="Times New Roman" w:hAnsi="Times New Roman" w:hint="eastAsia"/>
          <w:color w:val="000000"/>
          <w:sz w:val="32"/>
          <w:szCs w:val="32"/>
        </w:rPr>
        <w:t>95</w:t>
      </w:r>
      <w:r>
        <w:rPr>
          <w:rFonts w:ascii="Times New Roman" w:eastAsia="仿宋_GB2312" w:cs="Times New Roman" w:hAnsi="Times New Roman"/>
          <w:color w:val="000000"/>
          <w:sz w:val="32"/>
          <w:szCs w:val="32"/>
        </w:rPr>
        <w:t>分。全年预算数为</w:t>
      </w:r>
      <w:r>
        <w:rPr>
          <w:rFonts w:ascii="Times New Roman" w:eastAsia="仿宋_GB2312" w:cs="Times New Roman" w:hAnsi="Times New Roman" w:hint="eastAsia"/>
          <w:color w:val="000000"/>
          <w:sz w:val="32"/>
          <w:szCs w:val="32"/>
        </w:rPr>
        <w:t>20</w:t>
      </w:r>
      <w:r>
        <w:rPr>
          <w:rFonts w:ascii="Times New Roman" w:eastAsia="仿宋_GB2312" w:cs="Times New Roman" w:hAnsi="Times New Roman"/>
          <w:color w:val="000000"/>
          <w:sz w:val="32"/>
          <w:szCs w:val="32"/>
        </w:rPr>
        <w:t>万元，执行数为</w:t>
      </w:r>
      <w:r>
        <w:rPr>
          <w:rFonts w:ascii="Times New Roman" w:eastAsia="仿宋_GB2312" w:cs="Times New Roman" w:hAnsi="Times New Roman" w:hint="eastAsia"/>
          <w:color w:val="000000"/>
          <w:sz w:val="32"/>
          <w:szCs w:val="32"/>
        </w:rPr>
        <w:t>20</w:t>
      </w:r>
      <w:r>
        <w:rPr>
          <w:rFonts w:ascii="Times New Roman" w:eastAsia="仿宋_GB2312" w:cs="Times New Roman" w:hAnsi="Times New Roman"/>
          <w:color w:val="000000"/>
          <w:sz w:val="32"/>
          <w:szCs w:val="32"/>
        </w:rPr>
        <w:t>万元，完成预算的</w:t>
      </w:r>
      <w:r>
        <w:rPr>
          <w:rFonts w:ascii="Times New Roman" w:eastAsia="仿宋_GB2312" w:cs="Times New Roman" w:hAnsi="Times New Roman" w:hint="eastAsia"/>
          <w:color w:val="000000"/>
          <w:sz w:val="32"/>
          <w:szCs w:val="32"/>
        </w:rPr>
        <w:t>100%</w:t>
      </w:r>
      <w:r>
        <w:rPr>
          <w:rFonts w:ascii="Times New Roman" w:eastAsia="仿宋_GB2312" w:cs="Times New Roman" w:hAnsi="Times New Roman"/>
          <w:color w:val="000000"/>
          <w:sz w:val="32"/>
          <w:szCs w:val="32"/>
        </w:rPr>
        <w:t>。项目绩效目标完成情况：一是</w:t>
      </w:r>
      <w:r>
        <w:rPr>
          <w:rFonts w:ascii="Times New Roman" w:eastAsia="仿宋_GB2312" w:cs="Times New Roman" w:hAnsi="Times New Roman" w:hint="eastAsia"/>
          <w:color w:val="000000"/>
          <w:sz w:val="32"/>
          <w:szCs w:val="32"/>
        </w:rPr>
        <w:t>年度总体绩效目标基本完成</w:t>
      </w:r>
      <w:r>
        <w:rPr>
          <w:rFonts w:ascii="Times New Roman" w:eastAsia="仿宋_GB2312" w:cs="Times New Roman" w:hAnsi="Times New Roman"/>
          <w:color w:val="000000"/>
          <w:sz w:val="32"/>
          <w:szCs w:val="32"/>
        </w:rPr>
        <w:t>；二是</w:t>
      </w:r>
      <w:r>
        <w:rPr>
          <w:rFonts w:ascii="Times New Roman" w:eastAsia="仿宋_GB2312" w:cs="Times New Roman" w:hAnsi="Times New Roman" w:hint="eastAsia"/>
          <w:color w:val="000000"/>
          <w:sz w:val="32"/>
          <w:szCs w:val="32"/>
        </w:rPr>
        <w:t>产出指标和效果指标大部分完成</w:t>
      </w:r>
      <w:r>
        <w:rPr>
          <w:rFonts w:ascii="Times New Roman" w:eastAsia="仿宋_GB2312" w:cs="Times New Roman" w:hAnsi="Times New Roman"/>
          <w:color w:val="000000"/>
          <w:sz w:val="32"/>
          <w:szCs w:val="32"/>
        </w:rPr>
        <w:t>。发现的主要问题及原因：</w:t>
      </w:r>
      <w:r>
        <w:rPr>
          <w:rFonts w:ascii="Times New Roman" w:eastAsia="仿宋_GB2312" w:cs="Times New Roman" w:hAnsi="Times New Roman" w:hint="eastAsia"/>
          <w:color w:val="000000"/>
          <w:sz w:val="32"/>
          <w:szCs w:val="32"/>
        </w:rPr>
        <w:t>由于人案矛盾尖锐，产出指标中的案件结案率这一数量指标未完成</w:t>
      </w:r>
      <w:r>
        <w:rPr>
          <w:rFonts w:ascii="Times New Roman" w:eastAsia="仿宋_GB2312" w:cs="Times New Roman" w:hAnsi="Times New Roman"/>
          <w:color w:val="000000"/>
          <w:sz w:val="32"/>
          <w:szCs w:val="32"/>
        </w:rPr>
        <w:t>。下一步改进措施：一是</w:t>
      </w:r>
      <w:r>
        <w:rPr>
          <w:rFonts w:ascii="Times New Roman" w:eastAsia="仿宋_GB2312" w:cs="Times New Roman" w:hAnsi="Times New Roman" w:hint="eastAsia"/>
          <w:color w:val="000000"/>
          <w:sz w:val="32"/>
          <w:szCs w:val="32"/>
        </w:rPr>
        <w:t>增加干警数量，强大干警队伍</w:t>
      </w:r>
      <w:r>
        <w:rPr>
          <w:rFonts w:ascii="Times New Roman" w:eastAsia="仿宋_GB2312" w:cs="Times New Roman" w:hAnsi="Times New Roman"/>
          <w:color w:val="000000"/>
          <w:sz w:val="32"/>
          <w:szCs w:val="32"/>
        </w:rPr>
        <w:t>；二是</w:t>
      </w:r>
      <w:r>
        <w:rPr>
          <w:rFonts w:ascii="Times New Roman" w:eastAsia="仿宋_GB2312" w:cs="Times New Roman" w:hAnsi="Times New Roman" w:hint="eastAsia"/>
          <w:color w:val="000000"/>
          <w:sz w:val="32"/>
          <w:szCs w:val="32"/>
        </w:rPr>
        <w:t>提高干警工作积极性和工作效率，提高审判质效</w:t>
      </w:r>
      <w:r>
        <w:rPr>
          <w:rFonts w:ascii="Times New Roman" w:eastAsia="仿宋_GB2312" w:cs="Times New Roman" w:hAnsi="Times New Roman"/>
          <w:color w:val="000000"/>
          <w:sz w:val="32"/>
          <w:szCs w:val="32"/>
        </w:rPr>
        <w:t>。</w:t>
      </w: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hint="eastAsia"/>
          <w:color w:val="000000"/>
          <w:sz w:val="32"/>
          <w:szCs w:val="32"/>
        </w:rPr>
      </w:pPr>
    </w:p>
    <w:p>
      <w:pPr>
        <w:widowControl/>
        <w:tabs>
          <w:tab w:val="left" w:pos="0"/>
        </w:tabs>
        <w:adjustRightInd w:val="0"/>
        <w:snapToGrid w:val="0"/>
        <w:spacing w:line="580" w:lineRule="exact"/>
        <w:jc w:val="left"/>
        <w:rPr>
          <w:rFonts w:ascii="Times New Roman" w:eastAsia="仿宋_GB2312" w:cs="Times New Roman" w:hAnsi="Times New Roman"/>
          <w:color w:val="000000"/>
          <w:sz w:val="32"/>
          <w:szCs w:val="32"/>
        </w:rPr>
      </w:pPr>
    </w:p>
    <w:tbl>
      <w:tblPr>
        <w:jc w:val="left"/>
        <w:tblInd w:w="30" w:type="dxa"/>
        <w:tblW w:w="897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781"/>
      </w:tblGrid>
      <w:tr>
        <w:trPr>
          <w:trHeight w:val="773"/>
        </w:trPr>
        <w:tc>
          <w:tcPr>
            <w:tcW w:w="8970" w:type="dxa"/>
            <w:gridSpan w:val="14"/>
            <w:tcBorders>
              <w:top w:val="nil"/>
              <w:left w:val="nil"/>
              <w:bottom w:val="nil"/>
              <w:right w:val="nil"/>
            </w:tcBorders>
            <w:noWrap/>
            <w:tcMar>
              <w:top w:w="15" w:type="dxa"/>
              <w:left w:w="15" w:type="dxa"/>
              <w:right w:w="15" w:type="dxa"/>
            </w:tcMar>
            <w:vAlign w:val="center"/>
          </w:tcPr>
          <w:p>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trPr>
          <w:trHeight w:val="259"/>
        </w:trPr>
        <w:tc>
          <w:tcPr>
            <w:tcW w:w="8970" w:type="dxa"/>
            <w:gridSpan w:val="14"/>
            <w:tcBorders>
              <w:top w:val="nil"/>
              <w:left w:val="nil"/>
              <w:bottom w:val="nil"/>
              <w:right w:val="nil"/>
            </w:tcBorders>
            <w:noWrap/>
          </w:tcPr>
          <w:p>
            <w:pPr>
              <w:widowControl/>
              <w:spacing w:line="240" w:lineRule="exact"/>
              <w:jc w:val="center"/>
              <w:rPr>
                <w:kern w:val="0"/>
                <w:sz w:val="22"/>
              </w:rPr>
            </w:pPr>
            <w:r>
              <w:rPr>
                <w:rFonts w:eastAsia="仿宋_GB2312"/>
                <w:kern w:val="0"/>
                <w:sz w:val="24"/>
              </w:rPr>
              <w:t xml:space="preserve">（  </w:t>
            </w:r>
            <w:r>
              <w:rPr>
                <w:rFonts w:eastAsia="仿宋_GB2312" w:hint="eastAsia"/>
                <w:kern w:val="0"/>
                <w:sz w:val="24"/>
              </w:rPr>
              <w:t>2019</w:t>
            </w:r>
            <w:r>
              <w:rPr>
                <w:rFonts w:eastAsia="仿宋_GB2312"/>
                <w:kern w:val="0"/>
                <w:sz w:val="24"/>
              </w:rPr>
              <w:t xml:space="preserve"> 年度）</w:t>
            </w:r>
          </w:p>
        </w:tc>
      </w:tr>
      <w:tr>
        <w:trPr>
          <w:trHeight w:val="308"/>
        </w:trPr>
        <w:tc>
          <w:tcPr>
            <w:tcW w:w="1212" w:type="dxa"/>
            <w:gridSpan w:val="2"/>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项目名称</w:t>
            </w:r>
          </w:p>
        </w:tc>
        <w:tc>
          <w:tcPr>
            <w:tcW w:w="7758" w:type="dxa"/>
            <w:gridSpan w:val="1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2019年度法院建设补助资金</w:t>
            </w:r>
          </w:p>
        </w:tc>
      </w:tr>
      <w:tr>
        <w:trPr>
          <w:trHeight w:val="373"/>
        </w:trPr>
        <w:tc>
          <w:tcPr>
            <w:tcW w:w="1212" w:type="dxa"/>
            <w:gridSpan w:val="2"/>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廊坊市广阳区人民法院</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实施单位</w:t>
            </w:r>
          </w:p>
        </w:tc>
        <w:tc>
          <w:tcPr>
            <w:tcW w:w="2447"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廊坊市广阳区人民法院</w:t>
            </w:r>
          </w:p>
        </w:tc>
      </w:tr>
      <w:tr>
        <w:trPr>
          <w:trHeight w:val="580"/>
        </w:trPr>
        <w:tc>
          <w:tcPr>
            <w:tcW w:w="1212" w:type="dxa"/>
            <w:gridSpan w:val="2"/>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项目资金</w:t>
              <w:br/>
              <w:t>（万元）</w:t>
            </w: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年初</w:t>
            </w:r>
          </w:p>
          <w:p>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执行率</w:t>
            </w: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得分</w:t>
            </w:r>
          </w:p>
        </w:tc>
      </w:tr>
      <w:tr>
        <w:trPr>
          <w:trHeight w:val="340"/>
        </w:trP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w:t>
            </w: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w:t>
            </w: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100</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100%</w:t>
            </w: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95</w:t>
            </w:r>
          </w:p>
        </w:tc>
      </w:tr>
      <w:tr>
        <w:trPr>
          <w:trHeight w:val="306"/>
        </w:trP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w:t>
            </w: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w:t>
            </w: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trHeight w:val="318"/>
        </w:trP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trHeight w:val="296"/>
        </w:trP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8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rPr>
          <w:trHeight w:val="285"/>
        </w:trPr>
        <w:tc>
          <w:tcPr>
            <w:tcW w:w="586"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预期目标</w:t>
            </w:r>
          </w:p>
        </w:tc>
        <w:tc>
          <w:tcPr>
            <w:tcW w:w="3570"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实际完成情况</w:t>
            </w:r>
          </w:p>
        </w:tc>
      </w:tr>
      <w:tr>
        <w:trPr>
          <w:trHeight w:val="1094"/>
        </w:trPr>
        <w:tc>
          <w:tcPr>
            <w:tcW w:w="586" w:type="dxa"/>
            <w:vMerge/>
            <w:tcBorders>
              <w:top w:val="nil"/>
              <w:left w:val="single" w:sz="4" w:space="0" w:color="auto"/>
              <w:bottom w:val="single" w:sz="4" w:space="0" w:color="auto"/>
              <w:right w:val="single" w:sz="4" w:space="0" w:color="auto"/>
            </w:tcBorders>
            <w:noWrap/>
            <w:vAlign w:val="center"/>
          </w:tcPr>
          <w:p/>
        </w:tc>
        <w:tc>
          <w:tcPr>
            <w:tcW w:w="481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完成“两庭”基础设施维修工作，完善“两庭”基础设施达到行业标准，提升我院业务装备配备水平，提升审判工作质效。</w:t>
            </w:r>
          </w:p>
        </w:tc>
        <w:tc>
          <w:tcPr>
            <w:tcW w:w="3570"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年初设定目标基本完成，该资金保障了我院万庄法庭暖气改造及九州法庭变压器改造项目，完善了“两庭”基础设施建设，充分保障了我院审判工作的顺利进行。</w:t>
            </w:r>
          </w:p>
        </w:tc>
      </w:tr>
      <w:tr>
        <w:trPr>
          <w:trHeight w:val="612"/>
        </w:trPr>
        <w:tc>
          <w:tcPr>
            <w:tcW w:w="586" w:type="dxa"/>
            <w:vMerge w:val="restart"/>
            <w:tcBorders>
              <w:top w:val="nil"/>
              <w:left w:val="single" w:sz="4" w:space="0" w:color="auto"/>
              <w:bottom w:val="nil"/>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绩</w:t>
              <w:br/>
              <w:t>效</w:t>
              <w:br/>
              <w:t>指</w:t>
              <w:br/>
              <w:t>标</w:t>
            </w:r>
          </w:p>
        </w:tc>
        <w:tc>
          <w:tcPr>
            <w:tcW w:w="626"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年度</w:t>
            </w:r>
          </w:p>
          <w:p>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实际</w:t>
            </w:r>
          </w:p>
          <w:p>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得分</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偏差原因分析及改进措施</w:t>
            </w:r>
          </w:p>
        </w:tc>
      </w:tr>
      <w:tr>
        <w:trPr>
          <w:trHeight w:val="4315"/>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val="restart"/>
            <w:tcBorders>
              <w:top w:val="nil"/>
              <w:left w:val="single" w:sz="4" w:space="0" w:color="auto"/>
              <w:right w:val="single" w:sz="4" w:space="0" w:color="auto"/>
            </w:tcBorders>
            <w:noWrap/>
            <w:vAlign w:val="center"/>
          </w:tcPr>
          <w:p>
            <w:pPr>
              <w:ind w:left="113" w:right="113"/>
              <w:jc w:val="center"/>
              <w:rPr>
                <w:rFonts w:eastAsia="宋体"/>
              </w:rPr>
            </w:pPr>
            <w:r>
              <w:rPr>
                <w:rFonts w:eastAsia="仿宋_GB2312" w:hint="eastAsia"/>
                <w:kern w:val="0"/>
                <w:sz w:val="24"/>
              </w:rPr>
              <w:t>产出指标</w:t>
            </w:r>
          </w:p>
        </w:tc>
        <w:tc>
          <w:tcPr>
            <w:tcW w:w="1465" w:type="dxa"/>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Cs w:val="21"/>
              </w:rPr>
            </w:pPr>
            <w:r>
              <w:rPr>
                <w:rFonts w:eastAsia="仿宋_GB2312" w:hint="eastAsia"/>
                <w:kern w:val="0"/>
                <w:szCs w:val="21"/>
              </w:rPr>
              <w:t>数量指标</w:t>
            </w:r>
          </w:p>
          <w:p>
            <w:pPr>
              <w:widowControl/>
              <w:spacing w:line="240" w:lineRule="exact"/>
              <w:jc w:val="center"/>
              <w:rPr>
                <w:rFonts w:eastAsia="仿宋_GB2312"/>
                <w:kern w:val="0"/>
                <w:sz w:val="24"/>
              </w:rPr>
            </w:p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案件结案率</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≥75%</w:t>
            </w: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68%</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30</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25</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原因：2019年我院共受理各类案件17897件，案件基数大。2019年我院五名正式干警辞职、退休及调走，正式干警数量不断减少，法官年龄普遍偏大，案多人少的矛盾突出。                    改进措施：我院将努力提高审判人员的工作积极性和工作效率，解决案多人少的突出矛盾，缓解审判压力，提高审判质效。</w:t>
              <w:tab/>
            </w:r>
          </w:p>
        </w:tc>
      </w:tr>
      <w:tr>
        <w:trPr>
          <w:trHeight w:val="261"/>
        </w:trPr>
        <w:tc>
          <w:tcPr>
            <w:tcW w:w="586" w:type="dxa"/>
            <w:vMerge/>
            <w:tcBorders>
              <w:top w:val="single" w:sz="4" w:space="0" w:color="auto"/>
              <w:left w:val="single" w:sz="4" w:space="0" w:color="auto"/>
              <w:bottom w:val="single" w:sz="4" w:space="0" w:color="auto"/>
              <w:right w:val="single" w:sz="4" w:space="0" w:color="auto"/>
            </w:tcBorders>
            <w:noWrap/>
            <w:vAlign w:val="center"/>
          </w:tcPr>
          <w:p/>
        </w:tc>
        <w:tc>
          <w:tcPr>
            <w:tcW w:w="626" w:type="dxa"/>
            <w:vMerge/>
            <w:tcBorders>
              <w:left w:val="single" w:sz="4" w:space="0" w:color="auto"/>
              <w:right w:val="single" w:sz="4" w:space="0" w:color="auto"/>
            </w:tcBorders>
            <w:noWrap/>
            <w:vAlign w:val="center"/>
          </w:tcPr>
          <w:p/>
        </w:tc>
        <w:tc>
          <w:tcPr>
            <w:tcW w:w="1465" w:type="dxa"/>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质量指标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案件信息录入率</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≥90%</w:t>
            </w: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99%</w:t>
            </w:r>
          </w:p>
        </w:tc>
        <w:tc>
          <w:tcPr>
            <w:tcW w:w="5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20</w:t>
            </w: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20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882"/>
        </w:trPr>
        <w:tc>
          <w:tcPr>
            <w:tcW w:w="586" w:type="dxa"/>
            <w:vMerge/>
            <w:tcBorders>
              <w:top w:val="single" w:sz="4" w:space="0" w:color="auto"/>
              <w:left w:val="single" w:sz="4" w:space="0" w:color="auto"/>
              <w:bottom w:val="single" w:sz="4" w:space="0" w:color="auto"/>
              <w:right w:val="single" w:sz="4" w:space="0" w:color="auto"/>
            </w:tcBorders>
            <w:noWrap/>
            <w:vAlign w:val="center"/>
          </w:tcPr>
          <w:p/>
        </w:tc>
        <w:tc>
          <w:tcPr>
            <w:tcW w:w="626" w:type="dxa"/>
            <w:vMerge/>
            <w:tcBorders>
              <w:left w:val="single" w:sz="4" w:space="0" w:color="auto"/>
              <w:bottom w:val="single" w:sz="4" w:space="0" w:color="auto"/>
              <w:right w:val="single" w:sz="4" w:space="0" w:color="auto"/>
            </w:tcBorders>
            <w:noWrap/>
            <w:vAlign w:val="center"/>
          </w:tcPr>
          <w:p/>
        </w:tc>
        <w:tc>
          <w:tcPr>
            <w:tcW w:w="1465" w:type="dxa"/>
            <w:vMerge/>
            <w:tcBorders>
              <w:top w:val="single" w:sz="4" w:space="0" w:color="auto"/>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实际政府采购项目数占按规定应列入政府采购的项目数的比例</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100%</w:t>
            </w: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100%</w:t>
            </w:r>
          </w:p>
        </w:tc>
        <w:tc>
          <w:tcPr>
            <w:tcW w:w="5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w:t>
            </w: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20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569"/>
        </w:trPr>
        <w:tc>
          <w:tcPr>
            <w:tcW w:w="586" w:type="dxa"/>
            <w:vMerge/>
            <w:tcBorders>
              <w:top w:val="single" w:sz="4" w:space="0" w:color="auto"/>
              <w:left w:val="single" w:sz="4" w:space="0" w:color="auto"/>
              <w:bottom w:val="single" w:sz="4" w:space="0" w:color="auto"/>
              <w:right w:val="single" w:sz="4" w:space="0" w:color="auto"/>
            </w:tcBorders>
            <w:noWrap/>
            <w:vAlign w:val="center"/>
          </w:tcPr>
          <w:p/>
        </w:tc>
        <w:tc>
          <w:tcPr>
            <w:tcW w:w="626"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效益</w:t>
            </w:r>
          </w:p>
          <w:p>
            <w:pPr>
              <w:widowControl/>
              <w:spacing w:line="240" w:lineRule="exact"/>
              <w:jc w:val="center"/>
              <w:rPr>
                <w:rFonts w:eastAsia="仿宋_GB2312"/>
                <w:kern w:val="0"/>
                <w:sz w:val="24"/>
              </w:rPr>
            </w:pPr>
            <w:r>
              <w:rPr>
                <w:rFonts w:eastAsia="仿宋_GB2312" w:hint="eastAsia"/>
                <w:kern w:val="0"/>
                <w:sz w:val="24"/>
              </w:rPr>
              <w:t>指标</w:t>
            </w:r>
          </w:p>
        </w:tc>
        <w:tc>
          <w:tcPr>
            <w:tcW w:w="1465"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社会效益指标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法院公信力</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有效提升</w:t>
            </w: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有效提升</w:t>
            </w:r>
          </w:p>
        </w:tc>
        <w:tc>
          <w:tcPr>
            <w:tcW w:w="5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20</w:t>
            </w: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20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887"/>
        </w:trPr>
        <w:tc>
          <w:tcPr>
            <w:tcW w:w="586" w:type="dxa"/>
            <w:vMerge/>
            <w:tcBorders>
              <w:top w:val="single" w:sz="4" w:space="0" w:color="auto"/>
              <w:left w:val="single" w:sz="4" w:space="0" w:color="auto"/>
              <w:bottom w:val="single" w:sz="4" w:space="0" w:color="auto"/>
              <w:right w:val="single" w:sz="4" w:space="0" w:color="auto"/>
            </w:tcBorders>
            <w:noWrap/>
            <w:vAlign w:val="center"/>
          </w:tcPr>
          <w:p/>
        </w:tc>
        <w:tc>
          <w:tcPr>
            <w:tcW w:w="626" w:type="dxa"/>
            <w:tcBorders>
              <w:top w:val="single" w:sz="4" w:space="0" w:color="auto"/>
              <w:left w:val="single" w:sz="4" w:space="0" w:color="auto"/>
              <w:bottom w:val="nil"/>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满意度</w:t>
            </w:r>
          </w:p>
          <w:p>
            <w:pPr>
              <w:widowControl/>
              <w:spacing w:line="240" w:lineRule="exact"/>
              <w:jc w:val="center"/>
              <w:rPr>
                <w:rFonts w:eastAsia="仿宋_GB2312"/>
                <w:kern w:val="0"/>
                <w:sz w:val="24"/>
              </w:rPr>
            </w:pPr>
            <w:r>
              <w:rPr>
                <w:rFonts w:eastAsia="仿宋_GB2312"/>
                <w:kern w:val="0"/>
                <w:sz w:val="24"/>
              </w:rPr>
              <w:t>指标</w:t>
            </w:r>
          </w:p>
        </w:tc>
        <w:tc>
          <w:tcPr>
            <w:tcW w:w="1465" w:type="dxa"/>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服务对象满意度指标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kern w:val="0"/>
                <w:szCs w:val="21"/>
              </w:rPr>
              <w:t>当事人满意度</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Cs w:val="21"/>
              </w:rPr>
              <w:t>≥80%</w:t>
            </w: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85%</w:t>
            </w:r>
          </w:p>
        </w:tc>
        <w:tc>
          <w:tcPr>
            <w:tcW w:w="5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10</w:t>
            </w: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ascii="Times New Roman" w:eastAsia="仿宋_GB2312" w:cs="Times New Roman" w:hAnsi="Times New Roman"/>
                <w:kern w:val="0"/>
                <w:szCs w:val="21"/>
              </w:rPr>
            </w:pPr>
            <w:r>
              <w:rPr>
                <w:rFonts w:eastAsia="仿宋_GB2312" w:hint="eastAsia"/>
                <w:kern w:val="0"/>
                <w:szCs w:val="21"/>
              </w:rPr>
              <w:t>10</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c>
          <w:tcPr>
            <w:tcW w:w="6327" w:type="dxa"/>
            <w:gridSpan w:val="8"/>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hint="eastAsia"/>
                <w:kern w:val="0"/>
                <w:szCs w:val="21"/>
              </w:rPr>
              <w:t>100</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hint="eastAsia"/>
                <w:kern w:val="0"/>
                <w:szCs w:val="21"/>
              </w:rPr>
              <w:t>95</w:t>
            </w:r>
          </w:p>
        </w:tc>
        <w:tc>
          <w:tcPr>
            <w:tcW w:w="156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bl>
    <w:p>
      <w:pPr>
        <w:keepNext/>
        <w:keepLines/>
        <w:widowControl w:val="0"/>
        <w:snapToGrid w:val="0"/>
        <w:spacing w:line="580" w:lineRule="exact"/>
        <w:ind w:firstLineChars="200" w:firstLine="640"/>
        <w:outlineLvl w:val="1"/>
        <w:rPr>
          <w:rFonts w:ascii="Times New Roman" w:eastAsia="仿宋_GB2312" w:cs="Times New Roman" w:hAnsi="Times New Roman"/>
          <w:b/>
          <w:bCs/>
          <w:color w:val="000000"/>
          <w:sz w:val="32"/>
          <w:szCs w:val="32"/>
        </w:rPr>
      </w:pPr>
      <w:r>
        <w:rPr>
          <w:rFonts w:ascii="Times New Roman" w:eastAsia="仿宋_GB2312" w:cs="Times New Roman" w:hAnsi="Times New Roman" w:hint="eastAsia"/>
          <w:b/>
          <w:bCs/>
          <w:color w:val="000000"/>
          <w:sz w:val="32"/>
          <w:szCs w:val="32"/>
        </w:rPr>
        <w:t>2</w:t>
      </w:r>
      <w:r>
        <w:rPr>
          <w:rFonts w:ascii="Times New Roman" w:eastAsia="仿宋_GB2312" w:cs="Times New Roman" w:hAnsi="Times New Roman"/>
          <w:b/>
          <w:bCs/>
          <w:color w:val="000000"/>
          <w:sz w:val="32"/>
          <w:szCs w:val="32"/>
        </w:rPr>
        <w:t>.部门整体绩效自评结果。</w:t>
      </w:r>
      <w:r>
        <w:rPr>
          <w:rFonts w:ascii="Times New Roman" w:eastAsia="仿宋_GB2312" w:cs="Times New Roman" w:hAnsi="Times New Roman"/>
          <w:sz w:val="32"/>
          <w:szCs w:val="32"/>
        </w:rPr>
        <w:t>本部门对2019年度部门整体绩效进行自评价，自评得分</w:t>
      </w:r>
      <w:r>
        <w:rPr>
          <w:rFonts w:ascii="Times New Roman" w:eastAsia="仿宋_GB2312" w:cs="Times New Roman" w:hAnsi="Times New Roman" w:hint="eastAsia"/>
          <w:sz w:val="32"/>
          <w:szCs w:val="32"/>
        </w:rPr>
        <w:t>80</w:t>
      </w:r>
      <w:r>
        <w:rPr>
          <w:rFonts w:ascii="Times New Roman" w:eastAsia="仿宋_GB2312" w:cs="Times New Roman" w:hAnsi="Times New Roman"/>
          <w:sz w:val="32"/>
          <w:szCs w:val="32"/>
        </w:rPr>
        <w:t>分，评价等级为良。从评价情况来看，我</w:t>
      </w:r>
      <w:r>
        <w:rPr>
          <w:rFonts w:ascii="Times New Roman" w:eastAsia="仿宋_GB2312" w:cs="Times New Roman" w:hAnsi="Times New Roman" w:hint="eastAsia"/>
          <w:sz w:val="32"/>
          <w:szCs w:val="32"/>
        </w:rPr>
        <w:t>院</w:t>
      </w:r>
      <w:r>
        <w:rPr>
          <w:rFonts w:ascii="Times New Roman" w:eastAsia="仿宋_GB2312" w:cs="Times New Roman" w:hAnsi="Times New Roman"/>
          <w:sz w:val="32"/>
          <w:szCs w:val="32"/>
        </w:rPr>
        <w:t>较好完成了2019 年履行职能职责和各项重点工作任务，整体绩效情况较为理想，总体上达到了预算绩效管理的要求。</w:t>
      </w: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hint="eastAsia"/>
          <w:color w:val="000000"/>
        </w:rPr>
      </w:pPr>
    </w:p>
    <w:p>
      <w:pPr>
        <w:rPr>
          <w:rFonts w:ascii="Times New Roman" w:cs="Times New Roman" w:hAnsi="Times New Roman" w:hint="eastAsia"/>
          <w:color w:val="000000"/>
        </w:rPr>
      </w:pPr>
    </w:p>
    <w:p>
      <w:pPr>
        <w:rPr>
          <w:rFonts w:ascii="Times New Roman" w:cs="Times New Roman" w:hAnsi="Times New Roman" w:hint="eastAsia"/>
          <w:color w:val="000000"/>
        </w:rPr>
      </w:pPr>
    </w:p>
    <w:p>
      <w:pPr>
        <w:rPr>
          <w:rFonts w:ascii="Times New Roman" w:cs="Times New Roman" w:hAnsi="Times New Roman" w:hint="eastAsia"/>
          <w:color w:val="000000"/>
        </w:rPr>
      </w:pPr>
    </w:p>
    <w:p>
      <w:pPr>
        <w:rPr>
          <w:rFonts w:ascii="Times New Roman" w:cs="Times New Roman" w:hAnsi="Times New Roman" w:hint="eastAsia"/>
          <w:color w:val="000000"/>
        </w:rPr>
      </w:pPr>
    </w:p>
    <w:p>
      <w:pPr>
        <w:rPr>
          <w:rFonts w:ascii="Times New Roman" w:cs="Times New Roman" w:hAnsi="Times New Roman" w:hint="eastAsia"/>
          <w:color w:val="000000"/>
        </w:rPr>
      </w:pPr>
    </w:p>
    <w:p>
      <w:pPr>
        <w:rPr>
          <w:rFonts w:ascii="Times New Roman" w:cs="Times New Roman" w:hAnsi="Times New Roman" w:hint="eastAsia"/>
          <w:color w:val="000000"/>
        </w:rPr>
      </w:pPr>
    </w:p>
    <w:p>
      <w:pPr>
        <w:rPr>
          <w:rFonts w:ascii="Times New Roman" w:cs="Times New Roman" w:hAnsi="Times New Roman" w:hint="eastAsia"/>
          <w:color w:val="000000"/>
        </w:rPr>
      </w:pPr>
    </w:p>
    <w:p>
      <w:pPr>
        <w:rPr>
          <w:rFonts w:ascii="Times New Roman" w:cs="Times New Roman" w:hAnsi="Times New Roman" w:hint="eastAsia"/>
          <w:color w:val="000000"/>
        </w:rPr>
      </w:pPr>
    </w:p>
    <w:p>
      <w:pPr>
        <w:rPr>
          <w:rFonts w:ascii="Times New Roman" w:cs="Times New Roman" w:hAnsi="Times New Roman" w:hint="eastAsia"/>
          <w:color w:val="000000"/>
        </w:rPr>
      </w:pPr>
    </w:p>
    <w:p>
      <w:pPr>
        <w:rPr>
          <w:rFonts w:ascii="Times New Roman" w:cs="Times New Roman" w:hAnsi="Times New Roman" w:hint="eastAsia"/>
          <w:color w:val="000000"/>
        </w:rPr>
      </w:pPr>
    </w:p>
    <w:p>
      <w:pPr>
        <w:rPr>
          <w:rFonts w:ascii="Times New Roman" w:cs="Times New Roman" w:hAnsi="Times New Roman" w:hint="eastAsia"/>
          <w:color w:val="000000"/>
        </w:rPr>
      </w:pPr>
    </w:p>
    <w:p>
      <w:pPr>
        <w:rPr>
          <w:rFonts w:ascii="Times New Roman" w:cs="Times New Roman" w:hAnsi="Times New Roman" w:hint="eastAsia"/>
          <w:color w:val="000000"/>
        </w:rPr>
      </w:pPr>
    </w:p>
    <w:p>
      <w:pPr>
        <w:rPr>
          <w:rFonts w:ascii="Times New Roman" w:cs="Times New Roman" w:hAnsi="Times New Roman" w:hint="eastAsia"/>
          <w:color w:val="000000"/>
        </w:rPr>
      </w:pPr>
    </w:p>
    <w:p>
      <w:pPr>
        <w:rPr>
          <w:rFonts w:ascii="Times New Roman" w:cs="Times New Roman" w:hAnsi="Times New Roman" w:hint="eastAsia"/>
          <w:color w:val="000000"/>
        </w:rPr>
      </w:pPr>
    </w:p>
    <w:p>
      <w:pPr>
        <w:rPr>
          <w:rFonts w:ascii="Times New Roman" w:cs="Times New Roman" w:hAnsi="Times New Roman" w:hint="eastAsia"/>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color w:val="000000"/>
        </w:rPr>
      </w:pPr>
    </w:p>
    <w:p>
      <w:pPr>
        <w:rPr>
          <w:color w:val="000000"/>
        </w:rPr>
      </w:pPr>
      <w:r>
        <w:rPr>
          <w:color w:val="000000"/>
        </w:rPr>
        <mc:AlternateContent>
          <mc:Choice Requires="wps">
            <w:drawing>
              <wp:anchor distT="0" distB="0" distL="114298" distR="114298" simplePos="0" relativeHeight="47" behindDoc="0" locked="0" layoutInCell="1" hidden="0" allowOverlap="1">
                <wp:simplePos x="0" y="0"/>
                <wp:positionH relativeFrom="column">
                  <wp:posOffset>-895350</wp:posOffset>
                </wp:positionH>
                <wp:positionV relativeFrom="paragraph">
                  <wp:posOffset>-1082675</wp:posOffset>
                </wp:positionV>
                <wp:extent cx="7557771" cy="10682605"/>
                <wp:effectExtent l="0" t="0" r="0" b="0"/>
                <wp:wrapNone/>
                <wp:docPr id="136" name="矩形"/>
                <wp:cNvGraphicFramePr>
                  <a:graphicFrameLocks noChangeAspect="0"/>
                </wp:cNvGraphicFramePr>
                <a:graphic>
                  <a:graphicData uri="http://schemas.microsoft.com/office/word/2010/wordprocessingShape">
                    <wps:wsp>
                      <wps:cNvSpPr/>
                      <wps:spPr>
                        <a:xfrm rot="0">
                          <a:off x="0" y="0"/>
                          <a:ext cx="7557771" cy="10682605"/>
                        </a:xfrm>
                        <a:prstGeom prst="rect"/>
                        <a:solidFill>
                          <a:srgbClr val="FFC000"/>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矩形 137" o:spid="_x0000_s137" fillcolor="#FFC000" stroked="f" style="position:absolute;margin-left:-70.5pt;margin-top:-85.25pt;width:595.1001pt;height:841.15pt;z-index:47;mso-position-horizontal:absolute;mso-position-vertical:absolute;mso-wrap-distance-left:8.999863pt;mso-wrap-distance-right:8.999863pt;">
                <v:stroke color="#000000"/>
              </v:rect>
            </w:pict>
          </mc:Fallback>
        </mc:AlternateContent>
      </w:r>
    </w:p>
    <w:sectPr>
      <w:headerReference w:type="default" r:id="rId29"/>
      <w:pgSz w:w="11907" w:h="16840"/>
      <w:pgMar w:top="1701" w:right="1418" w:bottom="1281" w:left="141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思源黑体 HW Bold">
    <w:altName w:val="黑体"/>
    <w:panose1 w:val="00000000000000000000"/>
    <w:charset w:val="86"/>
    <w:family w:val="swiss"/>
    <w:pitch w:val="variable"/>
    <w:sig w:usb0="00000000" w:usb1="00000000" w:usb2="00000016" w:usb3="00000000" w:csb0="002E0107" w:csb1="00000000"/>
  </w:font>
  <w:font w:name="Times New Roman">
    <w:panose1 w:val="02020603050405020304"/>
    <w:charset w:val="00"/>
    <w:family w:val="roman"/>
    <w:pitch w:val="variable"/>
    <w:sig w:usb0="20007A87" w:usb1="80000000" w:usb2="00000008" w:usb3="00000000" w:csb0="000001FF" w:csb1="00000000"/>
  </w:font>
  <w:font w:name="楷体_GB2312">
    <w:altName w:val="楷体"/>
    <w:panose1 w:val="02010609030101010101"/>
    <w:charset w:val="86"/>
    <w:family w:val="modern"/>
    <w:pitch w:val="variable"/>
    <w:sig w:usb0="00000000" w:usb1="00000000" w:usb2="00000010" w:usb3="00000000" w:csb0="00040000" w:csb1="00000000"/>
  </w:font>
  <w:font w:name="仿宋_GB2312">
    <w:altName w:val="仿宋"/>
    <w:panose1 w:val="02010609030101010101"/>
    <w:charset w:val="86"/>
    <w:family w:val="modern"/>
    <w:pitch w:val="variable"/>
    <w:sig w:usb0="00000000" w:usb1="00000000" w:usb2="00000010" w:usb3="00000000" w:csb0="00040000" w:csb1="00000000"/>
  </w:font>
  <w:font w:name="微软雅黑">
    <w:panose1 w:val="020B0503020204020204"/>
    <w:charset w:val="86"/>
    <w:family w:val="auto"/>
    <w:pitch w:val="variable"/>
    <w:sig w:usb0="80000287" w:usb1="280F3C52" w:usb2="00000016" w:usb3="00000000" w:csb0="0004001F" w:csb1="00000000"/>
  </w:font>
  <w:font w:name="ArialUnicodeMS">
    <w:altName w:val="Arial Unicode MS"/>
    <w:panose1 w:val="00000000000000000000"/>
    <w:charset w:val="81"/>
    <w:family w:val="auto"/>
    <w:pitch w:val="variable"/>
    <w:sig w:usb0="00000000" w:usb1="00000000" w:usb2="00000010" w:usb3="00000000" w:csb0="00080001" w:csb1="00000000"/>
  </w:font>
  <w:font w:name="DengXian-Regular">
    <w:altName w:val="宋体"/>
    <w:panose1 w:val="00000000000000000000"/>
    <w:charset w:val="86"/>
    <w:family w:val="auto"/>
    <w:pitch w:val="variable"/>
    <w:sig w:usb0="00000000" w:usb1="00000000" w:usb2="00000010" w:usb3="00000000" w:csb0="00040001" w:csb1="00000000"/>
  </w:font>
  <w:font w:name="DengXian-Bold">
    <w:altName w:val="宋体"/>
    <w:panose1 w:val="00000000000000000000"/>
    <w:charset w:val="86"/>
    <w:family w:val="auto"/>
    <w:pitch w:val="variable"/>
    <w:sig w:usb0="00000000" w:usb1="00000000" w:usb2="00000010" w:usb3="00000000" w:csb0="00040001" w:csb1="00000000"/>
  </w:font>
  <w:font w:name="TimesNewRomanPSMT">
    <w:altName w:val="Arial"/>
    <w:panose1 w:val="00000000000000000000"/>
    <w:charset w:val="00"/>
    <w:family w:val="swiss"/>
    <w:pitch w:val="variable"/>
    <w:sig w:usb0="00000000" w:usb1="00000000" w:usb2="00000000" w:usb3="00000000" w:csb0="00000001" w:csb1="00000000"/>
  </w:font>
  <w:font w:name="宋体">
    <w:panose1 w:val="02010600030101010101"/>
    <w:charset w:val="86"/>
    <w:family w:val="auto"/>
    <w:pitch w:val="variable"/>
    <w:sig w:usb0="00000003" w:usb1="288F0000" w:usb2="00000006" w:usb3="00000000" w:csb0="00040001" w:csb1="00000000"/>
  </w:font>
  <w:font w:name="MS-UIGothic,Bold">
    <w:altName w:val="Arial Unicode MS"/>
    <w:panose1 w:val="00000000000000000000"/>
    <w:charset w:val="81"/>
    <w:family w:val="auto"/>
    <w:pitch w:val="variable"/>
    <w:sig w:usb0="00000000" w:usb1="00000000" w:usb2="00000010" w:usb3="00000000" w:csb0="00080000" w:csb1="00000000"/>
  </w:font>
  <w:font w:name="Arial">
    <w:panose1 w:val="020B0604020202020204"/>
    <w:charset w:val="01"/>
    <w:family w:val="swiss"/>
    <w:pitch w:val="variable"/>
    <w:sig w:usb0="E0002AFF" w:usb1="C0007843" w:usb2="00000009" w:usb3="00000000" w:csb0="400001FF" w:csb1="FFFF0000"/>
  </w:font>
  <w:font w:name="方正小标宋简体">
    <w:altName w:val="黑体"/>
    <w:panose1 w:val="02010601030101010101"/>
    <w:charset w:val="86"/>
    <w:family w:val="auto"/>
    <w:pitch w:val="variable"/>
    <w:sig w:usb0="00000000" w:usb1="00000000" w:usb2="00000010" w:usb3="00000000" w:csb0="00040000" w:csb1="00000000"/>
  </w:font>
  <w:font w:name="等线">
    <w:altName w:val="微软雅黑"/>
    <w:panose1 w:val="00000000000000000000"/>
    <w:charset w:val="86"/>
    <w:family w:val="auto"/>
    <w:pitch w:val="variable"/>
    <w:sig w:usb0="00000000" w:usb1="00000000"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8" distR="114298" simplePos="0" relativeHeight="50" behindDoc="0" locked="0" layoutInCell="1" hidden="0" allowOverlap="1">
              <wp:simplePos x="0" y="0"/>
              <wp:positionH relativeFrom="margin">
                <wp:posOffset>2661920</wp:posOffset>
              </wp:positionH>
              <wp:positionV relativeFrom="paragraph">
                <wp:posOffset>-164465</wp:posOffset>
              </wp:positionV>
              <wp:extent cx="388620" cy="181610"/>
              <wp:effectExtent l="0" t="0" r="0" b="0"/>
              <wp:wrapNone/>
              <wp:docPr id="29" name="矩形"/>
              <wp:cNvGraphicFramePr>
                <a:graphicFrameLocks noChangeAspect="0"/>
              </wp:cNvGraphicFramePr>
              <a:graphic>
                <a:graphicData uri="http://schemas.microsoft.com/office/word/2010/wordprocessingShape">
                  <wps:wsp>
                    <wps:cNvSpPr/>
                    <wps:spPr>
                      <a:xfrm rot="0">
                        <a:off x="0" y="0"/>
                        <a:ext cx="388620" cy="181610"/>
                      </a:xfrm>
                      <a:prstGeom prst="rect"/>
                      <a:noFill/>
                      <a:ln w="9525" cmpd="sng" cap="flat">
                        <a:noFill/>
                        <a:prstDash val="solid"/>
                        <a:miter/>
                      </a:ln>
                    </wps:spPr>
                    <wps:txbx id="30">
                      <w:txbxContent>
                        <w:p>
                          <w:pPr>
                            <w:pStyle w:val="18"/>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- 10 -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rect type="#_x0000_t1" id="矩形 31" o:spid="_x0000_s31" filled="f" stroked="f" style="position:absolute;margin-left:209.59999pt;margin-top:-12.95pt;width:30.600006pt;height:14.3pt;z-index:50;mso-position-horizontal:absolute;mso-position-horizontal-relative:margin;mso-position-vertical:absolute;mso-wrap-distance-left:8.999863pt;mso-wrap-distance-right:8.999863pt;mso-wrap-style:square;">
              <v:stroke color="#000000"/>
              <v:textbox id="877" inset="0mm,0mm,0mm,0mm" o:insetmode="custom" style="layout-flow:horizontal;v-text-anchor:top;">
                <w:txbxContent>
                  <w:p>
                    <w:pPr>
                      <w:pStyle w:val="18"/>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- 10 -</w:t>
                    </w:r>
                    <w:r>
                      <w:rPr>
                        <w:rFonts w:ascii="Times New Roman" w:cs="Times New Roman" w:hAnsi="Times New Roman"/>
                        <w:sz w:val="24"/>
                        <w:szCs w:val="24"/>
                      </w:rPr>
                      <w:fldChar w:fldCharType="end"/>
                    </w:r>
                  </w:p>
                </w:txbxContent>
              </v:textbox>
            </v:rect>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8" distR="114298" simplePos="0" relativeHeight="48" behindDoc="0" locked="0" layoutInCell="1" hidden="0" allowOverlap="1">
              <wp:simplePos x="0" y="0"/>
              <wp:positionH relativeFrom="margin">
                <wp:posOffset>2623185</wp:posOffset>
              </wp:positionH>
              <wp:positionV relativeFrom="paragraph">
                <wp:posOffset>-285115</wp:posOffset>
              </wp:positionV>
              <wp:extent cx="431799" cy="446405"/>
              <wp:effectExtent l="0" t="0" r="0" b="0"/>
              <wp:wrapNone/>
              <wp:docPr id="32" name="矩形"/>
              <wp:cNvGraphicFramePr>
                <a:graphicFrameLocks noChangeAspect="0"/>
              </wp:cNvGraphicFramePr>
              <a:graphic>
                <a:graphicData uri="http://schemas.microsoft.com/office/word/2010/wordprocessingShape">
                  <wps:wsp>
                    <wps:cNvSpPr/>
                    <wps:spPr>
                      <a:xfrm rot="0">
                        <a:off x="0" y="0"/>
                        <a:ext cx="431799" cy="446405"/>
                      </a:xfrm>
                      <a:prstGeom prst="rect"/>
                      <a:noFill/>
                      <a:ln w="9525" cmpd="sng" cap="flat">
                        <a:noFill/>
                        <a:prstDash val="solid"/>
                        <a:miter/>
                      </a:ln>
                    </wps:spPr>
                    <wps:txbx id="33">
                      <w:txbxContent>
                        <w:p>
                          <w:pPr>
                            <w:pStyle w:val="18"/>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- 4 -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rect type="#_x0000_t1" id="矩形 34" o:spid="_x0000_s34" filled="f" stroked="f" style="position:absolute;margin-left:206.55pt;margin-top:-22.45pt;width:33.999992pt;height:35.15pt;z-index:48;mso-position-horizontal:absolute;mso-position-horizontal-relative:margin;mso-position-vertical:absolute;mso-wrap-distance-left:8.999863pt;mso-wrap-distance-right:8.999863pt;mso-wrap-style:square;">
              <v:stroke color="#000000"/>
              <v:textbox id="878" inset="0mm,0mm,0mm,0mm" o:insetmode="custom" style="layout-flow:horizontal;v-text-anchor:top;">
                <w:txbxContent>
                  <w:p>
                    <w:pPr>
                      <w:pStyle w:val="18"/>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- 4 -</w:t>
                    </w:r>
                    <w:r>
                      <w:rPr>
                        <w:rFonts w:ascii="Times New Roman" w:cs="Times New Roman" w:hAnsi="Times New Roman"/>
                        <w:sz w:val="24"/>
                        <w:szCs w:val="24"/>
                      </w:rPr>
                      <w:fldChar w:fldCharType="end"/>
                    </w:r>
                  </w:p>
                </w:txbxContent>
              </v:textbox>
            </v:rect>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8" distR="114298" simplePos="0" relativeHeight="57" behindDoc="0" locked="0" layoutInCell="1" hidden="0" allowOverlap="1">
              <wp:simplePos x="0" y="0"/>
              <wp:positionH relativeFrom="margin">
                <wp:posOffset>2656205</wp:posOffset>
              </wp:positionH>
              <wp:positionV relativeFrom="paragraph">
                <wp:posOffset>-76200</wp:posOffset>
              </wp:positionV>
              <wp:extent cx="330200" cy="237490"/>
              <wp:effectExtent l="0" t="0" r="0" b="0"/>
              <wp:wrapNone/>
              <wp:docPr id="84" name="矩形"/>
              <wp:cNvGraphicFramePr>
                <a:graphicFrameLocks noChangeAspect="0"/>
              </wp:cNvGraphicFramePr>
              <a:graphic>
                <a:graphicData uri="http://schemas.microsoft.com/office/word/2010/wordprocessingShape">
                  <wps:wsp>
                    <wps:cNvSpPr/>
                    <wps:spPr>
                      <a:xfrm rot="0">
                        <a:off x="0" y="0"/>
                        <a:ext cx="330200" cy="237490"/>
                      </a:xfrm>
                      <a:prstGeom prst="rect"/>
                      <a:noFill/>
                      <a:ln w="9525" cmpd="sng" cap="flat">
                        <a:noFill/>
                        <a:prstDash val="solid"/>
                        <a:miter/>
                      </a:ln>
                    </wps:spPr>
                    <wps:txbx id="85">
                      <w:txbxContent>
                        <w:p>
                          <w:pPr>
                            <w:pStyle w:val="18"/>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- 15 -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rect type="#_x0000_t1" id="矩形 86" o:spid="_x0000_s86" filled="f" stroked="f" style="position:absolute;margin-left:209.15pt;margin-top:-6.0pt;width:26.000008pt;height:18.7pt;z-index:57;mso-position-horizontal:absolute;mso-position-horizontal-relative:margin;mso-position-vertical:absolute;mso-wrap-distance-left:8.999863pt;mso-wrap-distance-right:8.999863pt;mso-wrap-style:none;">
              <v:stroke color="#000000"/>
              <v:textbox id="879" inset="0mm,0mm,0mm,0mm" o:insetmode="custom" style="layout-flow:horizontal;v-text-anchor:top;">
                <w:txbxContent>
                  <w:p>
                    <w:pPr>
                      <w:pStyle w:val="18"/>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- 15 -</w:t>
                    </w:r>
                    <w:r>
                      <w:rPr>
                        <w:rFonts w:ascii="Times New Roman" w:cs="Times New Roman" w:hAnsi="Times New Roman"/>
                        <w:sz w:val="24"/>
                        <w:szCs w:val="24"/>
                      </w:rPr>
                      <w:fldChar w:fldCharType="end"/>
                    </w:r>
                  </w:p>
                </w:txbxContent>
              </v:textbox>
            </v:rect>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8" distR="114298" simplePos="0" relativeHeight="54" behindDoc="0" locked="0" layoutInCell="1" hidden="0" allowOverlap="1">
              <wp:simplePos x="0" y="0"/>
              <wp:positionH relativeFrom="margin">
                <wp:posOffset>2609215</wp:posOffset>
              </wp:positionH>
              <wp:positionV relativeFrom="paragraph">
                <wp:posOffset>-238125</wp:posOffset>
              </wp:positionV>
              <wp:extent cx="382905" cy="399415"/>
              <wp:effectExtent l="0" t="0" r="0" b="0"/>
              <wp:wrapNone/>
              <wp:docPr id="87" name="矩形"/>
              <wp:cNvGraphicFramePr>
                <a:graphicFrameLocks noChangeAspect="0"/>
              </wp:cNvGraphicFramePr>
              <a:graphic>
                <a:graphicData uri="http://schemas.microsoft.com/office/word/2010/wordprocessingShape">
                  <wps:wsp>
                    <wps:cNvSpPr/>
                    <wps:spPr>
                      <a:xfrm rot="0">
                        <a:off x="0" y="0"/>
                        <a:ext cx="382905" cy="399415"/>
                      </a:xfrm>
                      <a:prstGeom prst="rect"/>
                      <a:noFill/>
                      <a:ln w="9525" cmpd="sng" cap="flat">
                        <a:noFill/>
                        <a:prstDash val="solid"/>
                        <a:miter/>
                      </a:ln>
                    </wps:spPr>
                    <wps:txbx id="88">
                      <w:txbxContent>
                        <w:p>
                          <w:pPr>
                            <w:pStyle w:val="18"/>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- 11 -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rect type="#_x0000_t1" id="矩形 89" o:spid="_x0000_s89" filled="f" stroked="f" style="position:absolute;margin-left:205.45pt;margin-top:-18.75pt;width:30.150007pt;height:31.449999pt;z-index:54;mso-position-horizontal:absolute;mso-position-horizontal-relative:margin;mso-position-vertical:absolute;mso-wrap-distance-left:8.999863pt;mso-wrap-distance-right:8.999863pt;mso-wrap-style:square;">
              <v:stroke color="#000000"/>
              <v:textbox id="880" inset="0mm,0mm,0mm,0mm" o:insetmode="custom" style="layout-flow:horizontal;v-text-anchor:top;">
                <w:txbxContent>
                  <w:p>
                    <w:pPr>
                      <w:pStyle w:val="18"/>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- 11 -</w:t>
                    </w:r>
                    <w:r>
                      <w:rPr>
                        <w:rFonts w:ascii="Times New Roman" w:cs="Times New Roman" w:hAnsi="Times New Roman"/>
                        <w:sz w:val="24"/>
                        <w:szCs w:val="24"/>
                      </w:rPr>
                      <w:fldChar w:fldCharType="end"/>
                    </w:r>
                  </w:p>
                </w:txbxContent>
              </v:textbox>
            </v:rect>
          </w:pict>
        </mc:Fallback>
      </mc:AlternateConten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mc:AlternateContent>
        <mc:Choice Requires="wps">
          <w:drawing>
            <wp:anchor distT="0" distB="0" distL="114298" distR="114298" simplePos="0" relativeHeight="61" behindDoc="0" locked="0" layoutInCell="1" hidden="0" allowOverlap="1">
              <wp:simplePos x="0" y="0"/>
              <wp:positionH relativeFrom="margin">
                <wp:posOffset>2656205</wp:posOffset>
              </wp:positionH>
              <wp:positionV relativeFrom="paragraph">
                <wp:posOffset>-76200</wp:posOffset>
              </wp:positionV>
              <wp:extent cx="330200" cy="237490"/>
              <wp:effectExtent l="0" t="0" r="0" b="0"/>
              <wp:wrapNone/>
              <wp:docPr id="121" name="矩形"/>
              <wp:cNvGraphicFramePr>
                <a:graphicFrameLocks noChangeAspect="0"/>
              </wp:cNvGraphicFramePr>
              <a:graphic>
                <a:graphicData uri="http://schemas.microsoft.com/office/word/2010/wordprocessingShape">
                  <wps:wsp>
                    <wps:cNvSpPr/>
                    <wps:spPr>
                      <a:xfrm rot="0">
                        <a:off x="0" y="0"/>
                        <a:ext cx="330200" cy="237490"/>
                      </a:xfrm>
                      <a:prstGeom prst="rect"/>
                      <a:noFill/>
                      <a:ln w="9525" cmpd="sng" cap="flat">
                        <a:noFill/>
                        <a:prstDash val="solid"/>
                        <a:miter/>
                      </a:ln>
                    </wps:spPr>
                    <wps:txbx id="122">
                      <w:txbxContent>
                        <w:p>
                          <w:pPr>
                            <w:pStyle w:val="18"/>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- 36 -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rect type="#_x0000_t1" id="矩形 123" o:spid="_x0000_s123" filled="f" stroked="f" style="position:absolute;margin-left:209.15pt;margin-top:-6.0pt;width:26.000008pt;height:18.7pt;z-index:61;mso-position-horizontal:absolute;mso-position-horizontal-relative:margin;mso-position-vertical:absolute;mso-wrap-distance-left:8.999863pt;mso-wrap-distance-right:8.999863pt;mso-wrap-style:none;">
              <v:stroke color="#000000"/>
              <v:textbox id="881" inset="0mm,0mm,0mm,0mm" o:insetmode="custom" style="layout-flow:horizontal;v-text-anchor:top;">
                <w:txbxContent>
                  <w:p>
                    <w:pPr>
                      <w:pStyle w:val="18"/>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- 36 -</w:t>
                    </w:r>
                    <w:r>
                      <w:rPr>
                        <w:rFonts w:ascii="Times New Roman" w:cs="Times New Roman" w:hAnsi="Times New Roman"/>
                        <w:sz w:val="24"/>
                        <w:szCs w:val="24"/>
                      </w:rP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p>
</w:hdr>
</file>

<file path=word/header1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p>
</w:hdr>
</file>

<file path=word/header1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r>
      <mc:AlternateContent>
        <mc:Choice Requires="wps">
          <w:drawing>
            <wp:anchor distT="0" distB="0" distL="114298" distR="114298" simplePos="0" relativeHeight="60" behindDoc="0" locked="0" layoutInCell="1" hidden="0" allowOverlap="1">
              <wp:simplePos x="0" y="0"/>
              <wp:positionH relativeFrom="page">
                <wp:posOffset>0</wp:posOffset>
              </wp:positionH>
              <wp:positionV relativeFrom="page">
                <wp:posOffset>0</wp:posOffset>
              </wp:positionV>
              <wp:extent cx="3557235" cy="516932928"/>
              <wp:effectExtent l="0" t="0" r="0" b="0"/>
              <wp:wrapNone/>
              <wp:docPr id="98" name="组合"/>
              <wp:cNvGraphicFramePr>
                <a:graphicFrameLocks noChangeAspect="0"/>
              </wp:cNvGraphicFramePr>
              <a:graphic>
                <a:graphicData uri="http://schemas.microsoft.com/office/word/2010/wordprocessingGroup">
                  <wpg:wgp>
                    <wpg:cNvPr id="99" name="组合 99"/>
                    <wpg:cNvGrpSpPr/>
                    <wpg:grpSpPr>
                      <a:xfrm rot="0">
                        <a:off x="0" y="0"/>
                        <a:ext cx="3557235" cy="516932928"/>
                        <a:chOff x="0" y="0"/>
                        <a:chExt cx="3557235" cy="516932928"/>
                      </a:xfrm>
                      <a:prstGeom prst="rect"/>
                      <a:solidFill>
                        <a:srgbClr val="FFFFFF"/>
                      </a:solidFill>
                      <a:ln w="9525" cmpd="sng" cap="flat">
                        <a:solidFill>
                          <a:srgbClr val="000000"/>
                        </a:solidFill>
                        <a:prstDash val="solid"/>
                        <a:miter/>
                      </a:ln>
                    </wpg:grpSpPr>
                    <wps:wsp>
                      <wps:cNvPr id="100" name="矩形 100"/>
                      <wps:cNvSpPr/>
                      <wps:spPr>
                        <a:xfrm rot="0">
                          <a:off x="71767" y="0"/>
                          <a:ext cx="3485468" cy="516932928"/>
                        </a:xfrm>
                        <a:prstGeom prst="rect"/>
                        <a:noFill/>
                        <a:ln w="9525" cmpd="sng" cap="flat">
                          <a:noFill/>
                          <a:prstDash val="solid"/>
                          <a:miter/>
                        </a:ln>
                      </wps:spPr>
                      <wps:txbx id="101">
                        <w:txbxContent>
                          <w:p>
                            <w:pPr>
                              <w:rPr>
                                <w:rFonts w:ascii="微软雅黑" w:eastAsia="微软雅黑" w:cs="微软雅黑"/>
                                <w:b/>
                                <w:bCs/>
                                <w:sz w:val="32"/>
                                <w:szCs w:val="40"/>
                              </w:rPr>
                            </w:pPr>
                            <w:r>
                              <w:rPr>
                                <w:rFonts w:ascii="微软雅黑" w:eastAsia="微软雅黑" w:cs="微软雅黑" w:hint="eastAsia"/>
                                <w:b/>
                                <w:bCs/>
                                <w:sz w:val="32"/>
                                <w:szCs w:val="40"/>
                              </w:rPr>
                              <w:t>第四部分 2019年度部门决算报表</w:t>
                            </w:r>
                          </w:p>
                          <w:p/>
                        </w:txbxContent>
                      </wps:txbx>
                      <wps:bodyPr vert="horz" wrap="square" lIns="91440" tIns="45720" rIns="91440" bIns="45720" anchor="t" anchorCtr="0" upright="1">
                        <a:noAutofit/>
                      </wps:bodyPr>
                    </wps:wsp>
                    <wps:wsp>
                      <wps:cNvPr id="102" name="矩形 102"/>
                      <wps:cNvSpPr/>
                      <wps:spPr>
                        <a:xfrm rot="0">
                          <a:off x="0" y="0"/>
                          <a:ext cx="134007" cy="266086128"/>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03" o:spid="_x0000_s103" coordorigin="0,0" coordsize="5601,814067" style="position:absolute;margin-left:0.0pt;margin-top:0.0pt;width:280.0973pt;height:40703.38pt;z-index:60;mso-position-horizontal:absolute;mso-position-horizontal-relative:page;mso-position-vertical:absolute;mso-position-vertical-relative:page;mso-wrap-distance-left:8.999863pt;mso-wrap-distance-right:8.999863pt;">
              <v:rect type="#_x0000_t1" id="矩形 104" o:spid="_x0000_s104" style="position:absolute;left:113;top:0;width:5488;height:814067;mso-wrap-style:square;" filled="f" stroked="f">
                <v:textbox id="874"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第四部分 2019年度部门决算报表</w:t>
                      </w:r>
                    </w:p>
                    <w:p/>
                  </w:txbxContent>
                </v:textbox>
                <v:stroke color="#000000"/>
              </v:rect>
              <v:rect type="#_x0000_t1" id="矩形 105" o:spid="_x0000_s105" style="position:absolute;left:0;top:0;width:211;height:419033;" fillcolor="#000000" stroked="f">
                <v:stroke color="#000000"/>
              </v:rect>
            </v:group>
          </w:pict>
        </mc:Fallback>
      </mc:AlternateContent>
    </w:r>
  </w:p>
</w:hdr>
</file>

<file path=word/header1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r>
      <mc:AlternateContent>
        <mc:Choice Requires="wps">
          <w:drawing>
            <wp:anchor distT="0" distB="0" distL="114298" distR="114298" simplePos="0" relativeHeight="58" behindDoc="0" locked="0" layoutInCell="1" hidden="0" allowOverlap="1">
              <wp:simplePos x="0" y="0"/>
              <wp:positionH relativeFrom="page">
                <wp:posOffset>9525</wp:posOffset>
              </wp:positionH>
              <wp:positionV relativeFrom="paragraph">
                <wp:posOffset>0</wp:posOffset>
              </wp:positionV>
              <wp:extent cx="7575534" cy="576672832"/>
              <wp:effectExtent l="0" t="0" r="0" b="0"/>
              <wp:wrapNone/>
              <wp:docPr id="106" name="组合"/>
              <wp:cNvGraphicFramePr>
                <a:graphicFrameLocks noChangeAspect="0"/>
              </wp:cNvGraphicFramePr>
              <a:graphic>
                <a:graphicData uri="http://schemas.microsoft.com/office/word/2010/wordprocessingGroup">
                  <wpg:wgp>
                    <wpg:cNvPr id="107" name="组合 107"/>
                    <wpg:cNvGrpSpPr/>
                    <wpg:grpSpPr>
                      <a:xfrm rot="0">
                        <a:off x="0" y="0"/>
                        <a:ext cx="7575534" cy="576672832"/>
                        <a:chOff x="0" y="0"/>
                        <a:chExt cx="7575534" cy="576672832"/>
                      </a:xfrm>
                      <a:prstGeom prst="rect"/>
                      <a:solidFill>
                        <a:srgbClr val="FFFFFF"/>
                      </a:solidFill>
                      <a:ln w="9525" cmpd="sng" cap="flat">
                        <a:solidFill>
                          <a:srgbClr val="000000"/>
                        </a:solidFill>
                        <a:prstDash val="solid"/>
                        <a:miter/>
                      </a:ln>
                    </wpg:grpSpPr>
                    <wps:wsp>
                      <wps:cNvPr id="108" name="矩形 108"/>
                      <wps:cNvSpPr/>
                      <wps:spPr>
                        <a:xfrm rot="0">
                          <a:off x="0" y="0"/>
                          <a:ext cx="7572358" cy="75893952"/>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09" o:spid="_x0000_s109" coordorigin="15,0" coordsize="11929,908146" style="position:absolute;margin-left:0.75pt;margin-top:0.0pt;width:596.4987pt;height:45407.31pt;z-index:58;mso-position-horizontal:absolute;mso-position-horizontal-relative:page;mso-position-vertical:absolute;mso-wrap-distance-left:8.999863pt;mso-wrap-distance-right:8.999863pt;">
              <v:rect type="#_x0000_t1" id="矩形 110" o:spid="_x0000_s110" style="position:absolute;left:15;top:0;width:11924;height:119518;" fillcolor="#FFD966" stroked="f">
                <v:stroke color="#000000"/>
              </v:rect>
              <v:shape type="#_x0000_t75" id="图片 111" o:spid="_x0000_s111" style="position:absolute;left:9310;top:0;width:2618;height:706069;" filled="f" stroked="f">
                <v:imagedata/>
                <o:lock aspectratio="t"/>
                <v:stroke color="#000000"/>
              </v:shape>
              <v:shape type="#_x0000_t75" id="图片 112" o:spid="_x0000_s112" style="position:absolute;left:9600;top:0;width:2344;height:908146;" filled="f" stroked="f">
                <v:imagedata/>
                <o:lock aspectratio="t"/>
                <v:stroke color="#000000"/>
              </v:shape>
            </v:group>
          </w:pict>
        </mc:Fallback>
      </mc:AlternateContent>
    </w:r>
    <w:r>
      <mc:AlternateContent>
        <mc:Choice Requires="wps">
          <w:drawing>
            <wp:anchor distT="0" distB="0" distL="114298" distR="114298" simplePos="0" relativeHeight="59" behindDoc="0" locked="0" layoutInCell="1" hidden="0" allowOverlap="1">
              <wp:simplePos x="0" y="0"/>
              <wp:positionH relativeFrom="page">
                <wp:align>left</wp:align>
              </wp:positionH>
              <wp:positionV relativeFrom="page">
                <wp:posOffset>0</wp:posOffset>
              </wp:positionV>
              <wp:extent cx="3230264" cy="516932928"/>
              <wp:effectExtent l="0" t="0" r="0" b="0"/>
              <wp:wrapNone/>
              <wp:docPr id="113" name="组合"/>
              <wp:cNvGraphicFramePr>
                <a:graphicFrameLocks noChangeAspect="0"/>
              </wp:cNvGraphicFramePr>
              <a:graphic>
                <a:graphicData uri="http://schemas.microsoft.com/office/word/2010/wordprocessingGroup">
                  <wpg:wgp>
                    <wpg:cNvPr id="114" name="组合 114"/>
                    <wpg:cNvGrpSpPr/>
                    <wpg:grpSpPr>
                      <a:xfrm rot="0">
                        <a:off x="0" y="0"/>
                        <a:ext cx="3230264" cy="516932928"/>
                        <a:chOff x="0" y="0"/>
                        <a:chExt cx="3230264" cy="516932928"/>
                      </a:xfrm>
                      <a:prstGeom prst="rect"/>
                      <a:solidFill>
                        <a:srgbClr val="FFFFFF"/>
                      </a:solidFill>
                      <a:ln w="9525" cmpd="sng" cap="flat">
                        <a:solidFill>
                          <a:srgbClr val="000000"/>
                        </a:solidFill>
                        <a:prstDash val="solid"/>
                        <a:miter/>
                      </a:ln>
                    </wpg:grpSpPr>
                    <wps:wsp>
                      <wps:cNvPr id="115" name="矩形 115"/>
                      <wps:cNvSpPr/>
                      <wps:spPr>
                        <a:xfrm rot="0">
                          <a:off x="65405" y="0"/>
                          <a:ext cx="3164859" cy="516932928"/>
                        </a:xfrm>
                        <a:prstGeom prst="rect"/>
                        <a:noFill/>
                        <a:ln w="9525" cmpd="sng" cap="flat">
                          <a:noFill/>
                          <a:prstDash val="solid"/>
                          <a:miter/>
                        </a:ln>
                      </wps:spPr>
                      <wps:txbx id="116">
                        <w:txbxContent>
                          <w:p>
                            <w:pPr>
                              <w:rPr>
                                <w:rFonts w:ascii="微软雅黑" w:eastAsia="微软雅黑" w:cs="微软雅黑"/>
                                <w:b/>
                                <w:bCs/>
                                <w:sz w:val="28"/>
                                <w:szCs w:val="36"/>
                              </w:rPr>
                            </w:pPr>
                            <w:r>
                              <w:rPr>
                                <w:rFonts w:ascii="微软雅黑" w:eastAsia="微软雅黑" w:cs="微软雅黑" w:hint="eastAsia"/>
                                <w:b/>
                                <w:bCs/>
                                <w:sz w:val="28"/>
                                <w:szCs w:val="36"/>
                              </w:rPr>
                              <w:t>第四部分  2019年度部门决算报表</w:t>
                            </w:r>
                          </w:p>
                        </w:txbxContent>
                      </wps:txbx>
                      <wps:bodyPr vert="horz" wrap="square" lIns="91440" tIns="45720" rIns="91440" bIns="45720" anchor="t" anchorCtr="0" upright="1">
                        <a:noAutofit/>
                      </wps:bodyPr>
                    </wps:wsp>
                    <wps:wsp>
                      <wps:cNvPr id="117" name="矩形 117"/>
                      <wps:cNvSpPr/>
                      <wps:spPr>
                        <a:xfrm rot="0">
                          <a:off x="0" y="0"/>
                          <a:ext cx="121920" cy="266086128"/>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18" o:spid="_x0000_s118" coordorigin="0,0" coordsize="5087,814067" style="position:absolute;margin-left:0.0pt;margin-top:0.0pt;width:254.35155pt;height:40703.38pt;z-index:59;mso-position-horizontal:left;mso-position-horizontal-relative:page;mso-position-vertical:absolute;mso-position-vertical-relative:page;mso-wrap-distance-left:8.999863pt;mso-wrap-distance-right:8.999863pt;">
              <v:rect type="#_x0000_t1" id="矩形 119" o:spid="_x0000_s119" style="position:absolute;left:103;top:0;width:4984;height:814067;mso-wrap-style:square;" filled="f" stroked="f">
                <v:textbox id="875"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第四部分  2019年度部门决算报表</w:t>
                      </w:r>
                    </w:p>
                  </w:txbxContent>
                </v:textbox>
                <v:stroke color="#000000"/>
              </v:rect>
              <v:rect type="#_x0000_t1" id="矩形 120" o:spid="_x0000_s120" style="position:absolute;left:0;top:0;width:192;height:419033;" fillcolor="#000000" stroked="f">
                <v:stroke color="#000000"/>
              </v:rect>
            </v:group>
          </w:pict>
        </mc:Fallback>
      </mc:AlternateContent>
    </w:r>
  </w:p>
</w:hdr>
</file>

<file path=word/header1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p>
</w:hdr>
</file>

<file path=word/header1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r>
      <mc:AlternateContent>
        <mc:Choice Requires="wps">
          <w:drawing>
            <wp:anchor distT="0" distB="0" distL="114298" distR="114298" simplePos="0" relativeHeight="62" behindDoc="0" locked="0" layoutInCell="1" hidden="0" allowOverlap="1">
              <wp:simplePos x="0" y="0"/>
              <wp:positionH relativeFrom="page">
                <wp:posOffset>0</wp:posOffset>
              </wp:positionH>
              <wp:positionV relativeFrom="page">
                <wp:posOffset>0</wp:posOffset>
              </wp:positionV>
              <wp:extent cx="3554665" cy="516170976"/>
              <wp:effectExtent l="0" t="0" r="0" b="0"/>
              <wp:wrapNone/>
              <wp:docPr id="128" name="组合"/>
              <wp:cNvGraphicFramePr>
                <a:graphicFrameLocks noChangeAspect="0"/>
              </wp:cNvGraphicFramePr>
              <a:graphic>
                <a:graphicData uri="http://schemas.microsoft.com/office/word/2010/wordprocessingGroup">
                  <wpg:wgp>
                    <wpg:cNvPr id="129" name="组合 129"/>
                    <wpg:cNvGrpSpPr/>
                    <wpg:grpSpPr>
                      <a:xfrm rot="0">
                        <a:off x="0" y="0"/>
                        <a:ext cx="3554665" cy="516170976"/>
                        <a:chOff x="0" y="0"/>
                        <a:chExt cx="3554665" cy="516170976"/>
                      </a:xfrm>
                      <a:prstGeom prst="rect"/>
                      <a:solidFill>
                        <a:srgbClr val="FFFFFF"/>
                      </a:solidFill>
                      <a:ln w="9525" cmpd="sng" cap="flat">
                        <a:solidFill>
                          <a:srgbClr val="000000"/>
                        </a:solidFill>
                        <a:prstDash val="solid"/>
                        <a:miter/>
                      </a:ln>
                    </wpg:grpSpPr>
                    <wps:wsp>
                      <wps:cNvPr id="130" name="矩形 130"/>
                      <wps:cNvSpPr/>
                      <wps:spPr>
                        <a:xfrm rot="0">
                          <a:off x="71131" y="0"/>
                          <a:ext cx="3483534" cy="516170976"/>
                        </a:xfrm>
                        <a:prstGeom prst="rect"/>
                        <a:noFill/>
                        <a:ln w="9525" cmpd="sng" cap="flat">
                          <a:noFill/>
                          <a:prstDash val="solid"/>
                          <a:miter/>
                        </a:ln>
                      </wps:spPr>
                      <wps:txbx id="131">
                        <w:txbxContent>
                          <w:p>
                            <w:pPr>
                              <w:rPr>
                                <w:rFonts w:ascii="微软雅黑" w:eastAsia="微软雅黑" w:cs="微软雅黑"/>
                                <w:b/>
                                <w:bCs/>
                                <w:sz w:val="32"/>
                                <w:szCs w:val="40"/>
                              </w:rPr>
                            </w:pPr>
                            <w:r>
                              <w:rPr>
                                <w:rFonts w:ascii="微软雅黑" w:eastAsia="微软雅黑" w:cs="微软雅黑" w:hint="eastAsia"/>
                                <w:b/>
                                <w:bCs/>
                                <w:sz w:val="32"/>
                                <w:szCs w:val="40"/>
                              </w:rPr>
                              <w:t>第五部分 预算绩效公开内容</w:t>
                            </w:r>
                          </w:p>
                          <w:p/>
                        </w:txbxContent>
                      </wps:txbx>
                      <wps:bodyPr vert="horz" wrap="square" lIns="91440" tIns="45720" rIns="91440" bIns="45720" anchor="t" anchorCtr="0" upright="1">
                        <a:noAutofit/>
                      </wps:bodyPr>
                    </wps:wsp>
                    <wps:wsp>
                      <wps:cNvPr id="132" name="矩形 132"/>
                      <wps:cNvSpPr/>
                      <wps:spPr>
                        <a:xfrm rot="0">
                          <a:off x="0" y="0"/>
                          <a:ext cx="133371" cy="265324160"/>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33" o:spid="_x0000_s133" coordorigin="0,0" coordsize="5597,812867" style="position:absolute;margin-left:0.0pt;margin-top:0.0pt;width:279.89496pt;height:40643.383pt;z-index:62;mso-position-horizontal:absolute;mso-position-horizontal-relative:page;mso-position-vertical:absolute;mso-position-vertical-relative:page;mso-wrap-distance-left:8.999863pt;mso-wrap-distance-right:8.999863pt;">
              <v:rect type="#_x0000_t1" id="矩形 134" o:spid="_x0000_s134" style="position:absolute;left:112;top:0;width:5485;height:812867;mso-wrap-style:square;" filled="f" stroked="f">
                <v:textbox id="876"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第五部分 预算绩效公开内容</w:t>
                      </w:r>
                    </w:p>
                    <w:p/>
                  </w:txbxContent>
                </v:textbox>
                <v:stroke color="#000000"/>
              </v:rect>
              <v:rect type="#_x0000_t1" id="矩形 135" o:spid="_x0000_s135" style="position:absolute;left:0;top:0;width:210;height:417833;" fillcolor="#000000" stroked="f">
                <v:stroke color="#000000"/>
              </v:rect>
            </v:group>
          </w:pict>
        </mc:Fallback>
      </mc:AlternateContent>
    </w:r>
    <w:r>
      <w:rPr>
        <w:rFonts w:hint="eastAsia"/>
      </w:rPr>
      <w:t>·</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r>
      <mc:AlternateContent>
        <mc:Choice Requires="wps">
          <w:drawing>
            <wp:anchor distT="0" distB="0" distL="114298" distR="114298" simplePos="0" relativeHeight="49" behindDoc="0" locked="0" layoutInCell="1" hidden="0" allowOverlap="1">
              <wp:simplePos x="0" y="0"/>
              <wp:positionH relativeFrom="page">
                <wp:posOffset>-26670</wp:posOffset>
              </wp:positionH>
              <wp:positionV relativeFrom="page">
                <wp:posOffset>0</wp:posOffset>
              </wp:positionV>
              <wp:extent cx="2992768" cy="516932928"/>
              <wp:effectExtent l="0" t="0" r="0" b="0"/>
              <wp:wrapNone/>
              <wp:docPr id="21" name="组合"/>
              <wp:cNvGraphicFramePr>
                <a:graphicFrameLocks noChangeAspect="0"/>
              </wp:cNvGraphicFramePr>
              <a:graphic>
                <a:graphicData uri="http://schemas.microsoft.com/office/word/2010/wordprocessingGroup">
                  <wpg:wgp>
                    <wpg:cNvPr id="22" name="组合 22"/>
                    <wpg:cNvGrpSpPr/>
                    <wpg:grpSpPr>
                      <a:xfrm rot="0">
                        <a:off x="0" y="0"/>
                        <a:ext cx="2992768" cy="516932928"/>
                        <a:chOff x="0" y="0"/>
                        <a:chExt cx="2992768" cy="516932928"/>
                      </a:xfrm>
                      <a:prstGeom prst="rect"/>
                      <a:solidFill>
                        <a:srgbClr val="FFFFFF"/>
                      </a:solidFill>
                      <a:ln w="9525" cmpd="sng" cap="flat">
                        <a:solidFill>
                          <a:srgbClr val="000000"/>
                        </a:solidFill>
                        <a:prstDash val="solid"/>
                        <a:miter/>
                      </a:ln>
                    </wpg:grpSpPr>
                    <wps:wsp>
                      <wps:cNvPr id="23" name="矩形 23"/>
                      <wps:cNvSpPr/>
                      <wps:spPr>
                        <a:xfrm rot="0">
                          <a:off x="59690" y="0"/>
                          <a:ext cx="2933078" cy="516932928"/>
                        </a:xfrm>
                        <a:prstGeom prst="rect"/>
                        <a:noFill/>
                        <a:ln w="9525" cmpd="sng" cap="flat">
                          <a:noFill/>
                          <a:prstDash val="solid"/>
                          <a:miter/>
                        </a:ln>
                      </wps:spPr>
                      <wps:txbx id="24">
                        <w:txbxContent>
                          <w:p>
                            <w:pPr>
                              <w:rPr>
                                <w:rFonts w:ascii="微软雅黑" w:eastAsia="微软雅黑" w:cs="微软雅黑"/>
                                <w:b/>
                                <w:bCs/>
                                <w:sz w:val="32"/>
                                <w:szCs w:val="40"/>
                              </w:rPr>
                            </w:pPr>
                            <w:r>
                              <w:rPr>
                                <w:rFonts w:ascii="微软雅黑" w:eastAsia="微软雅黑" w:cs="微软雅黑" w:hint="eastAsia"/>
                                <w:b/>
                                <w:bCs/>
                                <w:sz w:val="32"/>
                                <w:szCs w:val="40"/>
                              </w:rPr>
                              <w:t>第一部分  部门概况</w:t>
                            </w:r>
                          </w:p>
                        </w:txbxContent>
                      </wps:txbx>
                      <wps:bodyPr vert="horz" wrap="square" lIns="91440" tIns="45720" rIns="91440" bIns="45720" anchor="t" anchorCtr="0" upright="1">
                        <a:noAutofit/>
                      </wps:bodyPr>
                    </wps:wsp>
                    <wps:wsp>
                      <wps:cNvPr id="25" name="矩形 25"/>
                      <wps:cNvSpPr/>
                      <wps:spPr>
                        <a:xfrm rot="0">
                          <a:off x="0" y="0"/>
                          <a:ext cx="113030" cy="266086128"/>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26" o:spid="_x0000_s26" coordorigin="-42,0" coordsize="4713,814067" style="position:absolute;margin-left:-2.1pt;margin-top:0.0pt;width:235.6511pt;height:40703.38pt;z-index:49;mso-position-horizontal:absolute;mso-position-horizontal-relative:page;mso-position-vertical:absolute;mso-position-vertical-relative:page;mso-wrap-distance-left:8.999863pt;mso-wrap-distance-right:8.999863pt;">
              <v:rect type="#_x0000_t1" id="矩形 27" o:spid="_x0000_s27" style="position:absolute;left:52;top:0;width:4619;height:814067;mso-wrap-style:square;" filled="f" stroked="f">
                <v:textbox id="870"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第一部分  部门概况</w:t>
                      </w:r>
                    </w:p>
                  </w:txbxContent>
                </v:textbox>
                <v:stroke color="#000000"/>
              </v:rect>
              <v:rect type="#_x0000_t1" id="矩形 28" o:spid="_x0000_s28" style="position:absolute;left:-42;top:0;width:178;height:419033;" fillcolor="#000000" stroked="f">
                <v:stroke color="#000000"/>
              </v:rect>
            </v:group>
          </w:pict>
        </mc:Fallback>
      </mc:AlternateContent>
    </w: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r>
      <mc:AlternateContent>
        <mc:Choice Requires="wps">
          <w:drawing>
            <wp:anchor distT="0" distB="0" distL="114298" distR="114298" simplePos="0" relativeHeight="51" behindDoc="0" locked="0" layoutInCell="1" hidden="0" allowOverlap="1">
              <wp:simplePos x="0" y="0"/>
              <wp:positionH relativeFrom="page">
                <wp:posOffset>28575</wp:posOffset>
              </wp:positionH>
              <wp:positionV relativeFrom="page">
                <wp:posOffset>0</wp:posOffset>
              </wp:positionV>
              <wp:extent cx="3044788" cy="516932928"/>
              <wp:effectExtent l="0" t="0" r="0" b="0"/>
              <wp:wrapNone/>
              <wp:docPr id="39" name="组合"/>
              <wp:cNvGraphicFramePr>
                <a:graphicFrameLocks noChangeAspect="0"/>
              </wp:cNvGraphicFramePr>
              <a:graphic>
                <a:graphicData uri="http://schemas.microsoft.com/office/word/2010/wordprocessingGroup">
                  <wpg:wgp>
                    <wpg:cNvPr id="40" name="组合 40"/>
                    <wpg:cNvGrpSpPr/>
                    <wpg:grpSpPr>
                      <a:xfrm rot="0">
                        <a:off x="0" y="0"/>
                        <a:ext cx="3044788" cy="516932928"/>
                        <a:chOff x="0" y="0"/>
                        <a:chExt cx="3044788" cy="516932928"/>
                      </a:xfrm>
                      <a:prstGeom prst="rect"/>
                      <a:solidFill>
                        <a:srgbClr val="FFFFFF"/>
                      </a:solidFill>
                      <a:ln w="9525" cmpd="sng" cap="flat">
                        <a:solidFill>
                          <a:srgbClr val="000000"/>
                        </a:solidFill>
                        <a:prstDash val="solid"/>
                        <a:miter/>
                      </a:ln>
                    </wpg:grpSpPr>
                    <wps:wsp>
                      <wps:cNvPr id="41" name="矩形 41"/>
                      <wps:cNvSpPr/>
                      <wps:spPr>
                        <a:xfrm rot="0">
                          <a:off x="112417" y="0"/>
                          <a:ext cx="2932371" cy="516932928"/>
                        </a:xfrm>
                        <a:prstGeom prst="rect"/>
                        <a:noFill/>
                        <a:ln w="9525" cmpd="sng" cap="flat">
                          <a:noFill/>
                          <a:prstDash val="solid"/>
                          <a:miter/>
                        </a:ln>
                      </wps:spPr>
                      <wps:txbx id="42">
                        <w:txbxContent>
                          <w:p>
                            <w:pPr>
                              <w:rPr>
                                <w:rFonts w:ascii="微软雅黑" w:eastAsia="微软雅黑" w:cs="微软雅黑"/>
                                <w:b/>
                                <w:bCs/>
                                <w:sz w:val="32"/>
                                <w:szCs w:val="40"/>
                              </w:rPr>
                            </w:pPr>
                            <w:r>
                              <w:rPr>
                                <w:rFonts w:ascii="微软雅黑" w:eastAsia="微软雅黑" w:cs="微软雅黑" w:hint="eastAsia"/>
                                <w:b/>
                                <w:bCs/>
                                <w:sz w:val="32"/>
                                <w:szCs w:val="40"/>
                              </w:rPr>
                              <w:t>第二部分  部门决算情况说明</w:t>
                            </w:r>
                          </w:p>
                        </w:txbxContent>
                      </wps:txbx>
                      <wps:bodyPr vert="horz" wrap="square" lIns="91440" tIns="45720" rIns="91440" bIns="45720" anchor="t" anchorCtr="0" upright="1">
                        <a:noAutofit/>
                      </wps:bodyPr>
                    </wps:wsp>
                    <wps:wsp>
                      <wps:cNvPr id="43" name="矩形 43"/>
                      <wps:cNvSpPr/>
                      <wps:spPr>
                        <a:xfrm rot="0">
                          <a:off x="0" y="0"/>
                          <a:ext cx="112417" cy="265628944"/>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44" o:spid="_x0000_s44" coordorigin="45,0" coordsize="4794,814067" style="position:absolute;margin-left:2.25pt;margin-top:0.0pt;width:239.7471pt;height:40703.38pt;z-index:51;mso-position-horizontal:absolute;mso-position-horizontal-relative:page;mso-position-vertical:absolute;mso-position-vertical-relative:page;mso-wrap-distance-left:8.999863pt;mso-wrap-distance-right:8.999863pt;">
              <v:rect type="#_x0000_t1" id="矩形 45" o:spid="_x0000_s45" style="position:absolute;left:222;top:0;width:4617;height:814067;mso-wrap-style:square;" filled="f" stroked="f">
                <v:textbox id="871"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第二部分  部门决算情况说明</w:t>
                      </w:r>
                    </w:p>
                  </w:txbxContent>
                </v:textbox>
                <v:stroke color="#000000"/>
              </v:rect>
              <v:rect type="#_x0000_t1" id="矩形 46" o:spid="_x0000_s46" style="position:absolute;left:45;top:0;width:177;height:418313;" fillcolor="#000000" stroked="f">
                <v:stroke color="#000000"/>
              </v:rect>
            </v:group>
          </w:pict>
        </mc:Fallback>
      </mc:AlternateContent>
    </w: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r>
      <mc:AlternateContent>
        <mc:Choice Requires="wps">
          <w:drawing>
            <wp:anchor distT="0" distB="0" distL="114298" distR="114298" simplePos="0" relativeHeight="55" behindDoc="0" locked="0" layoutInCell="1" hidden="0" allowOverlap="1">
              <wp:simplePos x="0" y="0"/>
              <wp:positionH relativeFrom="page">
                <wp:posOffset>0</wp:posOffset>
              </wp:positionH>
              <wp:positionV relativeFrom="paragraph">
                <wp:posOffset>0</wp:posOffset>
              </wp:positionV>
              <wp:extent cx="7554698" cy="573320064"/>
              <wp:effectExtent l="0" t="0" r="0" b="0"/>
              <wp:wrapNone/>
              <wp:docPr id="54" name="组合"/>
              <wp:cNvGraphicFramePr>
                <a:graphicFrameLocks noChangeAspect="0"/>
              </wp:cNvGraphicFramePr>
              <a:graphic>
                <a:graphicData uri="http://schemas.microsoft.com/office/word/2010/wordprocessingGroup">
                  <wpg:wgp>
                    <wpg:cNvPr id="55" name="组合 55"/>
                    <wpg:cNvGrpSpPr/>
                    <wpg:grpSpPr>
                      <a:xfrm rot="0">
                        <a:off x="0" y="0"/>
                        <a:ext cx="7554698" cy="573320064"/>
                        <a:chOff x="0" y="0"/>
                        <a:chExt cx="7554698" cy="573320064"/>
                      </a:xfrm>
                      <a:prstGeom prst="rect"/>
                      <a:solidFill>
                        <a:srgbClr val="FFFFFF"/>
                      </a:solidFill>
                      <a:ln w="9525" cmpd="sng" cap="flat">
                        <a:solidFill>
                          <a:srgbClr val="000000"/>
                        </a:solidFill>
                        <a:prstDash val="solid"/>
                        <a:miter/>
                      </a:ln>
                    </wpg:grpSpPr>
                    <wps:wsp>
                      <wps:cNvPr id="56" name="矩形 56"/>
                      <wps:cNvSpPr/>
                      <wps:spPr>
                        <a:xfrm rot="0">
                          <a:off x="0" y="0"/>
                          <a:ext cx="7551523" cy="74979552"/>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57" o:spid="_x0000_s57" coordorigin="0,0" coordsize="11897,902866" style="position:absolute;margin-left:0.0pt;margin-top:0.0pt;width:594.85815pt;height:45143.312pt;z-index:55;mso-position-horizontal:absolute;mso-position-horizontal-relative:page;mso-position-vertical:absolute;mso-wrap-distance-left:8.999863pt;mso-wrap-distance-right:8.999863pt;">
              <v:rect type="#_x0000_t1" id="矩形 58" o:spid="_x0000_s58" style="position:absolute;left:0;top:0;width:11892;height:118078;" fillcolor="#FFD966" stroked="f">
                <v:stroke color="#000000"/>
              </v:rect>
              <v:shape type="#_x0000_t75" id="图片 59" o:spid="_x0000_s59" style="position:absolute;left:9269;top:0;width:2611;height:702229;" filled="f" stroked="f">
                <v:imagedata/>
                <o:lock aspectratio="t"/>
                <v:stroke color="#000000"/>
              </v:shape>
              <v:shape type="#_x0000_t75" id="图片 60" o:spid="_x0000_s60" style="position:absolute;left:9559;top:0;width:2338;height:902866;" filled="f" stroked="f">
                <v:imagedata/>
                <o:lock aspectratio="t"/>
                <v:stroke color="#000000"/>
              </v:shape>
            </v:group>
          </w:pict>
        </mc:Fallback>
      </mc:AlternateContent>
    </w:r>
    <w:r>
      <mc:AlternateContent>
        <mc:Choice Requires="wps">
          <w:drawing>
            <wp:anchor distT="0" distB="0" distL="114298" distR="114298" simplePos="0" relativeHeight="56" behindDoc="0" locked="0" layoutInCell="1" hidden="0" allowOverlap="1">
              <wp:simplePos x="0" y="0"/>
              <wp:positionH relativeFrom="page">
                <wp:posOffset>-26670</wp:posOffset>
              </wp:positionH>
              <wp:positionV relativeFrom="page">
                <wp:posOffset>0</wp:posOffset>
              </wp:positionV>
              <wp:extent cx="2992768" cy="516932928"/>
              <wp:effectExtent l="0" t="0" r="0" b="0"/>
              <wp:wrapNone/>
              <wp:docPr id="61" name="组合"/>
              <wp:cNvGraphicFramePr>
                <a:graphicFrameLocks noChangeAspect="0"/>
              </wp:cNvGraphicFramePr>
              <a:graphic>
                <a:graphicData uri="http://schemas.microsoft.com/office/word/2010/wordprocessingGroup">
                  <wpg:wgp>
                    <wpg:cNvPr id="62" name="组合 62"/>
                    <wpg:cNvGrpSpPr/>
                    <wpg:grpSpPr>
                      <a:xfrm rot="0">
                        <a:off x="0" y="0"/>
                        <a:ext cx="2992768" cy="516932928"/>
                        <a:chOff x="0" y="0"/>
                        <a:chExt cx="2992768" cy="516932928"/>
                      </a:xfrm>
                      <a:prstGeom prst="rect"/>
                      <a:solidFill>
                        <a:srgbClr val="FFFFFF"/>
                      </a:solidFill>
                      <a:ln w="9525" cmpd="sng" cap="flat">
                        <a:solidFill>
                          <a:srgbClr val="000000"/>
                        </a:solidFill>
                        <a:prstDash val="solid"/>
                        <a:miter/>
                      </a:ln>
                    </wpg:grpSpPr>
                    <wps:wsp>
                      <wps:cNvPr id="63" name="矩形 63"/>
                      <wps:cNvSpPr/>
                      <wps:spPr>
                        <a:xfrm rot="0">
                          <a:off x="59690" y="0"/>
                          <a:ext cx="2933078" cy="516932928"/>
                        </a:xfrm>
                        <a:prstGeom prst="rect"/>
                        <a:noFill/>
                        <a:ln w="9525" cmpd="sng" cap="flat">
                          <a:noFill/>
                          <a:prstDash val="solid"/>
                          <a:miter/>
                        </a:ln>
                      </wps:spPr>
                      <wps:txbx id="64">
                        <w:txbxContent>
                          <w:p>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wps:txbx>
                      <wps:bodyPr vert="horz" wrap="square" lIns="91440" tIns="45720" rIns="91440" bIns="45720" anchor="t" anchorCtr="0" upright="1">
                        <a:noAutofit/>
                      </wps:bodyPr>
                    </wps:wsp>
                    <wps:wsp>
                      <wps:cNvPr id="65" name="矩形 65"/>
                      <wps:cNvSpPr/>
                      <wps:spPr>
                        <a:xfrm rot="0">
                          <a:off x="0" y="0"/>
                          <a:ext cx="113030" cy="266086128"/>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66" o:spid="_x0000_s66" coordorigin="-42,0" coordsize="4713,814067" style="position:absolute;margin-left:-2.1pt;margin-top:0.0pt;width:235.6511pt;height:40703.38pt;z-index:56;mso-position-horizontal:absolute;mso-position-horizontal-relative:page;mso-position-vertical:absolute;mso-position-vertical-relative:page;mso-wrap-distance-left:8.999863pt;mso-wrap-distance-right:8.999863pt;">
              <v:rect type="#_x0000_t1" id="矩形 67" o:spid="_x0000_s67" style="position:absolute;left:52;top:0;width:4619;height:814067;mso-wrap-style:square;" filled="f" stroked="f">
                <v:textbox id="872"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v:textbox>
                <v:stroke color="#000000"/>
              </v:rect>
              <v:rect type="#_x0000_t1" id="矩形 68" o:spid="_x0000_s68" style="position:absolute;left:-42;top:0;width:178;height:419033;" fillcolor="#000000" stroked="f">
                <v:stroke color="#000000"/>
              </v:rect>
            </v:group>
          </w:pict>
        </mc:Fallback>
      </mc:AlternateContent>
    </w: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r>
      <mc:AlternateContent>
        <mc:Choice Requires="wps">
          <w:drawing>
            <wp:anchor distT="0" distB="0" distL="114298" distR="114298" simplePos="0" relativeHeight="52" behindDoc="0" locked="0" layoutInCell="1" hidden="0" allowOverlap="1">
              <wp:simplePos x="0" y="0"/>
              <wp:positionH relativeFrom="page">
                <wp:align>left</wp:align>
              </wp:positionH>
              <wp:positionV relativeFrom="page">
                <wp:posOffset>0</wp:posOffset>
              </wp:positionV>
              <wp:extent cx="2000179" cy="516932928"/>
              <wp:effectExtent l="0" t="0" r="0" b="0"/>
              <wp:wrapNone/>
              <wp:docPr id="69" name="组合"/>
              <wp:cNvGraphicFramePr>
                <a:graphicFrameLocks noChangeAspect="0"/>
              </wp:cNvGraphicFramePr>
              <a:graphic>
                <a:graphicData uri="http://schemas.microsoft.com/office/word/2010/wordprocessingGroup">
                  <wpg:wgp>
                    <wpg:cNvPr id="70" name="组合 70"/>
                    <wpg:cNvGrpSpPr/>
                    <wpg:grpSpPr>
                      <a:xfrm rot="0">
                        <a:off x="0" y="0"/>
                        <a:ext cx="2000179" cy="516932928"/>
                        <a:chOff x="0" y="0"/>
                        <a:chExt cx="2000179" cy="516932928"/>
                      </a:xfrm>
                      <a:prstGeom prst="rect"/>
                      <a:solidFill>
                        <a:srgbClr val="FFFFFF"/>
                      </a:solidFill>
                      <a:ln w="9525" cmpd="sng" cap="flat">
                        <a:solidFill>
                          <a:srgbClr val="000000"/>
                        </a:solidFill>
                        <a:prstDash val="solid"/>
                        <a:miter/>
                      </a:ln>
                    </wpg:grpSpPr>
                    <wps:wsp>
                      <wps:cNvPr id="71" name="矩形 71"/>
                      <wps:cNvSpPr/>
                      <wps:spPr>
                        <a:xfrm rot="0">
                          <a:off x="40016" y="0"/>
                          <a:ext cx="1960163" cy="516932928"/>
                        </a:xfrm>
                        <a:prstGeom prst="rect"/>
                        <a:noFill/>
                        <a:ln w="9525" cmpd="sng" cap="flat">
                          <a:noFill/>
                          <a:prstDash val="solid"/>
                          <a:miter/>
                        </a:ln>
                      </wps:spPr>
                      <wps:txbx id="72">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wps:txbx>
                      <wps:bodyPr vert="horz" wrap="square" lIns="91440" tIns="45720" rIns="91440" bIns="45720" anchor="t" anchorCtr="0" upright="1">
                        <a:noAutofit/>
                      </wps:bodyPr>
                    </wps:wsp>
                    <wps:wsp>
                      <wps:cNvPr id="73" name="矩形 73"/>
                      <wps:cNvSpPr/>
                      <wps:spPr>
                        <a:xfrm rot="0">
                          <a:off x="0" y="0"/>
                          <a:ext cx="74951" cy="266086128"/>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74" o:spid="_x0000_s74" coordorigin="0,0" coordsize="3149,814067" style="position:absolute;margin-left:0.0pt;margin-top:0.0pt;width:157.49446pt;height:40703.38pt;z-index:52;mso-position-horizontal:left;mso-position-horizontal-relative:page;mso-position-vertical:absolute;mso-position-vertical-relative:page;mso-wrap-distance-left:8.999863pt;mso-wrap-distance-right:8.999863pt;">
              <v:rect type="#_x0000_t1" id="矩形 75" o:spid="_x0000_s75" style="position:absolute;left:63;top:0;width:3086;height:814067;mso-wrap-style:square;" filled="f" stroked="f">
                <v:textbox id="873"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troke color="#000000"/>
              </v:rect>
              <v:rect type="#_x0000_t1" id="矩形 76" o:spid="_x0000_s76" style="position:absolute;left:0;top:0;width:118;height:419033;" fillcolor="#000000" stroked="f">
                <v:stroke color="#000000"/>
              </v:rect>
            </v:group>
          </w:pict>
        </mc:Fallback>
      </mc:AlternateContent>
    </w:r>
    <w:r>
      <mc:AlternateContent>
        <mc:Choice Requires="wps">
          <w:drawing>
            <wp:anchor distT="0" distB="0" distL="114298" distR="114298" simplePos="0" relativeHeight="53" behindDoc="0" locked="0" layoutInCell="1" hidden="0" allowOverlap="1">
              <wp:simplePos x="0" y="0"/>
              <wp:positionH relativeFrom="page">
                <wp:align>center</wp:align>
              </wp:positionH>
              <wp:positionV relativeFrom="paragraph">
                <wp:align>bottom</wp:align>
              </wp:positionV>
              <wp:extent cx="7575534" cy="893507520"/>
              <wp:effectExtent l="0" t="0" r="0" b="0"/>
              <wp:wrapNone/>
              <wp:docPr id="77" name="组合"/>
              <wp:cNvGraphicFramePr>
                <a:graphicFrameLocks noChangeAspect="0"/>
              </wp:cNvGraphicFramePr>
              <a:graphic>
                <a:graphicData uri="http://schemas.microsoft.com/office/word/2010/wordprocessingGroup">
                  <wpg:wgp>
                    <wpg:cNvPr id="78" name="组合 78"/>
                    <wpg:cNvGrpSpPr/>
                    <wpg:grpSpPr>
                      <a:xfrm rot="0">
                        <a:off x="0" y="0"/>
                        <a:ext cx="7575534" cy="893507520"/>
                        <a:chOff x="0" y="0"/>
                        <a:chExt cx="7575534" cy="893507520"/>
                      </a:xfrm>
                      <a:prstGeom prst="rect"/>
                      <a:solidFill>
                        <a:srgbClr val="FFFFFF"/>
                      </a:solidFill>
                      <a:ln w="9525" cmpd="sng" cap="flat">
                        <a:solidFill>
                          <a:srgbClr val="000000"/>
                        </a:solidFill>
                        <a:prstDash val="solid"/>
                        <a:miter/>
                      </a:ln>
                    </wpg:grpSpPr>
                    <wps:wsp>
                      <wps:cNvPr id="79" name="矩形 79"/>
                      <wps:cNvSpPr/>
                      <wps:spPr>
                        <a:xfrm rot="0">
                          <a:off x="0" y="0"/>
                          <a:ext cx="7572358" cy="117803344"/>
                        </a:xfrm>
                        <a:prstGeom prst="rect"/>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80" o:spid="_x0000_s80" coordorigin="0,0" coordsize="11929,1407098" style="position:absolute;margin-left:0.0pt;margin-top:0.0pt;width:596.4987pt;height:70354.93pt;z-index:53;mso-position-horizontal:center;mso-position-horizontal-relative:page;mso-position-vertical:bottom;mso-wrap-distance-left:8.999863pt;mso-wrap-distance-right:8.999863pt;">
              <v:rect type="#_x0000_t1" id="矩形 81" o:spid="_x0000_s81" style="position:absolute;left:0;top:0;width:11924;height:185517;" fillcolor="#FFD966" stroked="f">
                <v:stroke color="#000000"/>
              </v:rect>
              <v:shape type="#_x0000_t75" id="图片 82" o:spid="_x0000_s82" style="position:absolute;left:9295;top:0;width:2618;height:1094623;" filled="f" stroked="f">
                <v:imagedata/>
                <o:lock aspectratio="t"/>
                <v:stroke color="#000000"/>
              </v:shape>
              <v:shape type="#_x0000_t75" id="图片 83" o:spid="_x0000_s83" style="position:absolute;left:9585;top:0;width:2344;height:1407098;" filled="f" stroked="f">
                <v:imagedata/>
                <o:lock aspectratio="t"/>
                <v:stroke color="#000000"/>
              </v:shape>
            </v:group>
          </w:pict>
        </mc:Fallback>
      </mc:AlternateContent>
    </w: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5DB9A87"/>
    <w:multiLevelType w:val="singleLevel"/>
    <w:tmpl w:val="45DB9A87"/>
    <w:lvl w:ilvl="0">
      <w:start w:val="3"/>
      <w:numFmt w:val="chineseCounting"/>
      <w:lvlRestart w:val="0"/>
      <w:suff w:val="nothing"/>
      <w:lvlText w:val="（%1）"/>
      <w:lvlJc w:val="left"/>
      <w:pPr>
        <w:tabs>
          <w:tab w:val="num" w:pos="0"/>
        </w:tabs>
        <w:ind w:left="0" w:hanging="0"/>
      </w:pPr>
      <w:rPr>
        <w:rFonts w:hint="eastAsia"/>
      </w:rPr>
    </w:lvl>
  </w:abstractNum>
  <w:abstractNum w:abstractNumId="1">
    <w:nsid w:val="5F222FFA"/>
    <w:multiLevelType w:val="singleLevel"/>
    <w:tmpl w:val="5F222FFA"/>
    <w:lvl w:ilvl="0">
      <w:start w:val="1"/>
      <w:numFmt w:val="decimal"/>
      <w:lvlRestart w:val="0"/>
      <w:suff w:val="nothing"/>
      <w:lvlText w:val="（%1）"/>
      <w:lvlJc w:val="left"/>
      <w:pPr>
        <w:tabs>
          <w:tab w:val="num" w:pos="0"/>
        </w:tabs>
        <w:ind w:left="0" w:hanging="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63"/>
  <w:displayHorizontalDrawingGridEvery w:val="2"/>
  <w:displayVerticalDrawingGridEvery w:val="2"/>
  <w:noPunctuationKerning/>
  <w:characterSpacingControl w:val="compressPunctuation"/>
  <w:compat>
    <w:spaceForUL/>
    <w:balanceSingleByteDoubleByteWidth/>
    <w:doNotExpandShiftReturn/>
    <w:adjustLineHeightInTable/>
    <w:growAutofit/>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character" w:default="1" w:styleId="10">
    <w:name w:val="Default Paragraph Font"/>
  </w:style>
  <w:style w:type="paragraph" w:styleId="15">
    <w:name w:val="annotation text"/>
    <w:basedOn w:val="0"/>
    <w:pPr>
      <w:jc w:val="left"/>
    </w:pPr>
  </w:style>
  <w:style w:type="paragraph" w:styleId="16">
    <w:name w:val="Body Text"/>
    <w:basedOn w:val="0"/>
    <w:rPr>
      <w:rFonts w:ascii="仿宋_GB2312" w:eastAsia="仿宋_GB2312" w:cs="仿宋_GB2312"/>
      <w:sz w:val="32"/>
      <w:szCs w:val="32"/>
      <w:lang w:val="zh-CN" w:bidi="zh-CN"/>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tabs>
        <w:tab w:val="center" w:pos="4153"/>
        <w:tab w:val="right" w:pos="8306"/>
      </w:tabs>
      <w:snapToGrid w:val="0"/>
      <w:jc w:val="center"/>
    </w:pPr>
    <w:rPr>
      <w:sz w:val="18"/>
      <w:szCs w:val="18"/>
    </w:rPr>
  </w:style>
  <w:style w:type="paragraph" w:customStyle="1" w:styleId="20">
    <w:name w:val="列出段落1"/>
    <w:basedOn w:val="0"/>
    <w:pPr>
      <w:spacing w:before="2"/>
      <w:ind w:left="119" w:right="434" w:firstLine="643"/>
    </w:pPr>
    <w:rPr>
      <w:rFonts w:ascii="仿宋_GB2312" w:eastAsia="仿宋_GB2312" w:cs="仿宋_GB2312"/>
      <w:lang w:val="zh-CN" w:bidi="zh-CN"/>
    </w:rPr>
  </w:style>
  <w:style w:type="character" w:customStyle="1" w:styleId="21">
    <w:name w:val="font11"/>
    <w:rPr>
      <w:rFonts w:ascii="仿宋_GB2312" w:eastAsia="仿宋_GB2312" w:cs="仿宋_GB2312"/>
      <w:color w:val="000000"/>
      <w:sz w:val="18"/>
      <w:szCs w:val="18"/>
      <w:u w:val="none"/>
      <w:lang w:bidi="ar-SA"/>
    </w:rPr>
  </w:style>
  <w:style w:type="character" w:customStyle="1" w:styleId="22">
    <w:name w:val="font112"/>
    <w:rPr>
      <w:rFonts w:ascii="宋体" w:eastAsia="宋体" w:cs="宋体"/>
      <w:color w:val="000000"/>
      <w:sz w:val="18"/>
      <w:szCs w:val="18"/>
      <w:u w:val="none"/>
      <w:lang w:bidi="ar-SA"/>
    </w:rPr>
  </w:style>
  <w:style w:type="character" w:customStyle="1" w:styleId="23">
    <w:name w:val="font141"/>
    <w:rPr>
      <w:rFonts w:ascii="Times New Roman" w:cs="Times New Roman" w:hAnsi="Times New Roman"/>
      <w:color w:val="000000"/>
      <w:sz w:val="18"/>
      <w:szCs w:val="18"/>
      <w:u w:val="none"/>
      <w:lang w:bidi="ar-SA"/>
    </w:rPr>
  </w:style>
  <w:style w:type="paragraph" w:customStyle="1" w:styleId="24">
    <w:name w:val="列出段落2"/>
    <w:basedOn w:val="0"/>
    <w:pPr>
      <w:ind w:firstLineChars="200" w:firstLine="200"/>
    </w:pPr>
  </w:style>
  <w:style w:type="character" w:customStyle="1" w:styleId="25">
    <w:name w:val="font171"/>
    <w:basedOn w:val="10"/>
    <w:rPr>
      <w:rFonts w:ascii="仿宋_GB2312" w:eastAsia="仿宋_GB2312" w:cs="仿宋_GB2312"/>
      <w:color w:val="000000"/>
      <w:sz w:val="18"/>
      <w:szCs w:val="18"/>
      <w:u w:val="none"/>
    </w:rPr>
  </w:style>
  <w:style w:type="character" w:customStyle="1" w:styleId="26">
    <w:name w:val="font51"/>
    <w:basedOn w:val="10"/>
    <w:rPr>
      <w:rFonts w:ascii="Times New Roman" w:cs="Times New Roman" w:hAnsi="Times New Roman"/>
      <w:color w:val="000000"/>
      <w:sz w:val="18"/>
      <w:szCs w:val="18"/>
      <w:u w:val="none"/>
    </w:rPr>
  </w:style>
  <w:style w:type="character" w:customStyle="1" w:styleId="27">
    <w:name w:val="font161"/>
    <w:basedOn w:val="10"/>
    <w:rPr>
      <w:rFonts w:ascii="宋体" w:eastAsia="宋体" w:cs="宋体"/>
      <w:color w:val="000000"/>
      <w:sz w:val="18"/>
      <w:szCs w:val="18"/>
      <w:u w:val="none"/>
    </w:rPr>
  </w:style>
  <w:style w:type="character" w:customStyle="1" w:styleId="28">
    <w:name w:val="font81"/>
    <w:basedOn w:val="10"/>
    <w:rPr>
      <w:rFonts w:ascii="Times New Roman" w:cs="Times New Roman" w:hAnsi="Times New Roman"/>
      <w:color w:val="000000"/>
      <w:sz w:val="21"/>
      <w:szCs w:val="21"/>
      <w:u w:val="none"/>
    </w:rPr>
  </w:style>
  <w:style w:type="character" w:customStyle="1" w:styleId="29">
    <w:name w:val="font121"/>
    <w:basedOn w:val="10"/>
    <w:rPr>
      <w:rFonts w:ascii="Times New Roman" w:cs="Times New Roman" w:hAnsi="Times New Roman"/>
      <w:color w:val="000000"/>
      <w:sz w:val="20"/>
      <w:szCs w:val="20"/>
      <w:u w:val="none"/>
    </w:rPr>
  </w:style>
  <w:style w:type="character" w:customStyle="1" w:styleId="30">
    <w:name w:val="font131"/>
    <w:basedOn w:val="10"/>
    <w:rPr>
      <w:rFonts w:ascii="宋体" w:eastAsia="宋体" w:cs="宋体"/>
      <w:color w:val="000000"/>
      <w:sz w:val="20"/>
      <w:szCs w:val="20"/>
      <w:u w:val="none"/>
    </w:rPr>
  </w:style>
  <w:style w:type="paragraph" w:styleId="115">
    <w:name w:val="annotation subject"/>
    <w:basedOn w:val="15"/>
    <w:next w:val="15"/>
    <w:rPr>
      <w:b/>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image" Target="media/38.gif"/><Relationship Id="rId13" Type="http://schemas.openxmlformats.org/officeDocument/2006/relationships/header" Target="header6.xml"/><Relationship Id="rId14" Type="http://schemas.openxmlformats.org/officeDocument/2006/relationships/image" Target="media/53.gif"/><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header" Target="header9.xml"/><Relationship Id="rId20" Type="http://schemas.openxmlformats.org/officeDocument/2006/relationships/image" Target="media/93.gif"/><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image" Target="media/97.gif"/><Relationship Id="rId24" Type="http://schemas.openxmlformats.org/officeDocument/2006/relationships/header" Target="header12.xml"/><Relationship Id="rId25" Type="http://schemas.openxmlformats.org/officeDocument/2006/relationships/header" Target="header13.xml"/><Relationship Id="rId26" Type="http://schemas.openxmlformats.org/officeDocument/2006/relationships/footer" Target="footer8.xml"/><Relationship Id="rId27" Type="http://schemas.openxmlformats.org/officeDocument/2006/relationships/header" Target="header14.xml"/><Relationship Id="rId28" Type="http://schemas.openxmlformats.org/officeDocument/2006/relationships/image" Target="media/127.gif"/><Relationship Id="rId29" Type="http://schemas.openxmlformats.org/officeDocument/2006/relationships/header" Target="header15.xml"/><Relationship Id="rId30" Type="http://schemas.openxmlformats.org/officeDocument/2006/relationships/styles" Target="styles.xml"/><Relationship Id="rId31" Type="http://schemas.openxmlformats.org/officeDocument/2006/relationships/numbering" Target="numbering.xml"/><Relationship Id="rId32" Type="http://schemas.openxmlformats.org/officeDocument/2006/relationships/fontTable" Target="fontTable.xml"/></Relationships>
</file>

<file path=docProps/app.xml><?xml version="1.0" encoding="utf-8"?>
<Properties xmlns="http://schemas.openxmlformats.org/officeDocument/2006/extended-properties">
  <Template>Normal.eit</Template>
  <TotalTime>68</TotalTime>
  <Application>Yozo_Office</Application>
  <Pages>40</Pages>
  <Words>11028</Words>
  <Characters>13230</Characters>
  <Lines>2481</Lines>
  <Paragraphs>1246</Paragraphs>
  <CharactersWithSpaces>13682</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user</cp:lastModifiedBy>
  <cp:revision>44</cp:revision>
  <cp:lastPrinted>2020-07-30T02:37:00Z</cp:lastPrinted>
  <dcterms:created xsi:type="dcterms:W3CDTF">2020-07-29T09:42:00Z</dcterms:created>
  <dcterms:modified xsi:type="dcterms:W3CDTF">2021-05-31T03:11:25Z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2052-11.1.0.10495</vt:lpwstr>
  </property>
  <property fmtid="{D5CDD505-2E9C-101B-9397-08002B2CF9AE}" pid="3" name="ICV">
    <vt:lpwstr>8D23B949F13B4B5496CB397B71B6747C</vt:lpwstr>
  </property>
</Properties>
</file>