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rPr>
          <w:color w:val="000000"/>
        </w:rPr>
        <w:sectPr>
          <w:headerReference w:type="default" r:id="rId2"/>
          <w:pgSz w:w="11906" w:h="16838"/>
          <w:pgMar w:top="0" w:right="0" w:bottom="0" w:left="0" w:header="851" w:footer="992" w:gutter="0"/>
          <w:titlePg/>
          <w:docGrid w:type="lines" w:linePitch="312" w:charSpace="0"/>
        </w:sectPr>
      </w:pPr>
      <w:r>
        <mc:AlternateContent>
          <mc:Choice Requires="wps">
            <w:drawing>
              <wp:anchor distT="0" distB="0" distL="114297" distR="114297" simplePos="0" relativeHeight="41" behindDoc="0" locked="0" layoutInCell="1" hidden="0" allowOverlap="1">
                <wp:simplePos x="0" y="0"/>
                <wp:positionH relativeFrom="column">
                  <wp:posOffset>1349375</wp:posOffset>
                </wp:positionH>
                <wp:positionV relativeFrom="paragraph">
                  <wp:posOffset>8808085</wp:posOffset>
                </wp:positionV>
                <wp:extent cx="5132705" cy="685800"/>
                <wp:effectExtent l="0" t="0" r="0" b="0"/>
                <wp:wrapNone/>
                <wp:docPr id="16" name="矩形"/>
                <wp:cNvGraphicFramePr>
                  <a:graphicFrameLocks noChangeAspect="0"/>
                </wp:cNvGraphicFramePr>
                <a:graphic>
                  <a:graphicData uri="http://schemas.microsoft.com/office/word/2010/wordprocessingShape">
                    <wps:wsp>
                      <wps:cNvSpPr/>
                      <wps:spPr>
                        <a:xfrm rot="0">
                          <a:off x="0" y="0"/>
                          <a:ext cx="5132705" cy="685800"/>
                        </a:xfrm>
                        <a:prstGeom prst="rect"/>
                        <a:noFill/>
                        <a:ln w="9525" cmpd="sng" cap="flat">
                          <a:noFill/>
                          <a:prstDash val="solid"/>
                          <a:miter/>
                        </a:ln>
                      </wps:spPr>
                      <wps:txbx id="17">
                        <w:txbxContent>
                          <w:p>
                            <w:pPr>
                              <w:jc w:val="center"/>
                              <w:rPr>
                                <w:rFonts w:ascii="等线 Light" w:eastAsia="等线 Light" w:cs="楷体_GB2312"/>
                                <w:color w:val="000000"/>
                                <w:kern w:val="0"/>
                                <w:sz w:val="44"/>
                                <w:szCs w:val="44"/>
                              </w:rPr>
                            </w:pPr>
                            <w:r>
                              <w:rPr>
                                <w:rFonts w:ascii="等线 Light" w:eastAsia="等线 Light" w:cs="楷体_GB2312" w:hint="eastAsia"/>
                                <w:color w:val="000000"/>
                                <w:kern w:val="0"/>
                                <w:sz w:val="44"/>
                                <w:szCs w:val="44"/>
                              </w:rPr>
                              <w:t>二〇二〇年十一月</w:t>
                            </w:r>
                          </w:p>
                        </w:txbxContent>
                      </wps:txbx>
                      <wps:bodyPr vert="horz" wrap="square" lIns="91440" tIns="45720" rIns="91440" bIns="45720" anchor="t" anchorCtr="0" upright="1">
                        <a:spAutoFit/>
                      </wps:bodyPr>
                    </wps:wsp>
                  </a:graphicData>
                </a:graphic>
              </wp:anchor>
            </w:drawing>
          </mc:Choice>
          <mc:Fallback>
            <w:pict>
              <v:rect type="#_x0000_t1" id="矩形 18" o:spid="_x0000_s18" filled="f" stroked="f" style="position:absolute;margin-left:106.25pt;margin-top:693.55pt;width:404.15pt;height:54.0pt;z-index:41;mso-position-horizontal:absolute;mso-position-vertical:absolute;mso-wrap-distance-left:8.99983pt;mso-wrap-distance-right:8.99983pt;mso-wrap-style:square;">
                <v:stroke color="#000000"/>
                <v:textbox id="867" inset="2.54mm,1.27mm,2.54mm,1.27mm" o:insetmode="custom" style="layout-flow:horizontal;v-text-anchor:top;mso-fit-shape-to-text:t;">
                  <w:txbxContent>
                    <w:p>
                      <w:pPr>
                        <w:jc w:val="center"/>
                        <w:rPr>
                          <w:rFonts w:ascii="等线 Light" w:eastAsia="等线 Light" w:cs="楷体_GB2312"/>
                          <w:color w:val="000000"/>
                          <w:kern w:val="0"/>
                          <w:sz w:val="44"/>
                          <w:szCs w:val="44"/>
                        </w:rPr>
                      </w:pPr>
                      <w:r>
                        <w:rPr>
                          <w:rFonts w:ascii="等线 Light" w:eastAsia="等线 Light" w:cs="楷体_GB2312" w:hint="eastAsia"/>
                          <w:color w:val="000000"/>
                          <w:kern w:val="0"/>
                          <w:sz w:val="44"/>
                          <w:szCs w:val="44"/>
                        </w:rPr>
                        <w:t>二〇二〇年十一月</w:t>
                      </w:r>
                    </w:p>
                  </w:txbxContent>
                </v:textbox>
              </v:rect>
            </w:pict>
          </mc:Fallback>
        </mc:AlternateContent>
      </w:r>
      <w:r>
        <mc:AlternateContent>
          <mc:Choice Requires="wps">
            <w:drawing>
              <wp:anchor distT="0" distB="0" distL="114297" distR="114297" simplePos="0" relativeHeight="42" behindDoc="0" locked="0" layoutInCell="1" hidden="0" allowOverlap="1">
                <wp:simplePos x="0" y="0"/>
                <wp:positionH relativeFrom="column">
                  <wp:posOffset>679450</wp:posOffset>
                </wp:positionH>
                <wp:positionV relativeFrom="paragraph">
                  <wp:posOffset>2952115</wp:posOffset>
                </wp:positionV>
                <wp:extent cx="1548765" cy="1548765"/>
                <wp:effectExtent l="0" t="0" r="0" b="0"/>
                <wp:wrapNone/>
                <wp:docPr id="19" name="椭圆"/>
                <wp:cNvGraphicFramePr>
                  <a:graphicFrameLocks noChangeAspect="0"/>
                </wp:cNvGraphicFramePr>
                <a:graphic>
                  <a:graphicData uri="http://schemas.microsoft.com/office/word/2010/wordprocessingShape">
                    <wps:wsp>
                      <wps:cNvSpPr/>
                      <wps:spPr>
                        <a:xfrm rot="0">
                          <a:off x="0" y="0"/>
                          <a:ext cx="1548765" cy="1548765"/>
                        </a:xfrm>
                        <a:prstGeom prst="ellipse"/>
                        <a:solidFill>
                          <a:srgbClr val="FFFFFF"/>
                        </a:solidFill>
                        <a:ln w="9525" cmpd="sng" cap="flat">
                          <a:noFill/>
                          <a:prstDash val="solid"/>
                          <a:miter/>
                        </a:ln>
                      </wps:spPr>
                      <wps:txbx id="20">
                        <w:txbxContent>
                          <w:p>
                            <w:pPr>
                              <w:jc w:val="center"/>
                            </w:pPr>
                          </w:p>
                        </w:txbxContent>
                      </wps:txbx>
                      <wps:bodyPr vert="horz" wrap="square" lIns="91440" tIns="45720" rIns="91440" bIns="45720" anchor="ctr" anchorCtr="0" upright="1">
                        <a:noAutofit/>
                      </wps:bodyPr>
                    </wps:wsp>
                  </a:graphicData>
                </a:graphic>
              </wp:anchor>
            </w:drawing>
          </mc:Choice>
          <mc:Fallback>
            <w:pict>
              <v:oval type="#_x0000_t3" id="椭圆 21" o:spid="_x0000_s21" fillcolor="#FFFFFF" stroked="f" style="position:absolute;margin-left:53.5pt;margin-top:232.45pt;width:121.950005pt;height:121.950005pt;z-index:42;mso-position-horizontal:absolute;mso-position-vertical:absolute;mso-wrap-distance-left:8.99983pt;mso-wrap-distance-right:8.99983pt;mso-wrap-style:square;">
                <v:stroke color="#000000"/>
                <v:textbox id="868" inset="2.54mm,1.27mm,2.54mm,1.27mm" o:insetmode="custom" style="layout-flow:horizontal;v-text-anchor:middle;">
                  <w:txbxContent>
                    <w:p>
                      <w:pPr>
                        <w:jc w:val="center"/>
                      </w:pPr>
                    </w:p>
                  </w:txbxContent>
                </v:textbox>
              </v:oval>
            </w:pict>
          </mc:Fallback>
        </mc:AlternateContent>
      </w:r>
      <w:r>
        <mc:AlternateContent>
          <mc:Choice Requires="wps">
            <w:drawing>
              <wp:anchor distT="0" distB="0" distL="114297" distR="114297" simplePos="0" relativeHeight="43" behindDoc="0" locked="0" layoutInCell="1" hidden="0" allowOverlap="1">
                <wp:simplePos x="0" y="0"/>
                <wp:positionH relativeFrom="column">
                  <wp:posOffset>426720</wp:posOffset>
                </wp:positionH>
                <wp:positionV relativeFrom="paragraph">
                  <wp:posOffset>3260725</wp:posOffset>
                </wp:positionV>
                <wp:extent cx="2040254" cy="685800"/>
                <wp:effectExtent l="0" t="0" r="0" b="0"/>
                <wp:wrapNone/>
                <wp:docPr id="22" name="矩形"/>
                <wp:cNvGraphicFramePr>
                  <a:graphicFrameLocks noChangeAspect="0"/>
                </wp:cNvGraphicFramePr>
                <a:graphic>
                  <a:graphicData uri="http://schemas.microsoft.com/office/word/2010/wordprocessingShape">
                    <wps:wsp>
                      <wps:cNvSpPr/>
                      <wps:spPr>
                        <a:xfrm rot="0">
                          <a:off x="0" y="0"/>
                          <a:ext cx="2040254" cy="685800"/>
                        </a:xfrm>
                        <a:prstGeom prst="rect"/>
                        <a:noFill/>
                        <a:ln w="9525" cmpd="sng" cap="flat">
                          <a:noFill/>
                          <a:prstDash val="solid"/>
                          <a:miter/>
                        </a:ln>
                      </wps:spPr>
                      <wps:txbx id="23">
                        <w:txbxContent>
                          <w:p>
                            <w:pPr>
                              <w:spacing w:line="360" w:lineRule="auto"/>
                              <w:jc w:val="center"/>
                              <w:rPr>
                                <w:kern w:val="0"/>
                                <w:sz w:val="28"/>
                                <w:szCs w:val="28"/>
                              </w:rPr>
                            </w:pPr>
                            <w:r>
                              <w:rPr>
                                <w:rFonts w:ascii="Yu Gothic UI Semibold" w:eastAsia="宋体" w:hAnsi="Yu Gothic UI Semibold"/>
                                <w:color w:val="FFFFFF"/>
                                <w:kern w:val="24"/>
                                <w:sz w:val="72"/>
                                <w:szCs w:val="72"/>
                              </w:rPr>
                              <w:t>2019</w:t>
                            </w:r>
                          </w:p>
                        </w:txbxContent>
                      </wps:txbx>
                      <wps:bodyPr vert="horz" wrap="square" lIns="91440" tIns="45720" rIns="91440" bIns="45720" anchor="t" anchorCtr="0" upright="1">
                        <a:spAutoFit/>
                      </wps:bodyPr>
                    </wps:wsp>
                  </a:graphicData>
                </a:graphic>
              </wp:anchor>
            </w:drawing>
          </mc:Choice>
          <mc:Fallback>
            <w:pict>
              <v:rect type="#_x0000_t1" id="矩形 24" o:spid="_x0000_s24" filled="f" stroked="f" style="position:absolute;margin-left:33.6pt;margin-top:256.75pt;width:160.65pt;height:54.0pt;z-index:43;mso-position-horizontal:absolute;mso-position-vertical:absolute;mso-wrap-distance-left:8.99983pt;mso-wrap-distance-right:8.99983pt;mso-wrap-style:square;">
                <v:stroke color="#000000"/>
                <v:textbox id="869" inset="2.54mm,1.27mm,2.54mm,1.27mm" o:insetmode="custom" style="layout-flow:horizontal;v-text-anchor:top;mso-fit-shape-to-text:t;">
                  <w:txbxContent>
                    <w:p>
                      <w:pPr>
                        <w:spacing w:line="360" w:lineRule="auto"/>
                        <w:jc w:val="center"/>
                        <w:rPr>
                          <w:kern w:val="0"/>
                          <w:sz w:val="28"/>
                          <w:szCs w:val="28"/>
                        </w:rPr>
                      </w:pPr>
                      <w:r>
                        <w:rPr>
                          <w:rFonts w:ascii="Yu Gothic UI Semibold" w:eastAsia="宋体" w:hAnsi="Yu Gothic UI Semibold"/>
                          <w:color w:val="FFFFFF"/>
                          <w:kern w:val="24"/>
                          <w:sz w:val="72"/>
                          <w:szCs w:val="72"/>
                        </w:rPr>
                        <w:t>2019</w:t>
                      </w:r>
                    </w:p>
                  </w:txbxContent>
                </v:textbox>
              </v:rect>
            </w:pict>
          </mc:Fallback>
        </mc:AlternateContent>
      </w:r>
      <w:r>
        <mc:AlternateContent>
          <mc:Choice Requires="wps">
            <w:drawing>
              <wp:anchor distT="0" distB="0" distL="114297" distR="114297" simplePos="0" relativeHeight="44" behindDoc="0" locked="0" layoutInCell="1" hidden="0" allowOverlap="1">
                <wp:simplePos x="0" y="0"/>
                <wp:positionH relativeFrom="column">
                  <wp:posOffset>789940</wp:posOffset>
                </wp:positionH>
                <wp:positionV relativeFrom="paragraph">
                  <wp:posOffset>3082925</wp:posOffset>
                </wp:positionV>
                <wp:extent cx="1313814" cy="1313814"/>
                <wp:effectExtent l="0" t="0" r="0" b="0"/>
                <wp:wrapNone/>
                <wp:docPr id="25" name="椭圆"/>
                <wp:cNvGraphicFramePr>
                  <a:graphicFrameLocks noChangeAspect="0"/>
                </wp:cNvGraphicFramePr>
                <a:graphic>
                  <a:graphicData uri="http://schemas.microsoft.com/office/word/2010/wordprocessingShape">
                    <wps:wsp>
                      <wps:cNvSpPr/>
                      <wps:spPr>
                        <a:xfrm rot="0">
                          <a:off x="0" y="0"/>
                          <a:ext cx="1313814" cy="1313814"/>
                        </a:xfrm>
                        <a:prstGeom prst="ellipse"/>
                        <a:solidFill>
                          <a:srgbClr val="1F2959"/>
                        </a:solidFill>
                        <a:ln w="9525" cmpd="sng" cap="flat">
                          <a:noFill/>
                          <a:prstDash val="solid"/>
                          <a:miter/>
                        </a:ln>
                      </wps:spPr>
                      <wps:txbx id="26">
                        <w:txbxContent>
                          <w:p>
                            <w:pPr>
                              <w:jc w:val="center"/>
                            </w:pPr>
                          </w:p>
                        </w:txbxContent>
                      </wps:txbx>
                      <wps:bodyPr vert="horz" wrap="square" lIns="91440" tIns="45720" rIns="91440" bIns="45720" anchor="ctr" anchorCtr="0" upright="1">
                        <a:noAutofit/>
                      </wps:bodyPr>
                    </wps:wsp>
                  </a:graphicData>
                </a:graphic>
              </wp:anchor>
            </w:drawing>
          </mc:Choice>
          <mc:Fallback>
            <w:pict>
              <v:oval type="#_x0000_t3" id="椭圆 27" o:spid="_x0000_s27" fillcolor="#1F2959" stroked="f" style="position:absolute;margin-left:62.200005pt;margin-top:242.75pt;width:103.45pt;height:103.45pt;z-index:44;mso-position-horizontal:absolute;mso-position-vertical:absolute;mso-wrap-distance-left:8.99983pt;mso-wrap-distance-right:8.99983pt;mso-wrap-style:square;">
                <v:stroke color="#000000"/>
                <v:textbox id="870" inset="2.54mm,1.27mm,2.54mm,1.27mm" o:insetmode="custom" style="layout-flow:horizontal;v-text-anchor:middle;">
                  <w:txbxContent>
                    <w:p>
                      <w:pPr>
                        <w:jc w:val="center"/>
                      </w:pPr>
                    </w:p>
                  </w:txbxContent>
                </v:textbox>
              </v:oval>
            </w:pict>
          </mc:Fallback>
        </mc:AlternateContent>
      </w:r>
      <w:r>
        <mc:AlternateContent>
          <mc:Choice Requires="wps">
            <w:drawing>
              <wp:anchor distT="0" distB="0" distL="114297" distR="114297" simplePos="0" relativeHeight="45" behindDoc="0" locked="0" layoutInCell="1" hidden="0" allowOverlap="1">
                <wp:simplePos x="0" y="0"/>
                <wp:positionH relativeFrom="column">
                  <wp:posOffset>15874</wp:posOffset>
                </wp:positionH>
                <wp:positionV relativeFrom="paragraph">
                  <wp:posOffset>10435590</wp:posOffset>
                </wp:positionV>
                <wp:extent cx="7559675" cy="272412"/>
                <wp:effectExtent l="0" t="0" r="0" b="0"/>
                <wp:wrapNone/>
                <wp:docPr id="28" name="组合"/>
                <wp:cNvGraphicFramePr>
                  <a:graphicFrameLocks noChangeAspect="0"/>
                </wp:cNvGraphicFramePr>
                <a:graphic>
                  <a:graphicData uri="http://schemas.microsoft.com/office/word/2010/wordprocessingGroup">
                    <wpg:wgp>
                      <wpg:cNvPr id="29" name="组合 29"/>
                      <wpg:cNvGrpSpPr/>
                      <wpg:grpSpPr>
                        <a:xfrm rot="0">
                          <a:off x="0" y="0"/>
                          <a:ext cx="7559675" cy="272412"/>
                          <a:chOff x="0" y="0"/>
                          <a:chExt cx="7559675" cy="272412"/>
                        </a:xfrm>
                        <a:prstGeom prst="rect"/>
                        <a:solidFill>
                          <a:srgbClr val="FFFFFF"/>
                        </a:solidFill>
                        <a:ln w="9525" cmpd="sng" cap="flat">
                          <a:solidFill>
                            <a:srgbClr val="000000"/>
                          </a:solidFill>
                          <a:prstDash val="solid"/>
                          <a:miter/>
                        </a:ln>
                      </wpg:grpSpPr>
                      <wps:wsp>
                        <wps:cNvPr id="30" name="矩形 30"/>
                        <wps:cNvSpPr/>
                        <wps:spPr>
                          <a:xfrm rot="0">
                            <a:off x="0" y="0"/>
                            <a:ext cx="714374" cy="271776"/>
                          </a:xfrm>
                          <a:prstGeom prst="rect"/>
                          <a:solidFill>
                            <a:srgbClr val="FDBC11"/>
                          </a:solidFill>
                          <a:ln w="9525" cmpd="sng" cap="flat">
                            <a:noFill/>
                            <a:prstDash val="solid"/>
                            <a:miter/>
                          </a:ln>
                        </wps:spPr>
                        <wps:bodyPr vert="horz" wrap="square" lIns="91440" tIns="45720" rIns="91440" bIns="45720" anchor="t" anchorCtr="0" upright="1">
                          <a:noAutofit/>
                        </wps:bodyPr>
                      </wps:wsp>
                      <wps:wsp>
                        <wps:cNvPr id="31" name="矩形 31"/>
                        <wps:cNvSpPr/>
                        <wps:spPr>
                          <a:xfrm rot="0">
                            <a:off x="715010" y="635"/>
                            <a:ext cx="6844665" cy="271776"/>
                          </a:xfrm>
                          <a:prstGeom prst="rect"/>
                          <a:solidFill>
                            <a:srgbClr val="1F2959"/>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32" o:spid="_x0000_s32" coordorigin="24,16434" coordsize="11905,428" style="position:absolute;margin-left:1.25pt;margin-top:821.7pt;width:595.25pt;height:21.449839pt;z-index:45;mso-position-horizontal:absolute;mso-position-vertical:absolute;mso-wrap-distance-left:8.99983pt;mso-wrap-distance-right:8.99983pt;">
                <v:rect type="#_x0000_t1" id="矩形 33" o:spid="_x0000_s33" style="position:absolute;left:24;top:16434;width:1124;height:427;" fillcolor="#FDBC11" stroked="f">
                  <v:stroke color="#000000"/>
                </v:rect>
                <v:rect type="#_x0000_t1" id="矩形 34" o:spid="_x0000_s34" style="position:absolute;left:1151;top:16435;width:10779;height:427;" fillcolor="#1F2959" stroked="f">
                  <v:stroke color="#000000"/>
                </v:rect>
              </v:group>
            </w:pict>
          </mc:Fallback>
        </mc:AlternateContent>
      </w:r>
      <w:r>
        <mc:AlternateContent>
          <mc:Choice Requires="wps">
            <w:drawing>
              <wp:anchor distT="0" distB="0" distL="114297" distR="114297" simplePos="0" relativeHeight="2" behindDoc="1" locked="0" layoutInCell="1" hidden="0" allowOverlap="1">
                <wp:simplePos x="0" y="0"/>
                <wp:positionH relativeFrom="column">
                  <wp:posOffset>-31115</wp:posOffset>
                </wp:positionH>
                <wp:positionV relativeFrom="paragraph">
                  <wp:posOffset>0</wp:posOffset>
                </wp:positionV>
                <wp:extent cx="7623175" cy="3917950"/>
                <wp:effectExtent l="0" t="0" r="0" b="0"/>
                <wp:wrapNone/>
                <wp:docPr id="35" name="组合"/>
                <wp:cNvGraphicFramePr>
                  <a:graphicFrameLocks noChangeAspect="0"/>
                </wp:cNvGraphicFramePr>
                <a:graphic>
                  <a:graphicData uri="http://schemas.microsoft.com/office/word/2010/wordprocessingGroup">
                    <wpg:wgp>
                      <wpg:cNvPr id="36" name="组合 36"/>
                      <wpg:cNvGrpSpPr/>
                      <wpg:grpSpPr>
                        <a:xfrm rot="0">
                          <a:off x="0" y="0"/>
                          <a:ext cx="7623175" cy="3917950"/>
                          <a:chOff x="0" y="0"/>
                          <a:chExt cx="7623175" cy="3917950"/>
                        </a:xfrm>
                        <a:prstGeom prst="rect"/>
                        <a:solidFill>
                          <a:srgbClr val="FFFFFF"/>
                        </a:solidFill>
                        <a:ln w="9525" cmpd="sng" cap="flat">
                          <a:solidFill>
                            <a:srgbClr val="000000"/>
                          </a:solidFill>
                          <a:prstDash val="solid"/>
                          <a:miter/>
                        </a:ln>
                      </wpg:grpSpPr>
                      <wps:wsp>
                        <wps:cNvPr id="37" name="矩形 37"/>
                        <wps:cNvSpPr/>
                        <wps:spPr>
                          <a:xfrm rot="0">
                            <a:off x="0" y="0"/>
                            <a:ext cx="7623175" cy="3917950"/>
                          </a:xfrm>
                          <a:prstGeom prst="rect"/>
                          <a:solidFill>
                            <a:srgbClr val="FDBC11"/>
                          </a:solidFill>
                          <a:ln w="9525" cmpd="sng" cap="flat">
                            <a:noFill/>
                            <a:prstDash val="solid"/>
                            <a:miter/>
                          </a:ln>
                        </wps:spPr>
                        <wps:bodyPr vert="horz" wrap="square" lIns="91440" tIns="45720" rIns="91440" bIns="45720" anchor="t" anchorCtr="0" upright="1">
                          <a:noAutofit/>
                        </wps:bodyPr>
                      </wps:wsp>
                      <wps:wsp>
                        <wps:cNvPr id="38" name="矩形 38"/>
                        <wps:cNvSpPr/>
                        <wps:spPr>
                          <a:xfrm rot="0">
                            <a:off x="2289810" y="3008630"/>
                            <a:ext cx="5132705" cy="883920"/>
                          </a:xfrm>
                          <a:prstGeom prst="rect"/>
                          <a:noFill/>
                          <a:ln w="9525" cmpd="sng" cap="flat">
                            <a:noFill/>
                            <a:prstDash val="solid"/>
                            <a:miter/>
                          </a:ln>
                        </wps:spPr>
                        <wps:txbx id="39">
                          <w:txbxContent>
                            <w:p>
                              <w:pPr>
                                <w:jc w:val="left"/>
                                <w:rPr>
                                  <w:color w:val="000000"/>
                                  <w:kern w:val="0"/>
                                  <w:sz w:val="92"/>
                                  <w:szCs w:val="92"/>
                                </w:rPr>
                              </w:pPr>
                              <w:r>
                                <w:rPr>
                                  <w:rFonts w:ascii="思源黑体 HW Bold" w:eastAsia="思源黑体 HW Bold" w:hint="eastAsia"/>
                                  <w:color w:val="000000"/>
                                  <w:kern w:val="24"/>
                                  <w:sz w:val="92"/>
                                  <w:szCs w:val="92"/>
                                </w:rPr>
                                <w:t>部门决算公开文本</w:t>
                              </w:r>
                            </w:p>
                          </w:txbxContent>
                        </wps:txbx>
                        <wps:bodyPr vert="horz" wrap="square" lIns="91440" tIns="45720" rIns="91440" bIns="45720" anchor="t" anchorCtr="0" upright="1">
                          <a:spAutoFit/>
                        </wps:bodyPr>
                      </wps:wsp>
                      <wps:bodyPr vert="horz" wrap="square" lIns="91440" tIns="45720" rIns="91440" bIns="45720" anchor="t" anchorCtr="0" upright="1">
                        <a:noAutofit/>
                      </wps:bodyPr>
                    </wpg:wgp>
                  </a:graphicData>
                </a:graphic>
              </wp:anchor>
            </w:drawing>
          </mc:Choice>
          <mc:Fallback>
            <w:pict>
              <v:group type="#_x0000_t1" id="组合 40" o:spid="_x0000_s40" coordorigin="-49,0" coordsize="12005,6170" style="position:absolute;margin-left:-2.45pt;margin-top:0.0pt;width:600.25pt;height:308.5pt;z-index:-35;mso-position-horizontal:absolute;mso-position-vertical:absolute;mso-wrap-distance-left:8.99983pt;mso-wrap-distance-right:8.99983pt;">
                <v:rect type="#_x0000_t1" id="矩形 41" o:spid="_x0000_s41" style="position:absolute;left:-49;top:0;width:12005;height:6170;" fillcolor="#FDBC11" stroked="f">
                  <v:stroke color="#000000"/>
                </v:rect>
                <v:rect type="#_x0000_t1" id="矩形 42" o:spid="_x0000_s42" style="position:absolute;left:3557;top:4738;width:8083;height:1392;mso-wrap-style:square;" filled="f" stroked="f">
                  <v:textbox id="871" inset="2.54mm,1.27mm,2.54mm,1.27mm" o:insetmode="custom" style="layout-flow:horizontal;v-text-anchor:top;mso-fit-shape-to-text:t;">
                    <w:txbxContent>
                      <w:p>
                        <w:pPr>
                          <w:jc w:val="left"/>
                          <w:rPr>
                            <w:color w:val="000000"/>
                            <w:kern w:val="0"/>
                            <w:sz w:val="92"/>
                            <w:szCs w:val="92"/>
                          </w:rPr>
                        </w:pPr>
                        <w:r>
                          <w:rPr>
                            <w:rFonts w:ascii="思源黑体 HW Bold" w:eastAsia="思源黑体 HW Bold" w:hint="eastAsia"/>
                            <w:color w:val="000000"/>
                            <w:kern w:val="24"/>
                            <w:sz w:val="92"/>
                            <w:szCs w:val="92"/>
                          </w:rPr>
                          <w:t>部门决算公开文本</w:t>
                        </w:r>
                      </w:p>
                    </w:txbxContent>
                  </v:textbox>
                  <v:stroke color="#000000"/>
                </v:rect>
              </v:group>
            </w:pict>
          </mc:Fallback>
        </mc:AlternateContent>
      </w:r>
      <w:r>
        <mc:AlternateContent>
          <mc:Choice Requires="wps">
            <w:drawing>
              <wp:anchor distT="0" distB="0" distL="114297" distR="114297" simplePos="0" relativeHeight="46" behindDoc="0" locked="0" layoutInCell="1" hidden="0" allowOverlap="1">
                <wp:simplePos x="0" y="0"/>
                <wp:positionH relativeFrom="column">
                  <wp:posOffset>2346325</wp:posOffset>
                </wp:positionH>
                <wp:positionV relativeFrom="paragraph">
                  <wp:posOffset>3639820</wp:posOffset>
                </wp:positionV>
                <wp:extent cx="192404" cy="487679"/>
                <wp:effectExtent l="0" t="0" r="0" b="0"/>
                <wp:wrapNone/>
                <wp:docPr id="43" name="矩形"/>
                <wp:cNvGraphicFramePr>
                  <a:graphicFrameLocks noChangeAspect="0"/>
                </wp:cNvGraphicFramePr>
                <a:graphic>
                  <a:graphicData uri="http://schemas.microsoft.com/office/word/2010/wordprocessingShape">
                    <wps:wsp>
                      <wps:cNvSpPr/>
                      <wps:spPr>
                        <a:xfrm rot="0">
                          <a:off x="0" y="0"/>
                          <a:ext cx="192404" cy="487679"/>
                        </a:xfrm>
                        <a:prstGeom prst="rect"/>
                        <a:noFill/>
                        <a:ln w="9525" cmpd="sng" cap="flat">
                          <a:noFill/>
                          <a:prstDash val="solid"/>
                          <a:miter/>
                        </a:ln>
                      </wps:spPr>
                      <wps:txbx id="44">
                        <w:txbxContent>
                          <w:p/>
                        </w:txbxContent>
                      </wps:txbx>
                      <wps:bodyPr vert="horz" wrap="none" lIns="91440" tIns="45720" rIns="91440" bIns="45720" anchor="t" anchorCtr="0" upright="1">
                        <a:spAutoFit/>
                      </wps:bodyPr>
                    </wps:wsp>
                  </a:graphicData>
                </a:graphic>
              </wp:anchor>
            </w:drawing>
          </mc:Choice>
          <mc:Fallback>
            <w:pict>
              <v:rect type="#_x0000_t1" id="矩形 45" o:spid="_x0000_s45" filled="f" stroked="f" style="position:absolute;margin-left:184.75pt;margin-top:286.6pt;width:15.149996pt;height:38.399998pt;z-index:46;mso-position-horizontal:absolute;mso-position-vertical:absolute;mso-wrap-distance-left:8.99983pt;mso-wrap-distance-right:8.99983pt;mso-wrap-style:none;">
                <v:stroke color="#000000"/>
                <v:textbox id="872" inset="2.54mm,1.27mm,2.54mm,1.27mm" o:insetmode="custom" style="layout-flow:horizontal;v-text-anchor:top;mso-fit-shape-to-text:t;">
                  <w:txbxContent>
                    <w:p/>
                  </w:txbxContent>
                </v:textbox>
              </v:rect>
            </w:pict>
          </mc:Fallback>
        </mc:AlternateContent>
      </w:r>
    </w:p>
    <w:p>
      <w:pPr>
        <w:rPr>
          <w:rFonts w:ascii="黑体" w:eastAsia="黑体" w:cs="Times New Roman"/>
          <w:color w:val="000000"/>
          <w:sz w:val="48"/>
          <w:szCs w:val="48"/>
        </w:rPr>
      </w:pPr>
    </w:p>
    <w:p>
      <w:pPr>
        <w:tabs>
          <w:tab w:val="left" w:pos="2728"/>
        </w:tabs>
        <w:rPr>
          <w:rFonts w:ascii="黑体" w:eastAsia="黑体" w:cs="Times New Roman"/>
          <w:color w:val="000000"/>
          <w:sz w:val="48"/>
          <w:szCs w:val="48"/>
        </w:rPr>
      </w:pPr>
      <w:r>
        <w:rPr>
          <w:rFonts w:ascii="黑体" w:eastAsia="黑体" w:cs="Times New Roman"/>
          <w:color w:val="000000"/>
          <w:sz w:val="48"/>
          <w:szCs w:val="48"/>
        </w:rPr>
        <w:tab/>
      </w:r>
    </w:p>
    <w:p>
      <w:pPr>
        <w:rPr>
          <w:rFonts w:ascii="黑体" w:eastAsia="黑体" w:cs="黑体"/>
          <w:b/>
          <w:bCs/>
          <w:color w:val="000000"/>
          <w:sz w:val="72"/>
          <w:szCs w:val="96"/>
        </w:rPr>
      </w:pPr>
      <w:r>
        <w:rPr>
          <w:rFonts w:ascii="黑体" w:eastAsia="黑体" w:cs="黑体"/>
          <w:b/>
          <w:bCs/>
          <w:color w:val="000000"/>
          <w:sz w:val="72"/>
          <w:szCs w:val="96"/>
        </w:rPr>
        <w:t>2019</w:t>
      </w:r>
      <w:r>
        <w:rPr>
          <w:rFonts w:ascii="黑体" w:eastAsia="黑体" w:cs="黑体" w:hint="eastAsia"/>
          <w:b/>
          <w:bCs/>
          <w:color w:val="000000"/>
          <w:sz w:val="72"/>
          <w:szCs w:val="96"/>
        </w:rPr>
        <w:t>年度部门决算公开文本</w:t>
      </w:r>
    </w:p>
    <w:p>
      <w:pPr>
        <w:spacing w:line="360" w:lineRule="auto"/>
        <w:jc w:val="center"/>
        <w:rPr>
          <w:rFonts w:ascii="黑体" w:eastAsia="黑体" w:cs="黑体"/>
          <w:color w:val="000000"/>
          <w:sz w:val="56"/>
          <w:szCs w:val="72"/>
        </w:rPr>
      </w:pPr>
    </w:p>
    <w:p>
      <w:pPr>
        <w:spacing w:line="600" w:lineRule="auto"/>
        <w:jc w:val="center"/>
        <w:rPr>
          <w:rFonts w:ascii="黑体" w:eastAsia="黑体" w:cs="黑体"/>
          <w:color w:val="000000"/>
          <w:sz w:val="56"/>
          <w:szCs w:val="72"/>
        </w:rPr>
      </w:pPr>
    </w:p>
    <w:p>
      <w:pPr>
        <w:spacing w:line="600" w:lineRule="auto"/>
        <w:jc w:val="center"/>
        <w:rPr>
          <w:rFonts w:ascii="黑体" w:eastAsia="黑体" w:cs="黑体"/>
          <w:color w:val="000000"/>
          <w:sz w:val="56"/>
          <w:szCs w:val="72"/>
        </w:rPr>
      </w:pPr>
    </w:p>
    <w:p>
      <w:pPr>
        <w:spacing w:line="600" w:lineRule="auto"/>
        <w:jc w:val="center"/>
        <w:rPr>
          <w:rFonts w:ascii="黑体" w:eastAsia="黑体" w:cs="黑体"/>
          <w:color w:val="000000"/>
          <w:sz w:val="56"/>
          <w:szCs w:val="72"/>
        </w:rPr>
      </w:pPr>
    </w:p>
    <w:p>
      <w:pPr>
        <w:spacing w:line="600" w:lineRule="auto"/>
        <w:jc w:val="center"/>
        <w:rPr>
          <w:rFonts w:ascii="黑体" w:eastAsia="黑体" w:cs="黑体"/>
          <w:color w:val="000000"/>
          <w:sz w:val="56"/>
          <w:szCs w:val="72"/>
        </w:rPr>
      </w:pPr>
    </w:p>
    <w:p>
      <w:pPr>
        <w:spacing w:line="480" w:lineRule="auto"/>
        <w:jc w:val="center"/>
        <w:rPr>
          <w:rFonts w:ascii="黑体" w:eastAsia="黑体" w:cs="黑体"/>
          <w:color w:val="000000"/>
          <w:sz w:val="56"/>
          <w:szCs w:val="72"/>
        </w:rPr>
      </w:pPr>
    </w:p>
    <w:p>
      <w:pPr>
        <w:spacing w:line="480" w:lineRule="auto"/>
        <w:jc w:val="center"/>
        <w:rPr>
          <w:rFonts w:ascii="黑体" w:eastAsia="黑体" w:cs="黑体"/>
          <w:color w:val="000000"/>
          <w:sz w:val="56"/>
          <w:szCs w:val="72"/>
        </w:rPr>
      </w:pPr>
    </w:p>
    <w:p>
      <w:pPr>
        <w:spacing w:line="480" w:lineRule="auto"/>
        <w:jc w:val="center"/>
        <w:rPr>
          <w:rFonts w:ascii="黑体" w:eastAsia="黑体" w:cs="黑体"/>
          <w:color w:val="000000"/>
          <w:sz w:val="56"/>
          <w:szCs w:val="72"/>
        </w:rPr>
      </w:pPr>
    </w:p>
    <w:p>
      <w:pPr>
        <w:snapToGrid w:val="0"/>
        <w:spacing w:line="480" w:lineRule="auto"/>
        <w:jc w:val="center"/>
        <w:rPr>
          <w:rFonts w:ascii="黑体" w:eastAsia="黑体" w:cs="黑体"/>
          <w:color w:val="000000"/>
          <w:sz w:val="56"/>
          <w:szCs w:val="72"/>
        </w:rPr>
      </w:pPr>
    </w:p>
    <w:p>
      <w:pPr>
        <w:snapToGrid w:val="0"/>
        <w:jc w:val="center"/>
        <w:rPr>
          <w:rFonts w:ascii="楷体_GB2312" w:eastAsia="楷体_GB2312" w:cs="楷体_GB2312"/>
          <w:color w:val="000000"/>
          <w:kern w:val="0"/>
          <w:sz w:val="44"/>
          <w:szCs w:val="44"/>
        </w:rPr>
      </w:pPr>
      <w:r>
        <w:rPr>
          <w:rFonts w:ascii="楷体_GB2312" w:eastAsia="楷体_GB2312" w:cs="楷体_GB2312" w:hint="eastAsia"/>
          <w:color w:val="000000"/>
          <w:kern w:val="0"/>
          <w:sz w:val="44"/>
          <w:szCs w:val="44"/>
        </w:rPr>
        <w:t>廊坊市广阳区财政局</w:t>
      </w:r>
    </w:p>
    <w:p>
      <w:pPr>
        <w:snapToGrid w:val="0"/>
        <w:jc w:val="center"/>
        <w:rPr>
          <w:rFonts w:ascii="楷体_GB2312" w:eastAsia="楷体_GB2312" w:cs="楷体_GB2312"/>
          <w:color w:val="000000"/>
          <w:kern w:val="0"/>
          <w:sz w:val="44"/>
          <w:szCs w:val="44"/>
        </w:rPr>
      </w:pPr>
      <w:r>
        <w:rPr>
          <w:rFonts w:ascii="楷体_GB2312" w:eastAsia="楷体_GB2312" w:cs="楷体_GB2312"/>
          <w:color w:val="000000"/>
          <w:kern w:val="0"/>
          <w:sz w:val="44"/>
          <w:szCs w:val="44"/>
        </w:rPr>
        <w:t xml:space="preserve"> </w:t>
      </w:r>
      <w:r>
        <w:rPr>
          <w:rFonts w:ascii="楷体_GB2312" w:eastAsia="楷体_GB2312" w:cs="楷体_GB2312" w:hint="eastAsia"/>
          <w:color w:val="000000"/>
          <w:kern w:val="0"/>
          <w:sz w:val="44"/>
          <w:szCs w:val="44"/>
        </w:rPr>
        <w:t>二〇二〇年十一月</w:t>
      </w:r>
      <w:r>
        <w:rPr>
          <w:rFonts w:ascii="黑体" w:eastAsia="黑体" w:cs="Times New Roman"/>
          <w:color w:val="000000"/>
          <w:sz w:val="48"/>
          <w:szCs w:val="48"/>
        </w:rPr>
        <w:br w:type="page"/>
      </w:r>
    </w:p>
    <w:p>
      <w:pPr>
        <w:tabs>
          <w:tab w:val="left" w:pos="2728"/>
        </w:tabs>
        <w:jc w:val="center"/>
        <w:rPr>
          <w:rFonts w:ascii="黑体" w:eastAsia="黑体" w:cs="Times New Roman"/>
          <w:color w:val="000000"/>
          <w:sz w:val="48"/>
          <w:szCs w:val="48"/>
        </w:rPr>
      </w:pPr>
    </w:p>
    <w:p>
      <w:pPr>
        <w:tabs>
          <w:tab w:val="left" w:pos="2728"/>
        </w:tabs>
        <w:spacing w:line="584" w:lineRule="exact"/>
        <w:jc w:val="center"/>
        <w:rPr>
          <w:rFonts w:ascii="黑体" w:eastAsia="黑体" w:cs="Times New Roman"/>
          <w:color w:val="000000"/>
          <w:sz w:val="48"/>
          <w:szCs w:val="48"/>
        </w:rPr>
      </w:pPr>
      <w:r>
        <w:rPr>
          <w:rFonts w:ascii="黑体" w:eastAsia="黑体" w:cs="Times New Roman" w:hint="eastAsia"/>
          <w:color w:val="000000"/>
          <w:sz w:val="48"/>
          <w:szCs w:val="48"/>
        </w:rPr>
        <w:t>目</w:t>
      </w:r>
      <w:r>
        <w:rPr>
          <w:rFonts w:ascii="黑体" w:eastAsia="黑体" w:cs="Times New Roman"/>
          <w:color w:val="000000"/>
          <w:sz w:val="48"/>
          <w:szCs w:val="48"/>
        </w:rPr>
        <w:t xml:space="preserve">    </w:t>
      </w:r>
      <w:r>
        <w:rPr>
          <w:rFonts w:ascii="黑体" w:eastAsia="黑体" w:cs="Times New Roman" w:hint="eastAsia"/>
          <w:color w:val="000000"/>
          <w:sz w:val="48"/>
          <w:szCs w:val="48"/>
        </w:rPr>
        <w:t>录</w:t>
      </w:r>
    </w:p>
    <w:p>
      <w:pPr>
        <w:widowControl/>
        <w:spacing w:after="160" w:line="584" w:lineRule="exact"/>
        <w:ind w:firstLineChars="200" w:firstLine="640"/>
        <w:rPr>
          <w:rFonts w:ascii="Times New Roman" w:eastAsia="黑体" w:cs="Times New Roman" w:hAnsi="Times New Roman"/>
          <w:color w:val="000000"/>
          <w:sz w:val="32"/>
          <w:szCs w:val="32"/>
        </w:rPr>
      </w:pPr>
    </w:p>
    <w:p>
      <w:pPr>
        <w:widowControl/>
        <w:spacing w:after="160" w:line="584" w:lineRule="exact"/>
        <w:ind w:firstLineChars="200" w:firstLine="640"/>
        <w:rPr>
          <w:rFonts w:ascii="Times New Roman" w:eastAsia="仿宋_GB2312" w:cs="Times New Roman" w:hAnsi="Times New Roman"/>
          <w:color w:val="000000"/>
          <w:sz w:val="24"/>
          <w:szCs w:val="32"/>
        </w:rPr>
      </w:pPr>
      <w:r>
        <w:rPr>
          <w:rFonts w:ascii="Times New Roman" w:eastAsia="黑体" w:cs="Times New Roman" w:hAnsi="Times New Roman" w:hint="eastAsia"/>
          <w:color w:val="000000"/>
          <w:sz w:val="32"/>
          <w:szCs w:val="32"/>
        </w:rPr>
        <w:t>第一部分</w:t>
      </w:r>
      <w:r>
        <w:rPr>
          <w:rFonts w:ascii="Times New Roman" w:eastAsia="黑体" w:cs="Times New Roman" w:hAnsi="Times New Roman"/>
          <w:color w:val="000000"/>
          <w:sz w:val="32"/>
          <w:szCs w:val="32"/>
        </w:rPr>
        <w:t xml:space="preserve">   </w:t>
      </w:r>
      <w:r>
        <w:rPr>
          <w:rFonts w:ascii="Times New Roman" w:eastAsia="黑体" w:cs="Times New Roman" w:hAnsi="Times New Roman" w:hint="eastAsia"/>
          <w:color w:val="000000"/>
          <w:sz w:val="32"/>
          <w:szCs w:val="32"/>
        </w:rPr>
        <w:t>部门概况</w:t>
      </w:r>
    </w:p>
    <w:p>
      <w:pPr>
        <w:widowControl/>
        <w:spacing w:after="160" w:line="584" w:lineRule="exact"/>
        <w:ind w:firstLineChars="398" w:firstLine="1274"/>
        <w:rPr>
          <w:rFonts w:ascii="Times New Roman" w:eastAsia="仿宋_GB2312" w:cs="Times New Roman" w:hAnsi="Times New Roman"/>
          <w:color w:val="000000"/>
          <w:sz w:val="32"/>
          <w:szCs w:val="32"/>
        </w:rPr>
      </w:pPr>
      <w:r>
        <w:rPr>
          <w:rFonts w:ascii="Times New Roman" w:eastAsia="仿宋_GB2312" w:cs="Times New Roman" w:hAnsi="Times New Roman" w:hint="eastAsia"/>
          <w:color w:val="000000"/>
          <w:sz w:val="32"/>
          <w:szCs w:val="32"/>
        </w:rPr>
        <w:t>一、部门职责</w:t>
      </w:r>
    </w:p>
    <w:p>
      <w:pPr>
        <w:widowControl/>
        <w:spacing w:after="160" w:line="584" w:lineRule="exact"/>
        <w:ind w:firstLineChars="398" w:firstLine="1274"/>
        <w:rPr>
          <w:rFonts w:ascii="Times New Roman" w:eastAsia="仿宋_GB2312" w:cs="Times New Roman" w:hAnsi="Times New Roman"/>
          <w:color w:val="000000"/>
          <w:sz w:val="32"/>
          <w:szCs w:val="32"/>
        </w:rPr>
      </w:pPr>
      <w:r>
        <w:rPr>
          <w:rFonts w:ascii="Times New Roman" w:eastAsia="仿宋_GB2312" w:cs="Times New Roman" w:hAnsi="Times New Roman" w:hint="eastAsia"/>
          <w:color w:val="000000"/>
          <w:sz w:val="32"/>
          <w:szCs w:val="32"/>
        </w:rPr>
        <w:t>二、机构设置</w:t>
      </w:r>
    </w:p>
    <w:p>
      <w:pPr>
        <w:widowControl/>
        <w:spacing w:after="160" w:line="584" w:lineRule="exact"/>
        <w:ind w:firstLineChars="200" w:firstLine="640"/>
        <w:rPr>
          <w:rFonts w:ascii="Times New Roman" w:eastAsia="黑体" w:cs="Times New Roman" w:hAnsi="Times New Roman"/>
          <w:color w:val="000000"/>
          <w:sz w:val="32"/>
          <w:szCs w:val="32"/>
        </w:rPr>
      </w:pPr>
      <w:r>
        <w:rPr>
          <w:rFonts w:ascii="Times New Roman" w:eastAsia="黑体" w:cs="Times New Roman" w:hAnsi="Times New Roman" w:hint="eastAsia"/>
          <w:color w:val="000000"/>
          <w:sz w:val="32"/>
          <w:szCs w:val="32"/>
        </w:rPr>
        <w:t>第二部分</w:t>
      </w:r>
      <w:r>
        <w:rPr>
          <w:rFonts w:ascii="Times New Roman" w:eastAsia="黑体" w:cs="Times New Roman" w:hAnsi="Times New Roman"/>
          <w:color w:val="000000"/>
          <w:sz w:val="32"/>
          <w:szCs w:val="32"/>
        </w:rPr>
        <w:t xml:space="preserve">   2019</w:t>
      </w:r>
      <w:r>
        <w:rPr>
          <w:rFonts w:ascii="Times New Roman" w:eastAsia="黑体" w:cs="Times New Roman" w:hAnsi="Times New Roman" w:hint="eastAsia"/>
          <w:color w:val="000000"/>
          <w:sz w:val="32"/>
          <w:szCs w:val="32"/>
        </w:rPr>
        <w:t>年度部门决算情况说明</w:t>
      </w:r>
    </w:p>
    <w:p>
      <w:pPr>
        <w:widowControl/>
        <w:spacing w:after="160" w:line="584" w:lineRule="exact"/>
        <w:ind w:left="640"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hint="eastAsia"/>
          <w:color w:val="000000"/>
          <w:sz w:val="32"/>
          <w:szCs w:val="32"/>
        </w:rPr>
        <w:t>一、收入支出决算总体情况说明</w:t>
      </w:r>
    </w:p>
    <w:p>
      <w:pPr>
        <w:widowControl/>
        <w:spacing w:after="160" w:line="584" w:lineRule="exact"/>
        <w:ind w:left="640"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hint="eastAsia"/>
          <w:color w:val="000000"/>
          <w:sz w:val="32"/>
          <w:szCs w:val="32"/>
        </w:rPr>
        <w:t>二、收入决算情况说明</w:t>
      </w:r>
    </w:p>
    <w:p>
      <w:pPr>
        <w:widowControl/>
        <w:spacing w:after="160" w:line="584" w:lineRule="exact"/>
        <w:ind w:left="640"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hint="eastAsia"/>
          <w:color w:val="000000"/>
          <w:sz w:val="32"/>
          <w:szCs w:val="32"/>
        </w:rPr>
        <w:t>三、支出决算情况说明</w:t>
      </w:r>
    </w:p>
    <w:p>
      <w:pPr>
        <w:widowControl/>
        <w:spacing w:after="160" w:line="584" w:lineRule="exact"/>
        <w:ind w:left="640"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hint="eastAsia"/>
          <w:color w:val="000000"/>
          <w:sz w:val="32"/>
          <w:szCs w:val="32"/>
        </w:rPr>
        <w:t>四、财政拨款收入支出决算总体情况说明</w:t>
      </w:r>
    </w:p>
    <w:p>
      <w:pPr>
        <w:widowControl/>
        <w:spacing w:after="160" w:line="584" w:lineRule="exact"/>
        <w:ind w:left="640"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hint="eastAsia"/>
          <w:color w:val="000000"/>
          <w:sz w:val="32"/>
          <w:szCs w:val="32"/>
        </w:rPr>
        <w:t>五、一般公共预算</w:t>
      </w:r>
      <w:r>
        <w:rPr>
          <w:rFonts w:ascii="Times New Roman" w:eastAsia="仿宋_GB2312" w:cs="Times New Roman" w:hAnsi="Times New Roman"/>
          <w:color w:val="000000"/>
          <w:sz w:val="32"/>
          <w:szCs w:val="32"/>
        </w:rPr>
        <w:t>“</w:t>
      </w:r>
      <w:r>
        <w:rPr>
          <w:rFonts w:ascii="Times New Roman" w:eastAsia="仿宋_GB2312" w:cs="Times New Roman" w:hAnsi="Times New Roman" w:hint="eastAsia"/>
          <w:color w:val="000000"/>
          <w:sz w:val="32"/>
          <w:szCs w:val="32"/>
        </w:rPr>
        <w:t>三公</w:t>
      </w:r>
      <w:r>
        <w:rPr>
          <w:rFonts w:ascii="Times New Roman" w:eastAsia="仿宋_GB2312" w:cs="Times New Roman" w:hAnsi="Times New Roman"/>
          <w:color w:val="000000"/>
          <w:sz w:val="32"/>
          <w:szCs w:val="32"/>
        </w:rPr>
        <w:t>”</w:t>
      </w:r>
      <w:r>
        <w:rPr>
          <w:rFonts w:ascii="Times New Roman" w:eastAsia="仿宋_GB2312" w:cs="Times New Roman" w:hAnsi="Times New Roman" w:hint="eastAsia"/>
          <w:color w:val="000000"/>
          <w:sz w:val="32"/>
          <w:szCs w:val="32"/>
        </w:rPr>
        <w:t>经费支出决算情况说明</w:t>
      </w:r>
    </w:p>
    <w:p>
      <w:pPr>
        <w:widowControl/>
        <w:spacing w:after="160" w:line="584" w:lineRule="exact"/>
        <w:ind w:left="640"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hint="eastAsia"/>
          <w:color w:val="000000"/>
          <w:sz w:val="32"/>
          <w:szCs w:val="32"/>
        </w:rPr>
        <w:t>六、其他重要事项的说明</w:t>
      </w:r>
    </w:p>
    <w:p>
      <w:pPr>
        <w:widowControl/>
        <w:spacing w:after="160" w:line="584" w:lineRule="exact"/>
        <w:ind w:firstLineChars="200" w:firstLine="640"/>
        <w:rPr>
          <w:rFonts w:ascii="Times New Roman" w:eastAsia="黑体" w:cs="Times New Roman" w:hAnsi="Times New Roman"/>
          <w:color w:val="000000"/>
          <w:sz w:val="32"/>
          <w:szCs w:val="32"/>
        </w:rPr>
      </w:pPr>
      <w:r>
        <w:rPr>
          <w:rFonts w:ascii="Times New Roman" w:eastAsia="黑体" w:cs="Times New Roman" w:hAnsi="Times New Roman" w:hint="eastAsia"/>
          <w:color w:val="000000"/>
          <w:sz w:val="32"/>
          <w:szCs w:val="32"/>
        </w:rPr>
        <w:t>第三部分</w:t>
      </w:r>
      <w:r>
        <w:rPr>
          <w:rFonts w:ascii="Times New Roman" w:eastAsia="黑体" w:cs="Times New Roman" w:hAnsi="Times New Roman"/>
          <w:color w:val="000000"/>
          <w:sz w:val="32"/>
          <w:szCs w:val="32"/>
        </w:rPr>
        <w:t xml:space="preserve">  </w:t>
      </w:r>
      <w:r>
        <w:rPr>
          <w:rFonts w:ascii="Times New Roman" w:eastAsia="黑体" w:cs="Times New Roman" w:hAnsi="Times New Roman" w:hint="eastAsia"/>
          <w:color w:val="000000"/>
          <w:sz w:val="32"/>
          <w:szCs w:val="32"/>
        </w:rPr>
        <w:t>名词解释</w:t>
      </w:r>
    </w:p>
    <w:p>
      <w:pPr>
        <w:widowControl/>
        <w:spacing w:after="160" w:line="584" w:lineRule="exact"/>
        <w:ind w:firstLineChars="200" w:firstLine="640"/>
        <w:rPr>
          <w:rFonts w:ascii="Times New Roman" w:eastAsia="黑体" w:cs="Times New Roman" w:hAnsi="Times New Roman"/>
          <w:color w:val="000000"/>
          <w:sz w:val="32"/>
          <w:szCs w:val="32"/>
        </w:rPr>
      </w:pPr>
      <w:r>
        <w:rPr>
          <w:rFonts w:ascii="Times New Roman" w:eastAsia="黑体" w:cs="Times New Roman" w:hAnsi="Times New Roman" w:hint="eastAsia"/>
          <w:color w:val="000000"/>
          <w:sz w:val="32"/>
          <w:szCs w:val="32"/>
        </w:rPr>
        <w:t>第四部分</w:t>
      </w:r>
      <w:r>
        <w:rPr>
          <w:rFonts w:ascii="Times New Roman" w:eastAsia="黑体" w:cs="Times New Roman" w:hAnsi="Times New Roman"/>
          <w:color w:val="000000"/>
          <w:sz w:val="32"/>
          <w:szCs w:val="32"/>
        </w:rPr>
        <w:t xml:space="preserve">  2019</w:t>
      </w:r>
      <w:r>
        <w:rPr>
          <w:rFonts w:ascii="Times New Roman" w:eastAsia="黑体" w:cs="Times New Roman" w:hAnsi="Times New Roman" w:hint="eastAsia"/>
          <w:color w:val="000000"/>
          <w:sz w:val="32"/>
          <w:szCs w:val="32"/>
        </w:rPr>
        <w:t>年度部门决算报表</w:t>
      </w:r>
    </w:p>
    <w:p>
      <w:pPr>
        <w:widowControl/>
        <w:spacing w:after="160" w:line="584" w:lineRule="exact"/>
        <w:ind w:firstLineChars="200" w:firstLine="640"/>
        <w:rPr>
          <w:rFonts w:ascii="Times New Roman" w:eastAsia="仿宋_GB2312" w:cs="Times New Roman" w:hAnsi="Times New Roman"/>
          <w:color w:val="000000"/>
          <w:sz w:val="20"/>
          <w:szCs w:val="32"/>
        </w:rPr>
      </w:pPr>
      <w:r>
        <w:rPr>
          <w:rFonts w:ascii="Times New Roman" w:eastAsia="黑体" w:cs="Times New Roman" w:hAnsi="Times New Roman" w:hint="eastAsia"/>
          <w:color w:val="000000"/>
          <w:sz w:val="32"/>
          <w:szCs w:val="32"/>
        </w:rPr>
        <w:t>第五部分</w:t>
      </w:r>
      <w:r>
        <w:rPr>
          <w:rFonts w:ascii="Times New Roman" w:eastAsia="黑体" w:cs="Times New Roman" w:hAnsi="Times New Roman"/>
          <w:color w:val="000000"/>
          <w:sz w:val="32"/>
          <w:szCs w:val="32"/>
        </w:rPr>
        <w:t xml:space="preserve">  </w:t>
      </w:r>
      <w:r>
        <w:rPr>
          <w:rFonts w:ascii="Times New Roman" w:eastAsia="黑体" w:cs="Times New Roman" w:hAnsi="Times New Roman" w:hint="eastAsia"/>
          <w:color w:val="000000"/>
          <w:sz w:val="32"/>
          <w:szCs w:val="32"/>
        </w:rPr>
        <w:t>预算绩效公开内容</w:t>
      </w:r>
    </w:p>
    <w:p>
      <w:pPr>
        <w:widowControl/>
        <w:spacing w:after="160" w:line="580" w:lineRule="exact"/>
        <w:ind w:firstLineChars="200" w:firstLine="640"/>
        <w:rPr>
          <w:rFonts w:ascii="Times New Roman" w:eastAsia="黑体" w:cs="Times New Roman" w:hAnsi="Times New Roman"/>
          <w:color w:val="000000"/>
          <w:sz w:val="32"/>
          <w:szCs w:val="32"/>
        </w:rPr>
      </w:pPr>
    </w:p>
    <w:p>
      <w:pPr>
        <w:widowControl/>
        <w:spacing w:after="160" w:line="584" w:lineRule="exact"/>
        <w:ind w:left="640" w:firstLineChars="200" w:firstLine="640"/>
        <w:rPr>
          <w:rFonts w:ascii="Times New Roman" w:eastAsia="仿宋_GB2312" w:cs="Times New Roman" w:hAnsi="Times New Roman"/>
          <w:color w:val="000000"/>
          <w:sz w:val="32"/>
          <w:szCs w:val="32"/>
          <w14:textFill>
            <w14:solidFill>
              <w14:srgbClr w14:val="000000"/>
            </w14:solidFill>
          </w14:textFill>
        </w:rPr>
      </w:pPr>
      <w:r>
        <w:rPr>
          <w:rFonts w:ascii="Times New Roman" w:eastAsia="仿宋_GB2312" w:cs="Times New Roman" w:hAnsi="Times New Roman" w:hint="eastAsia"/>
          <w:color w:val="000000"/>
          <w:sz w:val="32"/>
          <w:szCs w:val="32"/>
          <w14:textFill>
            <w14:solidFill>
              <w14:srgbClr w14:val="000000"/>
            </w14:solidFill>
          </w14:textFill>
        </w:rPr>
        <w:t>一</w:t>
      </w:r>
      <w:r>
        <w:rPr>
          <w:rFonts w:ascii="Times New Roman" w:eastAsia="仿宋_GB2312" w:cs="Times New Roman" w:hAnsi="Times New Roman"/>
          <w:color w:val="000000"/>
          <w:sz w:val="32"/>
          <w:szCs w:val="32"/>
          <w14:textFill>
            <w14:solidFill>
              <w14:srgbClr w14:val="000000"/>
            </w14:solidFill>
          </w14:textFill>
        </w:rPr>
        <w:t>、预算绩效情况说明</w:t>
      </w:r>
    </w:p>
    <w:p>
      <w:pPr>
        <w:widowControl/>
        <w:spacing w:after="160" w:line="584" w:lineRule="exact"/>
        <w:ind w:left="640" w:firstLineChars="200" w:firstLine="640"/>
        <w:rPr>
          <w:rFonts w:ascii="Times New Roman" w:eastAsia="仿宋_GB2312" w:cs="Times New Roman" w:hAnsi="Times New Roman"/>
          <w:color w:val="000000"/>
          <w:sz w:val="32"/>
          <w:szCs w:val="32"/>
          <w14:textFill>
            <w14:solidFill>
              <w14:srgbClr w14:val="000000"/>
            </w14:solidFill>
          </w14:textFill>
        </w:rPr>
      </w:pPr>
      <w:r>
        <w:rPr>
          <w:rFonts w:ascii="Times New Roman" w:eastAsia="仿宋_GB2312" w:cs="Times New Roman" w:hAnsi="Times New Roman" w:hint="eastAsia"/>
          <w:color w:val="000000"/>
          <w:sz w:val="32"/>
          <w:szCs w:val="32"/>
          <w14:textFill>
            <w14:solidFill>
              <w14:srgbClr w14:val="000000"/>
            </w14:solidFill>
          </w14:textFill>
        </w:rPr>
        <w:t>二</w:t>
      </w:r>
      <w:r>
        <w:rPr>
          <w:rFonts w:ascii="Times New Roman" w:eastAsia="仿宋_GB2312" w:cs="Times New Roman" w:hAnsi="Times New Roman"/>
          <w:color w:val="000000"/>
          <w:sz w:val="32"/>
          <w:szCs w:val="32"/>
          <w14:textFill>
            <w14:solidFill>
              <w14:srgbClr w14:val="000000"/>
            </w14:solidFill>
          </w14:textFill>
        </w:rPr>
        <w:t>、</w:t>
      </w:r>
      <w:r>
        <w:rPr>
          <w:rFonts w:ascii="Times New Roman" w:eastAsia="仿宋_GB2312" w:cs="Times New Roman" w:hAnsi="Times New Roman" w:hint="eastAsia"/>
          <w:color w:val="000000"/>
          <w:sz w:val="32"/>
          <w:szCs w:val="32"/>
          <w14:textFill>
            <w14:solidFill>
              <w14:srgbClr w14:val="000000"/>
            </w14:solidFill>
          </w14:textFill>
        </w:rPr>
        <w:t>预算</w:t>
      </w:r>
      <w:r>
        <w:rPr>
          <w:rFonts w:ascii="Times New Roman" w:eastAsia="仿宋_GB2312" w:cs="Times New Roman" w:hAnsi="Times New Roman"/>
          <w:color w:val="000000"/>
          <w:sz w:val="32"/>
          <w:szCs w:val="32"/>
          <w14:textFill>
            <w14:solidFill>
              <w14:srgbClr w14:val="000000"/>
            </w14:solidFill>
          </w14:textFill>
        </w:rPr>
        <w:t>绩效公开表格</w:t>
      </w:r>
    </w:p>
    <w:p>
      <w:pPr>
        <w:widowControl/>
        <w:spacing w:after="160" w:line="584" w:lineRule="exact"/>
        <w:ind w:left="640" w:firstLineChars="200" w:firstLine="640"/>
        <w:rPr>
          <w:rFonts w:ascii="Times New Roman" w:eastAsia="仿宋_GB2312" w:cs="Times New Roman" w:hAnsi="Times New Roman"/>
          <w:color w:val="000000"/>
          <w:sz w:val="32"/>
          <w:szCs w:val="32"/>
          <w14:textFill>
            <w14:solidFill>
              <w14:srgbClr w14:val="000000"/>
            </w14:solidFill>
          </w14:textFill>
        </w:rPr>
      </w:pPr>
      <w:r>
        <w:rPr>
          <w:rFonts w:ascii="Times New Roman" w:eastAsia="仿宋_GB2312" w:cs="Times New Roman" w:hAnsi="Times New Roman" w:hint="eastAsia"/>
          <w:color w:val="000000"/>
          <w:sz w:val="32"/>
          <w:szCs w:val="32"/>
          <w14:textFill>
            <w14:solidFill>
              <w14:srgbClr w14:val="000000"/>
            </w14:solidFill>
          </w14:textFill>
        </w:rPr>
        <w:t>1.</w:t>
      </w:r>
      <w:r>
        <w:t xml:space="preserve"> </w:t>
      </w:r>
      <w:r>
        <w:rPr>
          <w:rFonts w:ascii="Times New Roman" w:eastAsia="仿宋_GB2312" w:cs="Times New Roman" w:hAnsi="Times New Roman" w:hint="eastAsia"/>
          <w:color w:val="000000"/>
          <w:sz w:val="32"/>
          <w:szCs w:val="32"/>
          <w14:textFill>
            <w14:solidFill>
              <w14:srgbClr w14:val="000000"/>
            </w14:solidFill>
          </w14:textFill>
        </w:rPr>
        <w:t>项目支出绩效自评表</w:t>
      </w:r>
    </w:p>
    <w:p>
      <w:pPr>
        <w:widowControl/>
        <w:spacing w:after="160" w:line="584" w:lineRule="exact"/>
        <w:ind w:left="640" w:firstLineChars="200" w:firstLine="640"/>
        <w:rPr>
          <w:rFonts w:ascii="Times New Roman" w:eastAsia="仿宋_GB2312" w:cs="Times New Roman" w:hAnsi="Times New Roman"/>
          <w:color w:val="000000"/>
          <w:sz w:val="32"/>
          <w:szCs w:val="32"/>
          <w14:textFill>
            <w14:solidFill>
              <w14:srgbClr w14:val="000000"/>
            </w14:solidFill>
          </w14:textFill>
        </w:rPr>
      </w:pPr>
      <w:r>
        <w:rPr>
          <w:rFonts w:ascii="Times New Roman" w:eastAsia="仿宋_GB2312" w:cs="Times New Roman" w:hAnsi="Times New Roman"/>
          <w:color w:val="000000"/>
          <w:sz w:val="32"/>
          <w:szCs w:val="32"/>
          <w14:textFill>
            <w14:solidFill>
              <w14:srgbClr w14:val="000000"/>
            </w14:solidFill>
          </w14:textFill>
        </w:rPr>
        <w:t>2.</w:t>
      </w:r>
      <w:r>
        <w:rPr>
          <w:rFonts w:hint="eastAsia"/>
        </w:rPr>
        <w:t xml:space="preserve"> </w:t>
      </w:r>
      <w:r>
        <w:rPr>
          <w:rFonts w:ascii="Times New Roman" w:eastAsia="仿宋_GB2312" w:cs="Times New Roman" w:hAnsi="Times New Roman" w:hint="eastAsia"/>
          <w:color w:val="000000"/>
          <w:sz w:val="32"/>
          <w:szCs w:val="32"/>
          <w14:textFill>
            <w14:solidFill>
              <w14:srgbClr w14:val="000000"/>
            </w14:solidFill>
          </w14:textFill>
        </w:rPr>
        <w:t>部门（单位）整体绩效自评表</w:t>
      </w:r>
    </w:p>
    <w:p>
      <w:pPr>
        <w:widowControl/>
        <w:spacing w:after="160" w:line="580" w:lineRule="exact"/>
        <w:ind w:firstLineChars="200" w:firstLine="640"/>
        <w:rPr>
          <w:rFonts w:ascii="Times New Roman" w:eastAsia="黑体" w:cs="Times New Roman" w:hAnsi="Times New Roman"/>
          <w:color w:val="000000"/>
          <w:sz w:val="32"/>
          <w:szCs w:val="32"/>
        </w:rPr>
        <w:sectPr>
          <w:headerReference w:type="default" r:id="rId3"/>
          <w:headerReference w:type="first" r:id="rId4"/>
          <w:footerReference w:type="default" r:id="rId5"/>
          <w:footerReference w:type="first" r:id="rId6"/>
          <w:pgSz w:w="11906" w:h="16838"/>
          <w:pgMar w:top="2041" w:right="1531" w:bottom="2041" w:left="1531" w:header="851" w:footer="992" w:gutter="0"/>
          <w:titlePg/>
          <w:docGrid w:type="lines" w:linePitch="312" w:charSpace="0"/>
        </w:sectPr>
      </w:pPr>
    </w:p>
    <w:p>
      <w:pPr>
        <w:rPr>
          <w:color w:val="000000"/>
        </w:rPr>
      </w:pPr>
      <w:r>
        <mc:AlternateContent>
          <mc:Choice Requires="wps">
            <w:drawing>
              <wp:anchor distT="0" distB="0" distL="114298" distR="114298" simplePos="0" relativeHeight="49" behindDoc="0" locked="0" layoutInCell="1" hidden="0" allowOverlap="1">
                <wp:simplePos x="0" y="0"/>
                <wp:positionH relativeFrom="column">
                  <wp:posOffset>-964564</wp:posOffset>
                </wp:positionH>
                <wp:positionV relativeFrom="paragraph">
                  <wp:posOffset>1482090</wp:posOffset>
                </wp:positionV>
                <wp:extent cx="7793355" cy="3341370"/>
                <wp:effectExtent l="0" t="0" r="0" b="0"/>
                <wp:wrapNone/>
                <wp:docPr id="67" name="文本框"/>
                <wp:cNvGraphicFramePr>
                  <a:graphicFrameLocks noChangeAspect="0"/>
                </wp:cNvGraphicFramePr>
                <a:graphic>
                  <a:graphicData uri="http://schemas.microsoft.com/office/word/2010/wordprocessingShape">
                    <wps:wsp>
                      <wps:cNvSpPr/>
                      <wps:spPr>
                        <a:xfrm rot="0">
                          <a:off x="0" y="0"/>
                          <a:ext cx="7793355" cy="3341370"/>
                        </a:xfrm>
                        <a:prstGeom prst="rect"/>
                        <a:pattFill prst="pct5">
                          <a:fgClr>
                            <a:srgbClr val="FFD966"/>
                          </a:fgClr>
                          <a:bgClr>
                            <a:srgbClr val="FFFFFF"/>
                          </a:bgClr>
                        </a:pattFill>
                        <a:ln w="12700" cmpd="sng" cap="flat">
                          <a:solidFill>
                            <a:srgbClr val="FFD966"/>
                          </a:solidFill>
                          <a:prstDash val="solid"/>
                          <a:miter/>
                        </a:ln>
                      </wps:spPr>
                      <wps:txbx id="68">
                        <w:txbxContent>
                          <w:p>
                            <w:pPr>
                              <w:widowControl/>
                              <w:jc w:val="center"/>
                              <w:rPr>
                                <w:rFonts w:ascii="黑体" w:eastAsia="黑体" w:cs="黑体"/>
                                <w:color w:val="000000"/>
                                <w:sz w:val="96"/>
                                <w:szCs w:val="96"/>
                              </w:rPr>
                            </w:pPr>
                            <w:r>
                              <w:rPr>
                                <w:rFonts w:ascii="黑体" w:eastAsia="黑体" w:cs="黑体" w:hint="eastAsia"/>
                                <w:color w:val="000000"/>
                                <w:sz w:val="96"/>
                                <w:szCs w:val="96"/>
                              </w:rPr>
                              <w:t>第一部分</w:t>
                            </w:r>
                            <w:r>
                              <w:rPr>
                                <w:rFonts w:ascii="黑体" w:eastAsia="黑体" w:cs="黑体"/>
                                <w:color w:val="000000"/>
                                <w:sz w:val="96"/>
                                <w:szCs w:val="96"/>
                              </w:rPr>
                              <w:t xml:space="preserve">  </w:t>
                            </w:r>
                            <w:r>
                              <w:rPr>
                                <w:rFonts w:ascii="黑体" w:eastAsia="黑体" w:cs="黑体" w:hint="eastAsia"/>
                                <w:color w:val="000000"/>
                                <w:sz w:val="96"/>
                                <w:szCs w:val="96"/>
                              </w:rPr>
                              <w:t>部门概况</w:t>
                            </w:r>
                          </w:p>
                        </w:txbxContent>
                      </wps:txbx>
                      <wps:bodyPr vert="horz" wrap="square" lIns="91440" tIns="45720" rIns="91440" bIns="45720" anchor="ctr" anchorCtr="0" upright="1">
                        <a:noAutofit/>
                      </wps:bodyPr>
                    </wps:wsp>
                  </a:graphicData>
                </a:graphic>
              </wp:anchor>
            </w:drawing>
          </mc:Choice>
          <mc:Fallback>
            <w:pict>
              <v:shape type="#_x0000_t202" id="文本框 69" o:spid="_x0000_s69" fillcolor="#FFD966" stroked="t" strokeweight="1.0pt" style="position:absolute;margin-left:-75.95pt;margin-top:116.700005pt;width:613.65pt;height:263.1pt;z-index:49;mso-position-horizontal:absolute;mso-position-vertical:absolute;mso-wrap-distance-left:8.999863pt;mso-wrap-distance-right:8.999863pt;mso-wrap-style:square;">
                <v:fill r:id="rId10" o:title="5%" color2="#FFFFFF" type="pattern"/>
                <v:stroke color="#FFD966"/>
                <v:textbox id="848" inset="2.54mm,1.27mm,2.54mm,1.27mm" o:insetmode="custom" style="layout-flow:horizontal;v-text-anchor:middle;">
                  <w:txbxContent>
                    <w:p>
                      <w:pPr>
                        <w:widowControl/>
                        <w:jc w:val="center"/>
                        <w:rPr>
                          <w:rFonts w:ascii="黑体" w:eastAsia="黑体" w:cs="黑体"/>
                          <w:color w:val="000000"/>
                          <w:sz w:val="96"/>
                          <w:szCs w:val="96"/>
                        </w:rPr>
                      </w:pPr>
                      <w:r>
                        <w:rPr>
                          <w:rFonts w:ascii="黑体" w:eastAsia="黑体" w:cs="黑体" w:hint="eastAsia"/>
                          <w:color w:val="000000"/>
                          <w:sz w:val="96"/>
                          <w:szCs w:val="96"/>
                        </w:rPr>
                        <w:t>第一部分</w:t>
                      </w:r>
                      <w:r>
                        <w:rPr>
                          <w:rFonts w:ascii="黑体" w:eastAsia="黑体" w:cs="黑体"/>
                          <w:color w:val="000000"/>
                          <w:sz w:val="96"/>
                          <w:szCs w:val="96"/>
                        </w:rPr>
                        <w:t xml:space="preserve">  </w:t>
                      </w:r>
                      <w:r>
                        <w:rPr>
                          <w:rFonts w:ascii="黑体" w:eastAsia="黑体" w:cs="黑体" w:hint="eastAsia"/>
                          <w:color w:val="000000"/>
                          <w:sz w:val="96"/>
                          <w:szCs w:val="96"/>
                        </w:rPr>
                        <w:t>部门概况</w:t>
                      </w:r>
                    </w:p>
                  </w:txbxContent>
                </v:textbox>
              </v:shape>
            </w:pict>
          </mc:Fallback>
        </mc:AlternateContent>
      </w:r>
      <w:r>
        <w:rPr>
          <w:color w:val="000000"/>
        </w:rPr>
        <w:br w:type="page"/>
      </w:r>
    </w:p>
    <w:p>
      <w:pPr>
        <w:pStyle w:val="1"/>
        <w:spacing w:before="0" w:after="0" w:line="580" w:lineRule="exact"/>
        <w:ind w:firstLineChars="200" w:firstLine="640"/>
        <w:jc w:val="left"/>
        <w:rPr>
          <w:rFonts w:ascii="黑体" w:eastAsia="黑体" w:cs="黑体"/>
          <w:b w:val="0"/>
          <w:bCs w:val="0"/>
          <w:color w:val="000000"/>
          <w:kern w:val="0"/>
          <w:sz w:val="32"/>
          <w:szCs w:val="32"/>
        </w:rPr>
      </w:pPr>
      <w:r>
        <w:rPr>
          <w:rFonts w:ascii="黑体" w:eastAsia="黑体" w:cs="黑体" w:hint="eastAsia"/>
          <w:b w:val="0"/>
          <w:bCs w:val="0"/>
          <w:color w:val="000000"/>
          <w:kern w:val="0"/>
          <w:sz w:val="32"/>
          <w:szCs w:val="32"/>
        </w:rPr>
        <w:t>一、部门职责</w:t>
      </w:r>
    </w:p>
    <w:p>
      <w:pPr>
        <w:widowControl/>
        <w:spacing w:line="520" w:lineRule="exact"/>
        <w:ind w:firstLineChars="200" w:firstLine="640"/>
        <w:jc w:val="left"/>
        <w:rPr>
          <w:rFonts w:ascii="仿宋_GB2312" w:eastAsia="仿宋_GB2312"/>
          <w:sz w:val="32"/>
          <w:szCs w:val="32"/>
        </w:rPr>
      </w:pPr>
      <w:r>
        <w:rPr>
          <w:rFonts w:ascii="仿宋_GB2312" w:eastAsia="仿宋_GB2312" w:hint="eastAsia"/>
          <w:sz w:val="32"/>
          <w:szCs w:val="32"/>
        </w:rPr>
        <w:t>（一）组织贯彻执行财税法律、法规、规章和方针政策；起草全区财政、行政事业单位国有资产、财务、会计和收支管理方面的规范性文件，制定相关的政策和管理制度；拟订和执行财政分配政策和分级财政管理体制；制定全区财政发展战略和中长期规划；指导全区财政工作。</w:t>
      </w:r>
    </w:p>
    <w:p>
      <w:pPr>
        <w:widowControl/>
        <w:spacing w:line="520" w:lineRule="exact"/>
        <w:ind w:firstLineChars="200" w:firstLine="640"/>
        <w:jc w:val="left"/>
        <w:rPr>
          <w:rFonts w:ascii="仿宋_GB2312" w:eastAsia="仿宋_GB2312"/>
          <w:sz w:val="32"/>
          <w:szCs w:val="32"/>
        </w:rPr>
      </w:pPr>
      <w:r>
        <w:rPr>
          <w:rFonts w:ascii="仿宋_GB2312" w:eastAsia="仿宋_GB2312" w:hint="eastAsia"/>
          <w:sz w:val="32"/>
          <w:szCs w:val="32"/>
        </w:rPr>
        <w:t>（二）管理全区财政收支，承担区级各项财政收支管理的责任。负责编制区级年度财政预算草案和决算，组织执行区级年度财政预算。负责财政性资金的综合平衡。负责政府性基金（附加）、社会保障资金管理，按规定管理行政事业性收费。</w:t>
      </w:r>
    </w:p>
    <w:p>
      <w:pPr>
        <w:widowControl/>
        <w:spacing w:line="520" w:lineRule="exact"/>
        <w:ind w:firstLineChars="200" w:firstLine="640"/>
        <w:jc w:val="left"/>
        <w:rPr>
          <w:rFonts w:ascii="仿宋_GB2312" w:eastAsia="仿宋_GB2312"/>
          <w:sz w:val="32"/>
          <w:szCs w:val="32"/>
        </w:rPr>
      </w:pPr>
      <w:r>
        <w:rPr>
          <w:rFonts w:ascii="仿宋_GB2312" w:eastAsia="仿宋_GB2312" w:hint="eastAsia"/>
          <w:sz w:val="32"/>
          <w:szCs w:val="32"/>
        </w:rPr>
        <w:t>（三）参与制定各项宏观经济政策和经济体制改革；运用财税经济杠杆，对全区的经济运行和国民收入分配进行调控。</w:t>
      </w:r>
    </w:p>
    <w:p>
      <w:pPr>
        <w:widowControl/>
        <w:spacing w:line="520" w:lineRule="exact"/>
        <w:ind w:firstLineChars="200" w:firstLine="640"/>
        <w:jc w:val="left"/>
        <w:rPr>
          <w:rFonts w:ascii="仿宋_GB2312" w:eastAsia="仿宋_GB2312"/>
          <w:sz w:val="32"/>
          <w:szCs w:val="32"/>
        </w:rPr>
      </w:pPr>
      <w:r>
        <w:rPr>
          <w:rFonts w:ascii="仿宋_GB2312" w:eastAsia="仿宋_GB2312" w:hint="eastAsia"/>
          <w:sz w:val="32"/>
          <w:szCs w:val="32"/>
        </w:rPr>
        <w:t>（四）依据国家财税法律法规或授权，组织起草区级地方财税征管办法；负责全区罚没财物管理工作。</w:t>
      </w:r>
    </w:p>
    <w:p>
      <w:pPr>
        <w:widowControl/>
        <w:spacing w:line="520" w:lineRule="exact"/>
        <w:ind w:firstLineChars="200" w:firstLine="640"/>
        <w:jc w:val="left"/>
        <w:rPr>
          <w:rFonts w:ascii="仿宋_GB2312" w:eastAsia="仿宋_GB2312"/>
          <w:sz w:val="32"/>
          <w:szCs w:val="32"/>
        </w:rPr>
      </w:pPr>
      <w:r>
        <w:rPr>
          <w:rFonts w:ascii="仿宋_GB2312" w:eastAsia="仿宋_GB2312" w:hint="eastAsia"/>
          <w:sz w:val="32"/>
          <w:szCs w:val="32"/>
        </w:rPr>
        <w:t>（五）组织执行《行政单位财务规则》、《事业单位财务规则》、《社会保险基金财务制度》和基本建设财务制度；制定全区行政、事业单位财务管理制度和对各种财政资金的管理监督办法；负责政府采购政策执行和监督管理；制定区级政府权限范围内的行政事业单位开支标准。</w:t>
      </w:r>
    </w:p>
    <w:p>
      <w:pPr>
        <w:widowControl/>
        <w:spacing w:line="520" w:lineRule="exact"/>
        <w:ind w:firstLineChars="200" w:firstLine="640"/>
        <w:jc w:val="left"/>
        <w:rPr>
          <w:rFonts w:ascii="仿宋_GB2312" w:eastAsia="仿宋_GB2312"/>
          <w:sz w:val="32"/>
          <w:szCs w:val="32"/>
        </w:rPr>
      </w:pPr>
      <w:r>
        <w:rPr>
          <w:rFonts w:ascii="仿宋_GB2312" w:eastAsia="仿宋_GB2312" w:hint="eastAsia"/>
          <w:sz w:val="32"/>
          <w:szCs w:val="32"/>
        </w:rPr>
        <w:t>（六）负责办理和监督区级财政的公共支出和经济发展支出；分配区级各种专项资金；负责农业综合开发等财政资金管理。</w:t>
      </w:r>
    </w:p>
    <w:p>
      <w:pPr>
        <w:widowControl/>
        <w:spacing w:line="520" w:lineRule="exact"/>
        <w:ind w:firstLineChars="200" w:firstLine="640"/>
        <w:jc w:val="left"/>
        <w:rPr>
          <w:rFonts w:ascii="仿宋_GB2312" w:eastAsia="仿宋_GB2312"/>
          <w:sz w:val="32"/>
          <w:szCs w:val="32"/>
        </w:rPr>
      </w:pPr>
      <w:r>
        <w:rPr>
          <w:rFonts w:ascii="仿宋_GB2312" w:eastAsia="仿宋_GB2312" w:hint="eastAsia"/>
          <w:sz w:val="32"/>
          <w:szCs w:val="32"/>
        </w:rPr>
        <w:t>（七）负责行政事业单位国有资产的管理，组织实施行政事业单位清产核资、国有资产的权属界定、产权登记；负责行政事业单位资产评估项目的合规性审核。</w:t>
      </w:r>
    </w:p>
    <w:p>
      <w:pPr>
        <w:widowControl/>
        <w:spacing w:line="520" w:lineRule="exact"/>
        <w:ind w:firstLineChars="200" w:firstLine="640"/>
        <w:jc w:val="left"/>
        <w:rPr>
          <w:rFonts w:ascii="仿宋_GB2312" w:eastAsia="仿宋_GB2312"/>
          <w:sz w:val="32"/>
          <w:szCs w:val="32"/>
        </w:rPr>
      </w:pPr>
    </w:p>
    <w:p>
      <w:pPr>
        <w:widowControl/>
        <w:spacing w:line="520" w:lineRule="exact"/>
        <w:ind w:firstLineChars="200" w:firstLine="640"/>
        <w:jc w:val="left"/>
        <w:rPr>
          <w:rFonts w:ascii="仿宋_GB2312" w:eastAsia="仿宋_GB2312"/>
          <w:sz w:val="32"/>
          <w:szCs w:val="32"/>
        </w:rPr>
      </w:pPr>
      <w:r>
        <w:rPr>
          <w:rFonts w:ascii="仿宋_GB2312" w:eastAsia="仿宋_GB2312" w:hint="eastAsia"/>
          <w:sz w:val="32"/>
          <w:szCs w:val="32"/>
        </w:rPr>
        <w:t>（八）拟订和执行政府债务管理的规章制度和管理办法；负责统一管理政府主权债务；转办世界银行贷款，拟订有关协议、协定草案，并负责贷款的监管；参与研究制定全区地方金融和融资政策。</w:t>
      </w:r>
    </w:p>
    <w:p>
      <w:pPr>
        <w:widowControl/>
        <w:spacing w:line="520" w:lineRule="exact"/>
        <w:ind w:firstLineChars="200" w:firstLine="640"/>
        <w:jc w:val="left"/>
        <w:rPr>
          <w:rFonts w:ascii="仿宋_GB2312" w:eastAsia="仿宋_GB2312"/>
          <w:sz w:val="32"/>
          <w:szCs w:val="32"/>
        </w:rPr>
      </w:pPr>
      <w:r>
        <w:rPr>
          <w:rFonts w:ascii="仿宋_GB2312" w:eastAsia="仿宋_GB2312" w:hint="eastAsia"/>
          <w:sz w:val="32"/>
          <w:szCs w:val="32"/>
        </w:rPr>
        <w:t>（九）负责管理全区会计工作，组织实施会计法律法规及分行业的会计制度；负责全区会计系列专业技术职务任职资格的考评工作。</w:t>
      </w:r>
    </w:p>
    <w:p>
      <w:pPr>
        <w:widowControl/>
        <w:spacing w:line="520" w:lineRule="exact"/>
        <w:ind w:firstLineChars="200" w:firstLine="640"/>
        <w:jc w:val="left"/>
        <w:rPr>
          <w:rFonts w:ascii="仿宋_GB2312" w:eastAsia="仿宋_GB2312"/>
          <w:sz w:val="32"/>
          <w:szCs w:val="32"/>
        </w:rPr>
      </w:pPr>
      <w:r>
        <w:rPr>
          <w:rFonts w:ascii="仿宋_GB2312" w:eastAsia="仿宋_GB2312" w:hint="eastAsia"/>
          <w:sz w:val="32"/>
          <w:szCs w:val="32"/>
        </w:rPr>
        <w:t>（十）监督财税方针政策、法律法规的执行情况，反映财政收支管理中的重大问题，查处违反财经法纪的行为。</w:t>
      </w:r>
    </w:p>
    <w:p>
      <w:pPr>
        <w:widowControl/>
        <w:spacing w:line="520" w:lineRule="exact"/>
        <w:ind w:firstLineChars="200" w:firstLine="640"/>
        <w:jc w:val="left"/>
        <w:rPr>
          <w:rFonts w:ascii="仿宋_GB2312" w:eastAsia="仿宋_GB2312"/>
          <w:sz w:val="32"/>
          <w:szCs w:val="32"/>
        </w:rPr>
      </w:pPr>
      <w:r>
        <w:rPr>
          <w:rFonts w:ascii="仿宋_GB2312" w:eastAsia="仿宋_GB2312" w:hint="eastAsia"/>
          <w:sz w:val="32"/>
          <w:szCs w:val="32"/>
        </w:rPr>
        <w:t>（十一）负责财政宣传和财政信息工作，制定和执行财政政策研究和财政教育规划，组织财政干部培训。</w:t>
      </w:r>
    </w:p>
    <w:p>
      <w:pPr>
        <w:spacing w:line="520" w:lineRule="exact"/>
        <w:ind w:firstLineChars="200" w:firstLine="640"/>
      </w:pPr>
      <w:r>
        <w:rPr>
          <w:rFonts w:ascii="仿宋_GB2312" w:eastAsia="仿宋_GB2312" w:hint="eastAsia"/>
          <w:sz w:val="32"/>
          <w:szCs w:val="32"/>
        </w:rPr>
        <w:t>（十三）承办区政府交办的其它事项。</w:t>
      </w:r>
    </w:p>
    <w:p>
      <w:pPr>
        <w:keepNext/>
        <w:keepLines/>
        <w:widowControl w:val="0"/>
        <w:spacing w:line="580" w:lineRule="exact"/>
        <w:ind w:firstLineChars="200" w:firstLine="640"/>
        <w:jc w:val="left"/>
        <w:outlineLvl w:val="0"/>
        <w:rPr>
          <w:rFonts w:ascii="黑体" w:eastAsia="黑体" w:cs="黑体"/>
          <w:color w:val="000000"/>
          <w:kern w:val="0"/>
          <w:sz w:val="32"/>
          <w:szCs w:val="32"/>
        </w:rPr>
      </w:pPr>
      <w:r>
        <w:rPr>
          <w:rFonts w:ascii="黑体" w:eastAsia="黑体" w:cs="黑体" w:hint="eastAsia"/>
          <w:color w:val="000000"/>
          <w:kern w:val="0"/>
          <w:sz w:val="32"/>
          <w:szCs w:val="32"/>
        </w:rPr>
        <w:t>二、机构设置</w:t>
      </w:r>
    </w:p>
    <w:p>
      <w:pPr>
        <w:spacing w:line="580" w:lineRule="exact"/>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从决算编报单位构成看，纳入</w:t>
      </w:r>
      <w:r>
        <w:rPr>
          <w:rFonts w:ascii="仿宋_GB2312" w:eastAsia="仿宋_GB2312" w:cs="ArialUnicodeMS"/>
          <w:color w:val="000000"/>
          <w:kern w:val="0"/>
          <w:sz w:val="32"/>
          <w:szCs w:val="32"/>
        </w:rPr>
        <w:t xml:space="preserve">2019 </w:t>
      </w:r>
      <w:r>
        <w:rPr>
          <w:rFonts w:ascii="仿宋_GB2312" w:eastAsia="仿宋_GB2312" w:cs="ArialUnicodeMS" w:hint="eastAsia"/>
          <w:color w:val="000000"/>
          <w:kern w:val="0"/>
          <w:sz w:val="32"/>
          <w:szCs w:val="32"/>
        </w:rPr>
        <w:t>年度本部门决算汇编范围的独立核算单位（以下简称“单位”）共</w:t>
      </w:r>
      <w:r>
        <w:rPr>
          <w:rFonts w:ascii="仿宋_GB2312" w:eastAsia="仿宋_GB2312" w:cs="ArialUnicodeMS"/>
          <w:color w:val="000000"/>
          <w:kern w:val="0"/>
          <w:sz w:val="32"/>
          <w:szCs w:val="32"/>
        </w:rPr>
        <w:t>1</w:t>
      </w:r>
      <w:r>
        <w:rPr>
          <w:rFonts w:ascii="仿宋_GB2312" w:eastAsia="仿宋_GB2312" w:cs="ArialUnicodeMS" w:hint="eastAsia"/>
          <w:color w:val="000000"/>
          <w:kern w:val="0"/>
          <w:sz w:val="32"/>
          <w:szCs w:val="32"/>
        </w:rPr>
        <w:t>个，具体情况如下：</w:t>
      </w:r>
    </w:p>
    <w:p>
      <w:pPr>
        <w:spacing w:line="580" w:lineRule="exact"/>
        <w:ind w:firstLineChars="200" w:firstLine="640"/>
        <w:rPr>
          <w:rFonts w:ascii="仿宋_GB2312" w:eastAsia="仿宋_GB2312" w:cs="ArialUnicodeMS"/>
          <w:color w:val="000000"/>
          <w:kern w:val="0"/>
          <w:sz w:val="32"/>
          <w:szCs w:val="32"/>
        </w:rPr>
      </w:pPr>
    </w:p>
    <w:tbl>
      <w:tblPr>
        <w:tblpPr w:leftFromText="180" w:rightFromText="180" w:vertAnchor="text" w:horzAnchor="page" w:tblpXSpec="center" w:tblpY="10"/>
        <w:tblOverlap w:val="never"/>
        <w:tblW w:w="9580"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top w:w="0" w:type="dxa"/>
          <w:left w:w="108" w:type="dxa"/>
          <w:bottom w:w="0" w:type="dxa"/>
          <w:right w:w="108" w:type="dxa"/>
        </w:tblCellMar>
      </w:tblPr>
      <w:tblGrid>
        <w:gridCol w:w="985"/>
        <w:gridCol w:w="3485"/>
        <w:gridCol w:w="2445"/>
        <w:gridCol w:w="2665"/>
      </w:tblGrid>
      <w:tr>
        <w:trPr>
          <w:trHeight w:val="811"/>
        </w:trPr>
        <w:tc>
          <w:tcPr>
            <w:tcW w:w="985" w:type="dxa"/>
            <w:tcBorders>
              <w:top w:val="single" w:sz="4" w:space="0" w:color="auto"/>
            </w:tcBorders>
            <w:vAlign w:val="center"/>
          </w:tcPr>
          <w:p>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序号</w:t>
            </w:r>
          </w:p>
        </w:tc>
        <w:tc>
          <w:tcPr>
            <w:tcW w:w="3485" w:type="dxa"/>
            <w:tcBorders>
              <w:top w:val="single" w:sz="4" w:space="0" w:color="auto"/>
            </w:tcBorders>
            <w:vAlign w:val="center"/>
          </w:tcPr>
          <w:p>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单位名称</w:t>
            </w:r>
          </w:p>
        </w:tc>
        <w:tc>
          <w:tcPr>
            <w:tcW w:w="2445" w:type="dxa"/>
            <w:tcBorders>
              <w:top w:val="single" w:sz="4" w:space="0" w:color="auto"/>
            </w:tcBorders>
            <w:vAlign w:val="center"/>
          </w:tcPr>
          <w:p>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单位基本性质</w:t>
            </w:r>
          </w:p>
        </w:tc>
        <w:tc>
          <w:tcPr>
            <w:tcW w:w="2665" w:type="dxa"/>
            <w:tcBorders>
              <w:top w:val="single" w:sz="4" w:space="0" w:color="auto"/>
            </w:tcBorders>
            <w:vAlign w:val="center"/>
          </w:tcPr>
          <w:p>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经费形式</w:t>
            </w:r>
          </w:p>
        </w:tc>
      </w:tr>
      <w:tr>
        <w:trPr>
          <w:trHeight w:val="596"/>
        </w:trPr>
        <w:tc>
          <w:tcPr>
            <w:tcW w:w="985" w:type="dxa"/>
          </w:tcPr>
          <w:p>
            <w:pPr>
              <w:spacing w:line="560" w:lineRule="exact"/>
              <w:jc w:val="center"/>
              <w:rPr>
                <w:rFonts w:ascii="仿宋_GB2312" w:eastAsia="仿宋_GB2312" w:cs="ArialUnicodeMS"/>
                <w:color w:val="000000"/>
                <w:kern w:val="0"/>
                <w:sz w:val="28"/>
                <w:szCs w:val="28"/>
              </w:rPr>
            </w:pPr>
            <w:r>
              <w:rPr>
                <w:rFonts w:ascii="仿宋_GB2312" w:eastAsia="仿宋_GB2312" w:cs="ArialUnicodeMS"/>
                <w:color w:val="000000"/>
                <w:kern w:val="0"/>
                <w:sz w:val="28"/>
                <w:szCs w:val="28"/>
              </w:rPr>
              <w:t>1</w:t>
            </w:r>
          </w:p>
        </w:tc>
        <w:tc>
          <w:tcPr>
            <w:tcW w:w="3485" w:type="dxa"/>
          </w:tcPr>
          <w:p>
            <w:pPr>
              <w:spacing w:line="560" w:lineRule="exact"/>
              <w:rPr>
                <w:rFonts w:ascii="仿宋_GB2312" w:eastAsia="仿宋_GB2312" w:cs="ArialUnicodeMS"/>
                <w:color w:val="000000"/>
                <w:kern w:val="0"/>
                <w:sz w:val="28"/>
                <w:szCs w:val="28"/>
              </w:rPr>
            </w:pPr>
            <w:r>
              <w:rPr>
                <w:rFonts w:eastAsia="仿宋_GB2312" w:hint="eastAsia"/>
                <w:sz w:val="32"/>
                <w:szCs w:val="32"/>
              </w:rPr>
              <w:t>廊坊市广阳区财政局</w:t>
            </w:r>
          </w:p>
        </w:tc>
        <w:tc>
          <w:tcPr>
            <w:tcW w:w="2445" w:type="dxa"/>
          </w:tcPr>
          <w:p>
            <w:pPr>
              <w:spacing w:line="560" w:lineRule="exact"/>
              <w:jc w:val="center"/>
              <w:rPr>
                <w:rFonts w:ascii="仿宋_GB2312" w:eastAsia="仿宋_GB2312" w:cs="ArialUnicodeMS"/>
                <w:color w:val="000000"/>
                <w:kern w:val="0"/>
                <w:sz w:val="28"/>
                <w:szCs w:val="28"/>
              </w:rPr>
            </w:pPr>
            <w:r>
              <w:rPr>
                <w:rFonts w:eastAsia="仿宋_GB2312" w:hint="eastAsia"/>
                <w:sz w:val="32"/>
                <w:szCs w:val="32"/>
              </w:rPr>
              <w:t>行政单位</w:t>
            </w:r>
          </w:p>
        </w:tc>
        <w:tc>
          <w:tcPr>
            <w:tcW w:w="2665" w:type="dxa"/>
          </w:tcPr>
          <w:p>
            <w:pPr>
              <w:spacing w:line="560" w:lineRule="exact"/>
              <w:jc w:val="center"/>
              <w:rPr>
                <w:rFonts w:ascii="仿宋_GB2312" w:eastAsia="仿宋_GB2312" w:cs="ArialUnicodeMS"/>
                <w:color w:val="000000"/>
                <w:kern w:val="0"/>
                <w:sz w:val="28"/>
                <w:szCs w:val="28"/>
              </w:rPr>
            </w:pPr>
            <w:r>
              <w:rPr>
                <w:rFonts w:eastAsia="仿宋_GB2312" w:hint="eastAsia"/>
                <w:sz w:val="32"/>
                <w:szCs w:val="32"/>
              </w:rPr>
              <w:t>财政拨款</w:t>
            </w:r>
          </w:p>
        </w:tc>
      </w:tr>
      <w:tr>
        <w:trPr>
          <w:trHeight w:val="606"/>
        </w:trPr>
        <w:tc>
          <w:tcPr>
            <w:tcW w:w="9580" w:type="dxa"/>
            <w:gridSpan w:val="4"/>
            <w:tcBorders>
              <w:top w:val="single" w:sz="4" w:space="0" w:color="auto"/>
              <w:left w:val="nil"/>
              <w:bottom w:val="nil"/>
              <w:right w:val="nil"/>
            </w:tcBorders>
          </w:tcPr>
          <w:p>
            <w:pPr>
              <w:spacing w:line="560" w:lineRule="exact"/>
              <w:ind w:firstLineChars="200" w:firstLine="560"/>
              <w:jc w:val="left"/>
              <w:rPr>
                <w:rFonts w:ascii="仿宋_GB2312" w:eastAsia="仿宋_GB2312" w:cs="ArialUnicodeMS"/>
                <w:color w:val="000000"/>
                <w:kern w:val="0"/>
                <w:sz w:val="28"/>
                <w:szCs w:val="28"/>
              </w:rPr>
            </w:pPr>
          </w:p>
        </w:tc>
      </w:tr>
    </w:tbl>
    <w:p>
      <w:pPr>
        <w:widowControl/>
        <w:spacing w:after="160" w:line="580" w:lineRule="exact"/>
        <w:ind w:firstLineChars="200" w:firstLine="640"/>
        <w:rPr>
          <w:rFonts w:ascii="Times New Roman" w:eastAsia="黑体" w:cs="Times New Roman" w:hAnsi="Times New Roman"/>
          <w:color w:val="000000"/>
          <w:sz w:val="32"/>
          <w:szCs w:val="32"/>
        </w:rPr>
        <w:sectPr>
          <w:headerReference w:type="default" r:id="rId7"/>
          <w:footerReference w:type="default" r:id="rId8"/>
          <w:footerReference w:type="first" r:id="rId9"/>
          <w:pgSz w:w="11906" w:h="16838"/>
          <w:pgMar w:top="2041" w:right="1531" w:bottom="2041" w:left="1531" w:header="851" w:footer="992" w:gutter="0"/>
          <w:pgNumType w:fmt="numberInDash" w:start="1"/>
          <w:titlePg/>
          <w:docGrid w:type="lines" w:linePitch="312" w:charSpace="0"/>
        </w:sectPr>
      </w:pPr>
    </w:p>
    <w:p>
      <w:pPr>
        <w:widowControl/>
        <w:spacing w:after="160" w:line="580" w:lineRule="exact"/>
        <w:ind w:firstLineChars="200" w:firstLine="640"/>
        <w:rPr>
          <w:rFonts w:ascii="Times New Roman" w:eastAsia="黑体" w:cs="Times New Roman" w:hAnsi="Times New Roman"/>
          <w:color w:val="000000"/>
          <w:sz w:val="32"/>
          <w:szCs w:val="32"/>
        </w:rPr>
        <w:sectPr>
          <w:headerReference w:type="default" r:id="rId11"/>
          <w:type w:val="continuous"/>
          <w:pgSz w:w="11906" w:h="16838"/>
          <w:pgMar w:top="2041" w:right="1531" w:bottom="2041" w:left="1531" w:header="851" w:footer="992" w:gutter="0"/>
          <w:pgNumType w:fmt="numberInDash"/>
          <w:titlePg/>
          <w:docGrid w:type="lines" w:linePitch="312" w:charSpace="0"/>
        </w:sectPr>
      </w:pPr>
    </w:p>
    <w:p>
      <w:pPr>
        <w:widowControl/>
        <w:spacing w:after="160" w:line="580" w:lineRule="exact"/>
        <w:ind w:firstLineChars="200" w:firstLine="420"/>
        <w:rPr>
          <w:rFonts w:ascii="Times New Roman" w:eastAsia="黑体" w:cs="Times New Roman" w:hAnsi="Times New Roman"/>
          <w:color w:val="000000"/>
          <w:sz w:val="32"/>
          <w:szCs w:val="32"/>
        </w:rPr>
        <w:sectPr>
          <w:pgSz w:w="11906" w:h="16838"/>
          <w:pgMar w:top="2041" w:right="1531" w:bottom="2041" w:left="1531" w:header="851" w:footer="992" w:gutter="0"/>
          <w:pgNumType w:fmt="numberInDash"/>
          <w:titlePg/>
          <w:docGrid w:type="lines" w:linePitch="312" w:charSpace="0"/>
        </w:sectPr>
      </w:pPr>
      <w:r>
        <mc:AlternateContent>
          <mc:Choice Requires="wps">
            <w:drawing>
              <wp:anchor distT="0" distB="0" distL="114297" distR="114297" simplePos="0" relativeHeight="47" behindDoc="0" locked="0" layoutInCell="1" hidden="0" allowOverlap="1">
                <wp:simplePos x="0" y="0"/>
                <wp:positionH relativeFrom="column">
                  <wp:posOffset>-1088390</wp:posOffset>
                </wp:positionH>
                <wp:positionV relativeFrom="paragraph">
                  <wp:posOffset>3023870</wp:posOffset>
                </wp:positionV>
                <wp:extent cx="7793355" cy="2200275"/>
                <wp:effectExtent l="0" t="0" r="0" b="0"/>
                <wp:wrapNone/>
                <wp:docPr id="86" name="矩形"/>
                <wp:cNvGraphicFramePr>
                  <a:graphicFrameLocks noChangeAspect="0"/>
                </wp:cNvGraphicFramePr>
                <a:graphic>
                  <a:graphicData uri="http://schemas.microsoft.com/office/word/2010/wordprocessingShape">
                    <wps:wsp>
                      <wps:cNvSpPr/>
                      <wps:spPr>
                        <a:xfrm rot="0">
                          <a:off x="0" y="0"/>
                          <a:ext cx="7793355" cy="2200275"/>
                        </a:xfrm>
                        <a:prstGeom prst="rect"/>
                        <a:noFill/>
                        <a:ln w="9525" cmpd="sng" cap="flat">
                          <a:noFill/>
                          <a:prstDash val="solid"/>
                          <a:miter/>
                        </a:ln>
                      </wps:spPr>
                      <wps:txbx id="87">
                        <w:txbxContent>
                          <w:p>
                            <w:pPr>
                              <w:widowControl/>
                              <w:jc w:val="center"/>
                              <w:rPr>
                                <w:rFonts w:ascii="黑体" w:eastAsia="黑体" w:cs="黑体"/>
                                <w:color w:val="000000"/>
                                <w:sz w:val="96"/>
                                <w:szCs w:val="96"/>
                              </w:rPr>
                            </w:pPr>
                            <w:r>
                              <w:rPr>
                                <w:rFonts w:ascii="黑体" w:eastAsia="黑体" w:cs="黑体"/>
                                <w:color w:val="000000"/>
                                <w:sz w:val="96"/>
                                <w:szCs w:val="96"/>
                              </w:rPr>
                              <w:t xml:space="preserve"> </w:t>
                            </w:r>
                          </w:p>
                          <w:p>
                            <w:pPr>
                              <w:widowControl/>
                              <w:jc w:val="center"/>
                              <w:rPr>
                                <w:rFonts w:ascii="黑体" w:eastAsia="黑体" w:cs="黑体"/>
                                <w:color w:val="000000"/>
                                <w:sz w:val="96"/>
                                <w:szCs w:val="96"/>
                              </w:rPr>
                            </w:pPr>
                          </w:p>
                        </w:txbxContent>
                      </wps:txbx>
                      <wps:bodyPr vert="horz" wrap="square" lIns="91440" tIns="45720" rIns="91440" bIns="45720" anchor="t" anchorCtr="0" upright="1">
                        <a:noAutofit/>
                      </wps:bodyPr>
                    </wps:wsp>
                  </a:graphicData>
                </a:graphic>
              </wp:anchor>
            </w:drawing>
          </mc:Choice>
          <mc:Fallback>
            <w:pict>
              <v:rect type="#_x0000_t1" id="矩形 88" o:spid="_x0000_s88" filled="f" stroked="f" style="position:absolute;margin-left:-85.7pt;margin-top:238.09999pt;width:613.65pt;height:173.25002pt;z-index:47;mso-position-horizontal:absolute;mso-position-vertical:absolute;mso-wrap-distance-left:8.99983pt;mso-wrap-distance-right:8.99983pt;mso-wrap-style:square;">
                <v:stroke color="#000000"/>
                <v:textbox id="873" inset="2.54mm,1.27mm,2.54mm,1.27mm" o:insetmode="custom" style="layout-flow:horizontal;v-text-anchor:top;">
                  <w:txbxContent>
                    <w:p>
                      <w:pPr>
                        <w:widowControl/>
                        <w:jc w:val="center"/>
                        <w:rPr>
                          <w:rFonts w:ascii="黑体" w:eastAsia="黑体" w:cs="黑体"/>
                          <w:color w:val="000000"/>
                          <w:sz w:val="96"/>
                          <w:szCs w:val="96"/>
                        </w:rPr>
                      </w:pPr>
                      <w:r>
                        <w:rPr>
                          <w:rFonts w:ascii="黑体" w:eastAsia="黑体" w:cs="黑体"/>
                          <w:color w:val="000000"/>
                          <w:sz w:val="96"/>
                          <w:szCs w:val="96"/>
                        </w:rPr>
                        <w:t xml:space="preserve"> </w:t>
                      </w:r>
                    </w:p>
                    <w:p>
                      <w:pPr>
                        <w:widowControl/>
                        <w:jc w:val="center"/>
                        <w:rPr>
                          <w:rFonts w:ascii="黑体" w:eastAsia="黑体" w:cs="黑体"/>
                          <w:color w:val="000000"/>
                          <w:sz w:val="96"/>
                          <w:szCs w:val="96"/>
                        </w:rPr>
                      </w:pPr>
                    </w:p>
                  </w:txbxContent>
                </v:textbox>
              </v:rect>
            </w:pict>
          </mc:Fallback>
        </mc:AlternateContent>
      </w:r>
    </w:p>
    <w:p>
      <w:pPr>
        <w:widowControl/>
        <w:spacing w:line="580" w:lineRule="exact"/>
        <w:ind w:firstLineChars="200" w:firstLine="640"/>
        <w:rPr>
          <w:rFonts w:eastAsia="黑体"/>
          <w:color w:val="000000"/>
          <w:sz w:val="32"/>
          <w:szCs w:val="3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r>
        <mc:AlternateContent>
          <mc:Choice Requires="wps">
            <w:drawing>
              <wp:anchor distT="0" distB="0" distL="114298" distR="114298" simplePos="0" relativeHeight="50" behindDoc="0" locked="0" layoutInCell="1" hidden="0" allowOverlap="1">
                <wp:simplePos x="0" y="0"/>
                <wp:positionH relativeFrom="column">
                  <wp:posOffset>-962660</wp:posOffset>
                </wp:positionH>
                <wp:positionV relativeFrom="paragraph">
                  <wp:posOffset>245745</wp:posOffset>
                </wp:positionV>
                <wp:extent cx="7793355" cy="3341370"/>
                <wp:effectExtent l="0" t="0" r="0" b="0"/>
                <wp:wrapNone/>
                <wp:docPr id="89" name="文本框"/>
                <wp:cNvGraphicFramePr>
                  <a:graphicFrameLocks noChangeAspect="0"/>
                </wp:cNvGraphicFramePr>
                <a:graphic>
                  <a:graphicData uri="http://schemas.microsoft.com/office/word/2010/wordprocessingShape">
                    <wps:wsp>
                      <wps:cNvSpPr/>
                      <wps:spPr>
                        <a:xfrm rot="0">
                          <a:off x="0" y="0"/>
                          <a:ext cx="7793355" cy="3341370"/>
                        </a:xfrm>
                        <a:prstGeom prst="rect"/>
                        <a:pattFill prst="pct5">
                          <a:fgClr>
                            <a:srgbClr val="FFD966"/>
                          </a:fgClr>
                          <a:bgClr>
                            <a:srgbClr val="FFFFFF"/>
                          </a:bgClr>
                        </a:pattFill>
                        <a:ln w="6350" cmpd="sng" cap="flat">
                          <a:solidFill>
                            <a:srgbClr val="FFD966"/>
                          </a:solidFill>
                          <a:prstDash val="solid"/>
                          <a:miter/>
                        </a:ln>
                      </wps:spPr>
                      <wps:txbx id="90">
                        <w:txbxContent>
                          <w:p>
                            <w:pPr>
                              <w:widowControl/>
                              <w:jc w:val="center"/>
                              <w:rPr>
                                <w:rFonts w:ascii="黑体" w:eastAsia="黑体" w:cs="黑体"/>
                                <w:color w:val="000000"/>
                                <w:sz w:val="90"/>
                                <w:szCs w:val="90"/>
                              </w:rPr>
                            </w:pPr>
                            <w:r>
                              <w:rPr>
                                <w:rFonts w:ascii="黑体" w:eastAsia="黑体" w:cs="黑体" w:hint="eastAsia"/>
                                <w:color w:val="000000"/>
                                <w:sz w:val="90"/>
                                <w:szCs w:val="90"/>
                              </w:rPr>
                              <w:t>第二部分</w:t>
                            </w:r>
                            <w:r>
                              <w:rPr>
                                <w:rFonts w:ascii="黑体" w:eastAsia="黑体" w:cs="黑体"/>
                                <w:color w:val="000000"/>
                                <w:sz w:val="90"/>
                                <w:szCs w:val="90"/>
                              </w:rPr>
                              <w:t xml:space="preserve"> </w:t>
                            </w:r>
                          </w:p>
                          <w:p>
                            <w:pPr>
                              <w:widowControl/>
                              <w:jc w:val="center"/>
                              <w:rPr>
                                <w:rFonts w:ascii="黑体" w:eastAsia="黑体" w:cs="黑体"/>
                                <w:color w:val="000000"/>
                                <w:sz w:val="90"/>
                                <w:szCs w:val="90"/>
                              </w:rPr>
                            </w:pPr>
                            <w:r>
                              <w:rPr>
                                <w:rFonts w:ascii="黑体" w:eastAsia="黑体" w:cs="黑体"/>
                                <w:color w:val="000000"/>
                                <w:sz w:val="90"/>
                                <w:szCs w:val="90"/>
                              </w:rPr>
                              <w:t>2019</w:t>
                            </w:r>
                            <w:r>
                              <w:rPr>
                                <w:rFonts w:ascii="黑体" w:eastAsia="黑体" w:cs="黑体" w:hint="eastAsia"/>
                                <w:color w:val="000000"/>
                                <w:sz w:val="90"/>
                                <w:szCs w:val="90"/>
                              </w:rPr>
                              <w:t>年部门决算情况说明</w:t>
                            </w:r>
                          </w:p>
                          <w:p/>
                        </w:txbxContent>
                      </wps:txbx>
                      <wps:bodyPr vert="horz" wrap="square" lIns="91440" tIns="45720" rIns="91440" bIns="45720" anchor="ctr" anchorCtr="0" upright="1">
                        <a:noAutofit/>
                      </wps:bodyPr>
                    </wps:wsp>
                  </a:graphicData>
                </a:graphic>
              </wp:anchor>
            </w:drawing>
          </mc:Choice>
          <mc:Fallback>
            <w:pict>
              <v:shape type="#_x0000_t202" id="文本框 91" o:spid="_x0000_s91" fillcolor="#FFD966" stroked="t" strokeweight="0.5pt" style="position:absolute;margin-left:-75.8pt;margin-top:19.35pt;width:613.65pt;height:263.1pt;z-index:50;mso-position-horizontal:absolute;mso-position-vertical:absolute;mso-wrap-distance-left:8.999863pt;mso-wrap-distance-right:8.999863pt;mso-wrap-style:square;">
                <v:fill r:id="rId12" o:title="5%" color2="#FFFFFF" type="pattern"/>
                <v:stroke color="#FFD966"/>
                <v:textbox id="849" inset="2.54mm,1.27mm,2.54mm,1.27mm" o:insetmode="custom" style="layout-flow:horizontal;v-text-anchor:middle;">
                  <w:txbxContent>
                    <w:p>
                      <w:pPr>
                        <w:widowControl/>
                        <w:jc w:val="center"/>
                        <w:rPr>
                          <w:rFonts w:ascii="黑体" w:eastAsia="黑体" w:cs="黑体"/>
                          <w:color w:val="000000"/>
                          <w:sz w:val="90"/>
                          <w:szCs w:val="90"/>
                        </w:rPr>
                      </w:pPr>
                      <w:r>
                        <w:rPr>
                          <w:rFonts w:ascii="黑体" w:eastAsia="黑体" w:cs="黑体" w:hint="eastAsia"/>
                          <w:color w:val="000000"/>
                          <w:sz w:val="90"/>
                          <w:szCs w:val="90"/>
                        </w:rPr>
                        <w:t>第二部分</w:t>
                      </w:r>
                      <w:r>
                        <w:rPr>
                          <w:rFonts w:ascii="黑体" w:eastAsia="黑体" w:cs="黑体"/>
                          <w:color w:val="000000"/>
                          <w:sz w:val="90"/>
                          <w:szCs w:val="90"/>
                        </w:rPr>
                        <w:t xml:space="preserve"> </w:t>
                      </w:r>
                    </w:p>
                    <w:p>
                      <w:pPr>
                        <w:widowControl/>
                        <w:jc w:val="center"/>
                        <w:rPr>
                          <w:rFonts w:ascii="黑体" w:eastAsia="黑体" w:cs="黑体"/>
                          <w:color w:val="000000"/>
                          <w:sz w:val="90"/>
                          <w:szCs w:val="90"/>
                        </w:rPr>
                      </w:pPr>
                      <w:r>
                        <w:rPr>
                          <w:rFonts w:ascii="黑体" w:eastAsia="黑体" w:cs="黑体"/>
                          <w:color w:val="000000"/>
                          <w:sz w:val="90"/>
                          <w:szCs w:val="90"/>
                        </w:rPr>
                        <w:t>2019</w:t>
                      </w:r>
                      <w:r>
                        <w:rPr>
                          <w:rFonts w:ascii="黑体" w:eastAsia="黑体" w:cs="黑体" w:hint="eastAsia"/>
                          <w:color w:val="000000"/>
                          <w:sz w:val="90"/>
                          <w:szCs w:val="90"/>
                        </w:rPr>
                        <w:t>年部门决算情况说明</w:t>
                      </w:r>
                    </w:p>
                    <w:p/>
                  </w:txbxContent>
                </v:textbox>
              </v:shape>
            </w:pict>
          </mc:Fallback>
        </mc:AlternateContent>
      </w: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keepNext/>
        <w:keepLines/>
        <w:widowControl w:val="0"/>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一、收入</w:t>
      </w:r>
      <w:r>
        <w:rPr>
          <w:rFonts w:ascii="黑体" w:eastAsia="黑体" w:cs="黑体" w:hint="eastAsia"/>
          <w:color w:val="000000"/>
          <w:kern w:val="0"/>
          <w:sz w:val="32"/>
          <w:szCs w:val="32"/>
        </w:rPr>
        <w:t>支出</w:t>
      </w:r>
      <w:r>
        <w:rPr>
          <w:rFonts w:ascii="黑体" w:eastAsia="黑体" w:cs="Times New Roman" w:hint="eastAsia"/>
          <w:color w:val="000000"/>
          <w:sz w:val="32"/>
          <w:szCs w:val="32"/>
        </w:rPr>
        <w:t>决算总体情况说明</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年度收支总计（含结转和结余）</w:t>
      </w:r>
      <w:r>
        <w:rPr>
          <w:rFonts w:ascii="仿宋_GB2312" w:eastAsia="仿宋_GB2312" w:cs="DengXian-Regular"/>
          <w:color w:val="000000"/>
          <w:sz w:val="32"/>
          <w:szCs w:val="32"/>
        </w:rPr>
        <w:t>2279.58</w:t>
      </w:r>
      <w:r>
        <w:rPr>
          <w:rFonts w:ascii="仿宋_GB2312" w:eastAsia="仿宋_GB2312" w:cs="DengXian-Regular" w:hint="eastAsia"/>
          <w:color w:val="000000"/>
          <w:sz w:val="32"/>
          <w:szCs w:val="32"/>
        </w:rPr>
        <w:t>万元。与</w:t>
      </w:r>
      <w:r>
        <w:rPr>
          <w:rFonts w:ascii="仿宋_GB2312" w:eastAsia="仿宋_GB2312" w:cs="DengXian-Regular"/>
          <w:color w:val="000000"/>
          <w:sz w:val="32"/>
          <w:szCs w:val="32"/>
        </w:rPr>
        <w:t>2018</w:t>
      </w:r>
      <w:r>
        <w:rPr>
          <w:rFonts w:ascii="仿宋_GB2312" w:eastAsia="仿宋_GB2312" w:cs="DengXian-Regular" w:hint="eastAsia"/>
          <w:color w:val="000000"/>
          <w:sz w:val="32"/>
          <w:szCs w:val="32"/>
        </w:rPr>
        <w:t>年度决算相比，收支各减少</w:t>
      </w:r>
      <w:r>
        <w:rPr>
          <w:rFonts w:ascii="仿宋_GB2312" w:eastAsia="仿宋_GB2312" w:cs="DengXian-Regular"/>
          <w:color w:val="000000"/>
          <w:sz w:val="32"/>
          <w:szCs w:val="32"/>
        </w:rPr>
        <w:t>136.89</w:t>
      </w:r>
      <w:r>
        <w:rPr>
          <w:rFonts w:ascii="仿宋_GB2312" w:eastAsia="仿宋_GB2312" w:cs="DengXian-Regular" w:hint="eastAsia"/>
          <w:color w:val="000000"/>
          <w:sz w:val="32"/>
          <w:szCs w:val="32"/>
        </w:rPr>
        <w:t>万元，下降</w:t>
      </w:r>
      <w:r>
        <w:rPr>
          <w:rFonts w:ascii="仿宋_GB2312" w:eastAsia="仿宋_GB2312" w:cs="DengXian-Regular"/>
          <w:color w:val="000000"/>
          <w:sz w:val="32"/>
          <w:szCs w:val="32"/>
        </w:rPr>
        <w:t>5.7%</w:t>
      </w:r>
      <w:r>
        <w:rPr>
          <w:rFonts w:ascii="仿宋_GB2312" w:eastAsia="仿宋_GB2312" w:cs="DengXian-Regular" w:hint="eastAsia"/>
          <w:color w:val="000000"/>
          <w:sz w:val="32"/>
          <w:szCs w:val="32"/>
        </w:rPr>
        <w:t>，主要原因是</w:t>
      </w:r>
      <w:r>
        <w:rPr>
          <w:rFonts w:ascii="仿宋_GB2312" w:eastAsia="仿宋_GB2312" w:cs="DengXian-Regular"/>
          <w:color w:val="000000"/>
          <w:sz w:val="32"/>
          <w:szCs w:val="32"/>
        </w:rPr>
        <w:t>2018</w:t>
      </w:r>
      <w:r>
        <w:rPr>
          <w:rFonts w:ascii="仿宋_GB2312" w:eastAsia="仿宋_GB2312" w:cs="DengXian-Regular" w:hint="eastAsia"/>
          <w:color w:val="000000"/>
          <w:sz w:val="32"/>
          <w:szCs w:val="32"/>
        </w:rPr>
        <w:t>年做了连续三年的</w:t>
      </w:r>
      <w:r>
        <w:rPr>
          <w:rFonts w:eastAsia="仿宋_GB2312" w:hint="eastAsia"/>
          <w:color w:val="000000"/>
          <w:kern w:val="0"/>
          <w:sz w:val="32"/>
          <w:szCs w:val="32"/>
        </w:rPr>
        <w:t>养老保险清算，而</w:t>
      </w:r>
      <w:r>
        <w:rPr>
          <w:rFonts w:ascii="仿宋_GB2312" w:eastAsia="仿宋_GB2312" w:cs="DengXian-Regular"/>
          <w:color w:val="000000"/>
          <w:sz w:val="32"/>
          <w:szCs w:val="32"/>
        </w:rPr>
        <w:t>2019</w:t>
      </w:r>
      <w:r>
        <w:rPr>
          <w:rFonts w:eastAsia="仿宋_GB2312" w:hint="eastAsia"/>
          <w:color w:val="000000"/>
          <w:kern w:val="0"/>
          <w:sz w:val="32"/>
          <w:szCs w:val="32"/>
        </w:rPr>
        <w:t>年只做了当年的清算。</w:t>
      </w:r>
    </w:p>
    <w:p>
      <w:pPr>
        <w:keepNext/>
        <w:keepLines/>
        <w:widowControl w:val="0"/>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二、收入决算情况说明</w:t>
      </w:r>
    </w:p>
    <w:p>
      <w:pPr>
        <w:adjustRightInd w:val="0"/>
        <w:snapToGrid w:val="0"/>
        <w:spacing w:line="580" w:lineRule="exact"/>
        <w:ind w:firstLineChars="200" w:firstLine="640"/>
        <w:rPr>
          <w:rFonts w:ascii="仿宋_GB2312" w:eastAsia="仿宋_GB2312" w:cs="DengXian-Regular"/>
          <w:color w:val="000000"/>
          <w:sz w:val="32"/>
          <w:szCs w:val="32"/>
          <w:highlight w:val="yellow"/>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年度本年收入合计</w:t>
      </w:r>
      <w:r>
        <w:rPr>
          <w:rFonts w:ascii="仿宋_GB2312" w:eastAsia="仿宋_GB2312" w:cs="DengXian-Regular"/>
          <w:color w:val="000000"/>
          <w:sz w:val="32"/>
          <w:szCs w:val="32"/>
        </w:rPr>
        <w:t>2273.6</w:t>
      </w:r>
      <w:r>
        <w:rPr>
          <w:rFonts w:ascii="仿宋_GB2312" w:eastAsia="仿宋_GB2312" w:cs="DengXian-Regular" w:hint="eastAsia"/>
          <w:color w:val="000000"/>
          <w:sz w:val="32"/>
          <w:szCs w:val="32"/>
        </w:rPr>
        <w:t>万元，其中：财政拨款收入</w:t>
      </w:r>
      <w:r>
        <w:rPr>
          <w:rFonts w:ascii="仿宋_GB2312" w:eastAsia="仿宋_GB2312" w:cs="DengXian-Regular"/>
          <w:color w:val="000000"/>
          <w:sz w:val="32"/>
          <w:szCs w:val="32"/>
        </w:rPr>
        <w:t>2141.92</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94.2%</w:t>
      </w:r>
      <w:r>
        <w:rPr>
          <w:rFonts w:ascii="仿宋_GB2312" w:eastAsia="仿宋_GB2312" w:cs="DengXian-Regular" w:hint="eastAsia"/>
          <w:color w:val="000000"/>
          <w:sz w:val="32"/>
          <w:szCs w:val="32"/>
        </w:rPr>
        <w:t>；其他收入</w:t>
      </w:r>
      <w:r>
        <w:rPr>
          <w:rFonts w:ascii="仿宋_GB2312" w:eastAsia="仿宋_GB2312" w:cs="DengXian-Regular"/>
          <w:color w:val="000000"/>
          <w:sz w:val="32"/>
          <w:szCs w:val="32"/>
        </w:rPr>
        <w:t>131.68</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5.8%</w:t>
      </w:r>
      <w:r>
        <w:rPr>
          <w:rFonts w:ascii="仿宋_GB2312" w:eastAsia="仿宋_GB2312" w:cs="DengXian-Regular" w:hint="eastAsia"/>
          <w:color w:val="000000"/>
          <w:sz w:val="32"/>
          <w:szCs w:val="32"/>
        </w:rPr>
        <w:t>。</w:t>
      </w:r>
    </w:p>
    <w:p>
      <w:pPr>
        <w:keepNext/>
        <w:keepLines/>
        <w:widowControl w:val="0"/>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三、支出决算情况说明</w:t>
      </w:r>
    </w:p>
    <w:p>
      <w:pPr>
        <w:adjustRightInd w:val="0"/>
        <w:snapToGrid w:val="0"/>
        <w:spacing w:line="580" w:lineRule="exact"/>
        <w:ind w:firstLineChars="200" w:firstLine="640"/>
        <w:rPr>
          <w:rFonts w:ascii="黑体" w:eastAsia="黑体" w:cs="Times New Roman"/>
          <w:b/>
          <w:bCs/>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年度本年支出合计</w:t>
      </w:r>
      <w:r>
        <w:rPr>
          <w:rFonts w:ascii="仿宋_GB2312" w:eastAsia="仿宋_GB2312" w:cs="DengXian-Regular"/>
          <w:color w:val="000000"/>
          <w:sz w:val="32"/>
          <w:szCs w:val="32"/>
        </w:rPr>
        <w:t>2259.05</w:t>
      </w:r>
      <w:r>
        <w:rPr>
          <w:rFonts w:ascii="仿宋_GB2312" w:eastAsia="仿宋_GB2312" w:cs="DengXian-Regular" w:hint="eastAsia"/>
          <w:color w:val="000000"/>
          <w:sz w:val="32"/>
          <w:szCs w:val="32"/>
        </w:rPr>
        <w:t>万元，其中：基本支出</w:t>
      </w:r>
      <w:r>
        <w:rPr>
          <w:rFonts w:ascii="仿宋_GB2312" w:eastAsia="仿宋_GB2312" w:cs="DengXian-Regular"/>
          <w:color w:val="000000"/>
          <w:sz w:val="32"/>
          <w:szCs w:val="32"/>
        </w:rPr>
        <w:t>2069.15</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91.6</w:t>
      </w:r>
      <w:r>
        <w:rPr>
          <w:rFonts w:ascii="仿宋_GB2312" w:eastAsia="仿宋_GB2312" w:cs="DengXian-Regular" w:hint="eastAsia"/>
          <w:color w:val="000000"/>
          <w:sz w:val="32"/>
          <w:szCs w:val="32"/>
        </w:rPr>
        <w:t>％；项目支出</w:t>
      </w:r>
      <w:r>
        <w:rPr>
          <w:rFonts w:ascii="仿宋_GB2312" w:eastAsia="仿宋_GB2312" w:cs="DengXian-Regular"/>
          <w:color w:val="000000"/>
          <w:sz w:val="32"/>
          <w:szCs w:val="32"/>
        </w:rPr>
        <w:t>189.9</w:t>
      </w:r>
      <w:r>
        <w:rPr>
          <w:rFonts w:ascii="仿宋_GB2312" w:eastAsia="仿宋_GB2312" w:cs="DengXian-Regular" w:hint="eastAsia"/>
          <w:color w:val="000000"/>
          <w:sz w:val="32"/>
          <w:szCs w:val="32"/>
        </w:rPr>
        <w:t>，占</w:t>
      </w:r>
      <w:r>
        <w:rPr>
          <w:rFonts w:ascii="仿宋_GB2312" w:eastAsia="仿宋_GB2312" w:cs="DengXian-Regular"/>
          <w:color w:val="000000"/>
          <w:sz w:val="32"/>
          <w:szCs w:val="32"/>
        </w:rPr>
        <w:t>8.4%</w:t>
      </w:r>
      <w:r>
        <w:rPr>
          <w:rFonts w:ascii="仿宋_GB2312" w:eastAsia="仿宋_GB2312" w:cs="DengXian-Regular" w:hint="eastAsia"/>
          <w:color w:val="000000"/>
          <w:sz w:val="32"/>
          <w:szCs w:val="32"/>
        </w:rPr>
        <w:t>。</w:t>
      </w:r>
    </w:p>
    <w:p>
      <w:pPr>
        <w:keepNext/>
        <w:keepLines/>
        <w:widowControl w:val="0"/>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四、</w:t>
      </w:r>
      <w:r>
        <w:rPr>
          <w:rFonts w:ascii="黑体" w:eastAsia="黑体" w:cs="黑体" w:hint="eastAsia"/>
          <w:color w:val="000000"/>
          <w:kern w:val="0"/>
          <w:sz w:val="32"/>
          <w:szCs w:val="32"/>
        </w:rPr>
        <w:t>财政</w:t>
      </w:r>
      <w:r>
        <w:rPr>
          <w:rFonts w:ascii="黑体" w:eastAsia="黑体" w:cs="Times New Roman" w:hint="eastAsia"/>
          <w:color w:val="000000"/>
          <w:sz w:val="32"/>
          <w:szCs w:val="32"/>
        </w:rPr>
        <w:t>拨款收入支出决算总体情况说明</w:t>
      </w:r>
    </w:p>
    <w:p>
      <w:pPr>
        <w:snapToGrid w:val="0"/>
        <w:spacing w:line="580" w:lineRule="exact"/>
        <w:ind w:firstLineChars="200" w:firstLine="640"/>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（一）财政拨款收支与</w:t>
      </w:r>
      <w:r>
        <w:rPr>
          <w:rFonts w:ascii="楷体_GB2312" w:eastAsia="楷体_GB2312" w:cs="DengXian-Bold"/>
          <w:b/>
          <w:bCs/>
          <w:color w:val="000000"/>
          <w:sz w:val="32"/>
          <w:szCs w:val="32"/>
        </w:rPr>
        <w:t xml:space="preserve">2018 </w:t>
      </w:r>
      <w:r>
        <w:rPr>
          <w:rFonts w:ascii="楷体_GB2312" w:eastAsia="楷体_GB2312" w:cs="DengXian-Bold" w:hint="eastAsia"/>
          <w:b/>
          <w:bCs/>
          <w:color w:val="000000"/>
          <w:sz w:val="32"/>
          <w:szCs w:val="32"/>
        </w:rPr>
        <w:t>年度决算对比情况</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年度形成的财政拨款收支均为一般公共预算财政拨款，其中本年收入</w:t>
      </w:r>
      <w:r>
        <w:rPr>
          <w:rFonts w:ascii="仿宋_GB2312" w:eastAsia="仿宋_GB2312" w:cs="DengXian-Regular"/>
          <w:color w:val="000000"/>
          <w:sz w:val="32"/>
          <w:szCs w:val="32"/>
        </w:rPr>
        <w:t>2141.92</w:t>
      </w:r>
      <w:r>
        <w:rPr>
          <w:rFonts w:ascii="仿宋_GB2312" w:eastAsia="仿宋_GB2312" w:cs="DengXian-Regular" w:hint="eastAsia"/>
          <w:color w:val="000000"/>
          <w:sz w:val="32"/>
          <w:szCs w:val="32"/>
        </w:rPr>
        <w:t>万元</w:t>
      </w:r>
      <w:r>
        <w:rPr>
          <w:rFonts w:ascii="仿宋_GB2312" w:eastAsia="仿宋_GB2312" w:cs="DengXian-Regular"/>
          <w:color w:val="000000"/>
          <w:sz w:val="32"/>
          <w:szCs w:val="32"/>
        </w:rPr>
        <w:t>,</w:t>
      </w:r>
      <w:r>
        <w:rPr>
          <w:rFonts w:ascii="仿宋_GB2312" w:eastAsia="仿宋_GB2312" w:cs="DengXian-Regular" w:hint="eastAsia"/>
          <w:color w:val="000000"/>
          <w:sz w:val="32"/>
          <w:szCs w:val="32"/>
        </w:rPr>
        <w:t>比</w:t>
      </w:r>
      <w:r>
        <w:rPr>
          <w:rFonts w:ascii="仿宋_GB2312" w:eastAsia="仿宋_GB2312" w:cs="DengXian-Regular"/>
          <w:color w:val="000000"/>
          <w:sz w:val="32"/>
          <w:szCs w:val="32"/>
        </w:rPr>
        <w:t>2018</w:t>
      </w:r>
      <w:r>
        <w:rPr>
          <w:rFonts w:ascii="仿宋_GB2312" w:eastAsia="仿宋_GB2312" w:cs="DengXian-Regular" w:hint="eastAsia"/>
          <w:color w:val="000000"/>
          <w:sz w:val="32"/>
          <w:szCs w:val="32"/>
        </w:rPr>
        <w:t>年度减少</w:t>
      </w:r>
      <w:r>
        <w:rPr>
          <w:rFonts w:ascii="仿宋_GB2312" w:eastAsia="仿宋_GB2312" w:cs="DengXian-Regular"/>
          <w:color w:val="000000"/>
          <w:sz w:val="32"/>
          <w:szCs w:val="32"/>
        </w:rPr>
        <w:t>54.9</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2.5%</w:t>
      </w:r>
      <w:r>
        <w:rPr>
          <w:rFonts w:ascii="仿宋_GB2312" w:eastAsia="仿宋_GB2312" w:cs="DengXian-Regular" w:hint="eastAsia"/>
          <w:color w:val="000000"/>
          <w:sz w:val="32"/>
          <w:szCs w:val="32"/>
        </w:rPr>
        <w:t>，主要是压减支出；本年支出</w:t>
      </w:r>
      <w:r>
        <w:rPr>
          <w:rFonts w:ascii="仿宋_GB2312" w:eastAsia="仿宋_GB2312" w:cs="DengXian-Regular"/>
          <w:color w:val="000000"/>
          <w:sz w:val="32"/>
          <w:szCs w:val="32"/>
        </w:rPr>
        <w:t>2127.37</w:t>
      </w:r>
      <w:r>
        <w:rPr>
          <w:rFonts w:ascii="仿宋_GB2312" w:eastAsia="仿宋_GB2312" w:cs="DengXian-Regular" w:hint="eastAsia"/>
          <w:color w:val="000000"/>
          <w:sz w:val="32"/>
          <w:szCs w:val="32"/>
        </w:rPr>
        <w:t>万元，减少</w:t>
      </w:r>
      <w:r>
        <w:rPr>
          <w:rFonts w:ascii="仿宋_GB2312" w:eastAsia="仿宋_GB2312" w:cs="DengXian-Regular"/>
          <w:color w:val="000000"/>
          <w:sz w:val="32"/>
          <w:szCs w:val="32"/>
        </w:rPr>
        <w:t>56.55</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2.6%</w:t>
      </w:r>
      <w:r>
        <w:rPr>
          <w:rFonts w:ascii="仿宋_GB2312" w:eastAsia="仿宋_GB2312" w:cs="DengXian-Regular" w:hint="eastAsia"/>
          <w:color w:val="000000"/>
          <w:sz w:val="32"/>
          <w:szCs w:val="32"/>
        </w:rPr>
        <w:t>，主要是压减支出。</w:t>
      </w:r>
    </w:p>
    <w:p>
      <w:pPr>
        <w:snapToGrid w:val="0"/>
        <w:spacing w:line="580" w:lineRule="exact"/>
        <w:ind w:firstLineChars="200" w:firstLine="640"/>
        <w:rPr>
          <w:rFonts w:ascii="仿宋_GB2312" w:eastAsia="仿宋_GB2312" w:cs="DengXian-Regular"/>
          <w:color w:val="000000"/>
          <w:sz w:val="32"/>
          <w:szCs w:val="32"/>
        </w:rPr>
      </w:pPr>
      <w:r>
        <w:rPr>
          <w:rFonts w:ascii="楷体_GB2312" w:eastAsia="楷体_GB2312" w:cs="DengXian-Bold" w:hint="eastAsia"/>
          <w:b/>
          <w:bCs/>
          <w:color w:val="000000"/>
          <w:sz w:val="32"/>
          <w:szCs w:val="32"/>
        </w:rPr>
        <w:t>（二）财政拨款收支与年初预算数对比情况</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年度一般公共预算财政拨款收入</w:t>
      </w:r>
      <w:r>
        <w:rPr>
          <w:rFonts w:ascii="仿宋_GB2312" w:eastAsia="仿宋_GB2312" w:cs="DengXian-Regular"/>
          <w:color w:val="000000"/>
          <w:sz w:val="32"/>
          <w:szCs w:val="32"/>
        </w:rPr>
        <w:t>2141.92</w:t>
      </w:r>
      <w:r>
        <w:rPr>
          <w:rFonts w:ascii="仿宋_GB2312" w:eastAsia="仿宋_GB2312" w:cs="DengXian-Regular" w:hint="eastAsia"/>
          <w:color w:val="000000"/>
          <w:sz w:val="32"/>
          <w:szCs w:val="32"/>
        </w:rPr>
        <w:t>万元，</w:t>
      </w:r>
    </w:p>
    <w:p>
      <w:pPr>
        <w:adjustRightInd w:val="0"/>
        <w:snapToGrid w:val="0"/>
        <w:spacing w:line="580" w:lineRule="exact"/>
        <w:rPr>
          <w:rFonts w:ascii="仿宋_GB2312" w:eastAsia="仿宋_GB2312" w:cs="DengXian-Regular"/>
          <w:color w:val="000000"/>
          <w:sz w:val="32"/>
          <w:szCs w:val="32"/>
        </w:rPr>
      </w:pPr>
      <w:r>
        <w:rPr>
          <w:rFonts w:ascii="仿宋_GB2312" w:eastAsia="仿宋_GB2312" w:cs="DengXian-Regular" w:hint="eastAsia"/>
          <w:color w:val="000000"/>
          <w:sz w:val="32"/>
          <w:szCs w:val="32"/>
        </w:rPr>
        <w:t>完成年初预算的</w:t>
      </w:r>
      <w:r>
        <w:rPr>
          <w:rFonts w:ascii="仿宋_GB2312" w:eastAsia="仿宋_GB2312" w:cs="DengXian-Regular"/>
          <w:color w:val="000000"/>
          <w:sz w:val="32"/>
          <w:szCs w:val="32"/>
        </w:rPr>
        <w:t>114.5%,</w:t>
      </w:r>
      <w:r>
        <w:rPr>
          <w:rFonts w:ascii="仿宋_GB2312" w:eastAsia="仿宋_GB2312" w:cs="DengXian-Regular" w:hint="eastAsia"/>
          <w:color w:val="000000"/>
          <w:sz w:val="32"/>
          <w:szCs w:val="32"/>
        </w:rPr>
        <w:t>比年初预算增加</w:t>
      </w:r>
      <w:r>
        <w:rPr>
          <w:rFonts w:ascii="仿宋_GB2312" w:eastAsia="仿宋_GB2312" w:cs="DengXian-Regular"/>
          <w:color w:val="000000"/>
          <w:sz w:val="32"/>
          <w:szCs w:val="32"/>
        </w:rPr>
        <w:t>271.97</w:t>
      </w:r>
      <w:r>
        <w:rPr>
          <w:rFonts w:ascii="仿宋_GB2312" w:eastAsia="仿宋_GB2312" w:cs="DengXian-Regular" w:hint="eastAsia"/>
          <w:color w:val="000000"/>
          <w:sz w:val="32"/>
          <w:szCs w:val="32"/>
        </w:rPr>
        <w:t>万元，决算数</w:t>
      </w:r>
    </w:p>
    <w:p>
      <w:pPr>
        <w:adjustRightInd w:val="0"/>
        <w:snapToGrid w:val="0"/>
        <w:spacing w:line="580" w:lineRule="exact"/>
        <w:rPr>
          <w:rFonts w:ascii="仿宋_GB2312" w:eastAsia="仿宋_GB2312" w:cs="DengXian-Regular"/>
          <w:color w:val="000000"/>
          <w:sz w:val="32"/>
          <w:szCs w:val="32"/>
          <w:highlight w:val="yellow"/>
        </w:rPr>
      </w:pPr>
      <w:r>
        <w:rPr>
          <w:rFonts w:ascii="仿宋_GB2312" w:eastAsia="仿宋_GB2312" w:cs="DengXian-Regular" w:hint="eastAsia"/>
          <w:color w:val="000000"/>
          <w:sz w:val="32"/>
          <w:szCs w:val="32"/>
        </w:rPr>
        <w:t>大于预算数主要原因是</w:t>
      </w:r>
      <w:r>
        <w:rPr>
          <w:rFonts w:eastAsia="仿宋_GB2312" w:hint="eastAsia"/>
          <w:color w:val="000000"/>
          <w:kern w:val="0"/>
          <w:sz w:val="32"/>
          <w:szCs w:val="32"/>
        </w:rPr>
        <w:t>人员工资调整</w:t>
      </w:r>
      <w:r>
        <w:rPr>
          <w:rFonts w:ascii="仿宋_GB2312" w:eastAsia="仿宋_GB2312" w:cs="DengXian-Regular" w:hint="eastAsia"/>
          <w:color w:val="000000"/>
          <w:sz w:val="32"/>
          <w:szCs w:val="32"/>
        </w:rPr>
        <w:t>；本年支出</w:t>
      </w:r>
      <w:r>
        <w:rPr>
          <w:rFonts w:ascii="仿宋_GB2312" w:eastAsia="仿宋_GB2312" w:cs="DengXian-Regular"/>
          <w:color w:val="000000"/>
          <w:sz w:val="32"/>
          <w:szCs w:val="32"/>
        </w:rPr>
        <w:t>2127.37</w:t>
      </w:r>
      <w:r>
        <w:rPr>
          <w:rFonts w:ascii="仿宋_GB2312" w:eastAsia="仿宋_GB2312" w:cs="DengXian-Regular" w:hint="eastAsia"/>
          <w:color w:val="000000"/>
          <w:sz w:val="32"/>
          <w:szCs w:val="32"/>
        </w:rPr>
        <w:t>万元，完成年初预算的</w:t>
      </w:r>
      <w:r>
        <w:rPr>
          <w:rFonts w:ascii="仿宋_GB2312" w:eastAsia="仿宋_GB2312" w:cs="DengXian-Regular"/>
          <w:color w:val="000000"/>
          <w:sz w:val="32"/>
          <w:szCs w:val="32"/>
        </w:rPr>
        <w:t>113.8%,</w:t>
      </w:r>
      <w:r>
        <w:rPr>
          <w:rFonts w:ascii="仿宋_GB2312" w:eastAsia="仿宋_GB2312" w:cs="DengXian-Regular" w:hint="eastAsia"/>
          <w:color w:val="000000"/>
          <w:sz w:val="32"/>
          <w:szCs w:val="32"/>
        </w:rPr>
        <w:t>比年初预算增加</w:t>
      </w:r>
      <w:r>
        <w:rPr>
          <w:rFonts w:ascii="仿宋_GB2312" w:eastAsia="仿宋_GB2312" w:cs="DengXian-Regular"/>
          <w:color w:val="000000"/>
          <w:sz w:val="32"/>
          <w:szCs w:val="32"/>
        </w:rPr>
        <w:t>257.42</w:t>
      </w:r>
      <w:r>
        <w:rPr>
          <w:rFonts w:ascii="仿宋_GB2312" w:eastAsia="仿宋_GB2312" w:cs="DengXian-Regular" w:hint="eastAsia"/>
          <w:color w:val="000000"/>
          <w:sz w:val="32"/>
          <w:szCs w:val="32"/>
        </w:rPr>
        <w:t>万元，决算数大于预算数主要原因是主要是</w:t>
      </w:r>
      <w:r>
        <w:rPr>
          <w:rFonts w:eastAsia="仿宋_GB2312" w:hint="eastAsia"/>
          <w:color w:val="000000"/>
          <w:kern w:val="0"/>
          <w:sz w:val="32"/>
          <w:szCs w:val="32"/>
        </w:rPr>
        <w:t>人员工资调整</w:t>
      </w:r>
      <w:r>
        <w:rPr>
          <w:rFonts w:ascii="仿宋_GB2312" w:eastAsia="仿宋_GB2312" w:cs="DengXian-Regular" w:hint="eastAsia"/>
          <w:color w:val="000000"/>
          <w:sz w:val="32"/>
          <w:szCs w:val="32"/>
        </w:rPr>
        <w:t>。</w:t>
      </w:r>
    </w:p>
    <w:p>
      <w:pPr>
        <w:numPr>
          <w:ilvl w:val="0"/>
          <w:numId w:val="1"/>
        </w:numPr>
        <w:adjustRightInd w:val="0"/>
        <w:snapToGrid w:val="0"/>
        <w:spacing w:line="580" w:lineRule="exact"/>
        <w:ind w:leftChars="200" w:left="420"/>
        <w:rPr>
          <w:rFonts w:ascii="楷体_GB2312" w:eastAsia="楷体_GB2312" w:cs="DengXian-Bold"/>
          <w:b/>
          <w:bCs/>
          <w:color w:val="000000"/>
          <w:sz w:val="32"/>
          <w:szCs w:val="32"/>
        </w:rPr>
      </w:pPr>
      <w:r>
        <w:rPr>
          <w:rFonts w:ascii="楷体_GB2312" w:eastAsia="楷体_GB2312" w:cs="DengXian-Bold" w:hint="eastAsia"/>
          <w:b/>
          <w:bCs/>
          <w:color w:val="000000"/>
          <w:sz w:val="32"/>
          <w:szCs w:val="32"/>
        </w:rPr>
        <w:t>财政拨款支出决算结构情况。</w:t>
      </w:r>
    </w:p>
    <w:p>
      <w:pPr>
        <w:adjustRightInd w:val="0"/>
        <w:snapToGrid w:val="0"/>
        <w:spacing w:line="580" w:lineRule="exact"/>
        <w:ind w:firstLineChars="200" w:firstLine="640"/>
        <w:rPr>
          <w:rFonts w:ascii="仿宋_GB2312" w:eastAsia="仿宋_GB2312" w:cs="DengXian-Regular"/>
          <w:sz w:val="32"/>
          <w:szCs w:val="32"/>
        </w:rPr>
      </w:pPr>
      <w:r>
        <w:rPr>
          <w:rFonts w:ascii="仿宋_GB2312" w:eastAsia="仿宋_GB2312" w:cs="DengXian-Regular"/>
          <w:color w:val="000000"/>
          <w:sz w:val="32"/>
          <w:szCs w:val="32"/>
        </w:rPr>
        <w:t xml:space="preserve">2019 </w:t>
      </w:r>
      <w:r>
        <w:rPr>
          <w:rFonts w:ascii="仿宋_GB2312" w:eastAsia="仿宋_GB2312" w:cs="DengXian-Regular" w:hint="eastAsia"/>
          <w:color w:val="000000"/>
          <w:sz w:val="32"/>
          <w:szCs w:val="32"/>
        </w:rPr>
        <w:t>年度财政拨款支出</w:t>
      </w:r>
      <w:r>
        <w:rPr>
          <w:rFonts w:ascii="仿宋_GB2312" w:eastAsia="仿宋_GB2312" w:cs="DengXian-Regular"/>
          <w:color w:val="000000"/>
          <w:sz w:val="32"/>
          <w:szCs w:val="32"/>
        </w:rPr>
        <w:t>2127.37</w:t>
      </w:r>
      <w:r>
        <w:rPr>
          <w:rFonts w:ascii="仿宋_GB2312" w:eastAsia="仿宋_GB2312" w:cs="DengXian-Regular" w:hint="eastAsia"/>
          <w:color w:val="000000"/>
          <w:sz w:val="32"/>
          <w:szCs w:val="32"/>
        </w:rPr>
        <w:t>万元，主要用于以下方面：</w:t>
      </w:r>
      <w:r>
        <w:rPr>
          <w:rFonts w:ascii="仿宋_GB2312" w:eastAsia="仿宋_GB2312" w:cs="DengXian-Regular" w:hint="eastAsia"/>
          <w:sz w:val="32"/>
          <w:szCs w:val="32"/>
        </w:rPr>
        <w:t>一般公共服务支出</w:t>
      </w:r>
      <w:r>
        <w:rPr>
          <w:rFonts w:ascii="仿宋_GB2312" w:eastAsia="仿宋_GB2312" w:cs="DengXian-Regular"/>
          <w:sz w:val="32"/>
          <w:szCs w:val="32"/>
        </w:rPr>
        <w:t>1667.25</w:t>
      </w:r>
      <w:r>
        <w:rPr>
          <w:rFonts w:ascii="仿宋_GB2312" w:eastAsia="仿宋_GB2312" w:cs="DengXian-Regular" w:hint="eastAsia"/>
          <w:sz w:val="32"/>
          <w:szCs w:val="32"/>
        </w:rPr>
        <w:t>万元，占</w:t>
      </w:r>
      <w:r>
        <w:rPr>
          <w:rFonts w:ascii="仿宋_GB2312" w:eastAsia="仿宋_GB2312" w:cs="DengXian-Regular"/>
          <w:sz w:val="32"/>
          <w:szCs w:val="32"/>
        </w:rPr>
        <w:t>78.4%</w:t>
      </w:r>
      <w:r>
        <w:rPr>
          <w:rFonts w:ascii="仿宋_GB2312" w:eastAsia="仿宋_GB2312" w:cs="DengXian-Regular" w:hint="eastAsia"/>
          <w:sz w:val="32"/>
          <w:szCs w:val="32"/>
        </w:rPr>
        <w:t>；社会保障和就业支出</w:t>
      </w:r>
      <w:r>
        <w:rPr>
          <w:rFonts w:ascii="仿宋_GB2312" w:eastAsia="仿宋_GB2312" w:cs="DengXian-Regular"/>
          <w:sz w:val="32"/>
          <w:szCs w:val="32"/>
        </w:rPr>
        <w:t xml:space="preserve"> 336.07</w:t>
      </w:r>
      <w:r>
        <w:rPr>
          <w:rFonts w:ascii="仿宋_GB2312" w:eastAsia="仿宋_GB2312" w:cs="DengXian-Regular" w:hint="eastAsia"/>
          <w:sz w:val="32"/>
          <w:szCs w:val="32"/>
        </w:rPr>
        <w:t>万元，占</w:t>
      </w:r>
      <w:r>
        <w:rPr>
          <w:rFonts w:ascii="仿宋_GB2312" w:eastAsia="仿宋_GB2312" w:cs="DengXian-Regular"/>
          <w:sz w:val="32"/>
          <w:szCs w:val="32"/>
        </w:rPr>
        <w:t>15.8%</w:t>
      </w:r>
      <w:r>
        <w:rPr>
          <w:rFonts w:ascii="仿宋_GB2312" w:eastAsia="仿宋_GB2312" w:cs="DengXian-Regular" w:hint="eastAsia"/>
          <w:sz w:val="32"/>
          <w:szCs w:val="32"/>
        </w:rPr>
        <w:t>；住房保障支出</w:t>
      </w:r>
      <w:r>
        <w:rPr>
          <w:rFonts w:ascii="仿宋_GB2312" w:eastAsia="仿宋_GB2312" w:cs="DengXian-Regular"/>
          <w:sz w:val="32"/>
          <w:szCs w:val="32"/>
        </w:rPr>
        <w:t>77.7</w:t>
      </w:r>
      <w:r>
        <w:rPr>
          <w:rFonts w:ascii="仿宋_GB2312" w:eastAsia="仿宋_GB2312" w:cs="DengXian-Regular" w:hint="eastAsia"/>
          <w:sz w:val="32"/>
          <w:szCs w:val="32"/>
        </w:rPr>
        <w:t>万元，占</w:t>
      </w:r>
      <w:r>
        <w:rPr>
          <w:rFonts w:ascii="仿宋_GB2312" w:eastAsia="仿宋_GB2312" w:cs="DengXian-Regular"/>
          <w:sz w:val="32"/>
          <w:szCs w:val="32"/>
        </w:rPr>
        <w:t>3.7%;</w:t>
      </w:r>
      <w:r>
        <w:rPr>
          <w:rFonts w:ascii="仿宋_GB2312" w:eastAsia="仿宋_GB2312" w:cs="DengXian-Regular" w:hint="eastAsia"/>
          <w:sz w:val="32"/>
          <w:szCs w:val="32"/>
        </w:rPr>
        <w:t>医疗卫生与计划生育支出</w:t>
      </w:r>
      <w:r>
        <w:rPr>
          <w:rFonts w:ascii="仿宋_GB2312" w:eastAsia="仿宋_GB2312" w:cs="DengXian-Regular"/>
          <w:sz w:val="32"/>
          <w:szCs w:val="32"/>
        </w:rPr>
        <w:t>46.35</w:t>
      </w:r>
      <w:r>
        <w:rPr>
          <w:rFonts w:ascii="仿宋_GB2312" w:eastAsia="仿宋_GB2312" w:cs="DengXian-Regular" w:hint="eastAsia"/>
          <w:sz w:val="32"/>
          <w:szCs w:val="32"/>
        </w:rPr>
        <w:t>万元，占</w:t>
      </w:r>
      <w:r>
        <w:rPr>
          <w:rFonts w:ascii="仿宋_GB2312" w:eastAsia="仿宋_GB2312" w:cs="DengXian-Regular"/>
          <w:sz w:val="32"/>
          <w:szCs w:val="32"/>
        </w:rPr>
        <w:t>2.2%</w:t>
      </w:r>
      <w:r>
        <w:rPr>
          <w:rFonts w:ascii="仿宋_GB2312" w:eastAsia="仿宋_GB2312" w:cs="DengXian-Regular" w:hint="eastAsia"/>
          <w:sz w:val="32"/>
          <w:szCs w:val="32"/>
        </w:rPr>
        <w:t>。</w:t>
      </w:r>
    </w:p>
    <w:p>
      <w:pPr>
        <w:adjustRightInd w:val="0"/>
        <w:snapToGrid w:val="0"/>
        <w:spacing w:line="580" w:lineRule="exact"/>
        <w:ind w:leftChars="200" w:left="420"/>
        <w:rPr>
          <w:rFonts w:ascii="楷体_GB2312" w:eastAsia="楷体_GB2312" w:cs="DengXian-Bold"/>
          <w:b/>
          <w:bCs/>
          <w:color w:val="000000"/>
          <w:sz w:val="32"/>
          <w:szCs w:val="32"/>
        </w:rPr>
      </w:pPr>
      <w:r>
        <w:rPr>
          <w:rFonts w:ascii="楷体_GB2312" w:eastAsia="楷体_GB2312" w:cs="DengXian-Bold" w:hint="eastAsia"/>
          <w:b/>
          <w:bCs/>
          <w:color w:val="000000"/>
          <w:sz w:val="32"/>
          <w:szCs w:val="32"/>
        </w:rPr>
        <w:t>（四）一般公共预算基本支出决算情况说明</w:t>
      </w:r>
    </w:p>
    <w:p>
      <w:pPr>
        <w:adjustRightInd w:val="0"/>
        <w:snapToGrid w:val="0"/>
        <w:spacing w:line="580" w:lineRule="exact"/>
        <w:rPr>
          <w:rFonts w:ascii="仿宋_GB2312" w:eastAsia="仿宋_GB2312" w:cs="DengXian-Regular"/>
          <w:color w:val="000000"/>
          <w:sz w:val="32"/>
          <w:szCs w:val="32"/>
        </w:rPr>
      </w:pPr>
      <w:r>
        <w:rPr>
          <w:rFonts w:ascii="仿宋_GB2312" w:eastAsia="仿宋_GB2312" w:cs="DengXian-Regular"/>
          <w:color w:val="000000"/>
          <w:sz w:val="32"/>
          <w:szCs w:val="32"/>
        </w:rPr>
        <w:t xml:space="preserve">    2019 </w:t>
      </w:r>
      <w:r>
        <w:rPr>
          <w:rFonts w:ascii="仿宋_GB2312" w:eastAsia="仿宋_GB2312" w:cs="DengXian-Regular" w:hint="eastAsia"/>
          <w:color w:val="000000"/>
          <w:sz w:val="32"/>
          <w:szCs w:val="32"/>
        </w:rPr>
        <w:t>年度财政拨款基本支出</w:t>
      </w:r>
      <w:r>
        <w:rPr>
          <w:rFonts w:ascii="仿宋_GB2312" w:eastAsia="仿宋_GB2312" w:cs="DengXian-Regular"/>
          <w:color w:val="000000"/>
          <w:sz w:val="32"/>
          <w:szCs w:val="32"/>
        </w:rPr>
        <w:t>2069.15</w:t>
      </w:r>
      <w:r>
        <w:rPr>
          <w:rFonts w:ascii="仿宋_GB2312" w:eastAsia="仿宋_GB2312" w:cs="DengXian-Regular" w:hint="eastAsia"/>
          <w:color w:val="000000"/>
          <w:sz w:val="32"/>
          <w:szCs w:val="32"/>
        </w:rPr>
        <w:t>万元，其中：人员经费</w:t>
      </w:r>
      <w:r>
        <w:rPr>
          <w:rFonts w:ascii="仿宋_GB2312" w:eastAsia="仿宋_GB2312" w:cs="DengXian-Regular"/>
          <w:color w:val="000000"/>
          <w:sz w:val="32"/>
          <w:szCs w:val="32"/>
        </w:rPr>
        <w:t>1625.82</w:t>
      </w:r>
      <w:r>
        <w:rPr>
          <w:rFonts w:ascii="仿宋_GB2312" w:eastAsia="仿宋_GB2312" w:cs="DengXian-Regular" w:hint="eastAsia"/>
          <w:color w:val="000000"/>
          <w:sz w:val="32"/>
          <w:szCs w:val="32"/>
        </w:rPr>
        <w:t>万元，主要包括基本工资、津贴补贴、奖金、绩效工资、机关事业单位基本养老保险缴费、职业年金缴费、职工基本医疗保险缴费、公务员医疗补助缴费、住房公积金、医疗费、其他社会保障缴费、其他工资福利支出、抚恤金、生活补助、医疗费补助、奖励金、其他对个人和家庭的补助支出；公用经费</w:t>
      </w:r>
      <w:r>
        <w:rPr>
          <w:rFonts w:ascii="仿宋_GB2312" w:eastAsia="仿宋_GB2312" w:cs="DengXian-Regular"/>
          <w:color w:val="000000"/>
          <w:sz w:val="32"/>
          <w:szCs w:val="32"/>
        </w:rPr>
        <w:t xml:space="preserve"> 443.33</w:t>
      </w:r>
      <w:r>
        <w:rPr>
          <w:rFonts w:ascii="仿宋_GB2312" w:eastAsia="仿宋_GB2312" w:cs="DengXian-Regular" w:hint="eastAsia"/>
          <w:color w:val="000000"/>
          <w:sz w:val="32"/>
          <w:szCs w:val="32"/>
        </w:rPr>
        <w:t>万元，主要包括办公费、印刷费、手续费、水费、电费、邮电费、取暖费、差旅费、维修（护）费、会议费、培训费、劳务费、委托业务费、福利费、公务用车运行维护费、其他交通费用、其他商品和服务支出、办公设备购置、其他资本性支出。</w:t>
      </w:r>
    </w:p>
    <w:p>
      <w:pPr>
        <w:keepNext/>
        <w:keepLines/>
        <w:widowControl w:val="0"/>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五、一般公共预算“三公”</w:t>
      </w:r>
      <w:r>
        <w:rPr>
          <w:rFonts w:ascii="黑体" w:eastAsia="黑体" w:cs="Times New Roman"/>
          <w:color w:val="000000"/>
          <w:sz w:val="32"/>
          <w:szCs w:val="32"/>
        </w:rPr>
        <w:t xml:space="preserve"> </w:t>
      </w:r>
      <w:r>
        <w:rPr>
          <w:rFonts w:ascii="黑体" w:eastAsia="黑体" w:cs="Times New Roman" w:hint="eastAsia"/>
          <w:color w:val="000000"/>
          <w:sz w:val="32"/>
          <w:szCs w:val="32"/>
        </w:rPr>
        <w:t>经费支出决算情况说明</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年度“三公”经费支出共计</w:t>
      </w:r>
      <w:r>
        <w:rPr>
          <w:rFonts w:ascii="仿宋_GB2312" w:eastAsia="仿宋_GB2312" w:cs="DengXian-Regular"/>
          <w:color w:val="000000"/>
          <w:sz w:val="32"/>
          <w:szCs w:val="32"/>
        </w:rPr>
        <w:t>4.37</w:t>
      </w:r>
      <w:r>
        <w:rPr>
          <w:rFonts w:ascii="仿宋_GB2312" w:eastAsia="仿宋_GB2312" w:cs="DengXian-Regular" w:hint="eastAsia"/>
          <w:color w:val="000000"/>
          <w:sz w:val="32"/>
          <w:szCs w:val="32"/>
        </w:rPr>
        <w:t>万元，较预算减少</w:t>
      </w:r>
      <w:r>
        <w:rPr>
          <w:rFonts w:ascii="仿宋_GB2312" w:eastAsia="仿宋_GB2312" w:cs="DengXian-Regular"/>
          <w:color w:val="000000"/>
          <w:sz w:val="32"/>
          <w:szCs w:val="32"/>
        </w:rPr>
        <w:t>0.03</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0.7%</w:t>
      </w:r>
      <w:r>
        <w:rPr>
          <w:rFonts w:ascii="仿宋_GB2312" w:eastAsia="仿宋_GB2312" w:cs="DengXian-Regular" w:hint="eastAsia"/>
          <w:color w:val="000000"/>
          <w:sz w:val="32"/>
          <w:szCs w:val="32"/>
        </w:rPr>
        <w:t>，主要是压减支出；较</w:t>
      </w:r>
      <w:r>
        <w:rPr>
          <w:rFonts w:ascii="仿宋_GB2312" w:eastAsia="仿宋_GB2312" w:cs="DengXian-Regular"/>
          <w:color w:val="000000"/>
          <w:sz w:val="32"/>
          <w:szCs w:val="32"/>
        </w:rPr>
        <w:t>2018</w:t>
      </w:r>
      <w:r>
        <w:rPr>
          <w:rFonts w:ascii="仿宋_GB2312" w:eastAsia="仿宋_GB2312" w:cs="DengXian-Regular" w:hint="eastAsia"/>
          <w:color w:val="000000"/>
          <w:sz w:val="32"/>
          <w:szCs w:val="32"/>
        </w:rPr>
        <w:t>年度减少</w:t>
      </w:r>
      <w:r>
        <w:rPr>
          <w:rFonts w:ascii="仿宋_GB2312" w:eastAsia="仿宋_GB2312" w:cs="DengXian-Regular"/>
          <w:color w:val="000000"/>
          <w:sz w:val="32"/>
          <w:szCs w:val="32"/>
        </w:rPr>
        <w:t>0.24</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5.2%</w:t>
      </w:r>
      <w:r>
        <w:rPr>
          <w:rFonts w:ascii="仿宋_GB2312" w:eastAsia="仿宋_GB2312" w:cs="DengXian-Regular" w:hint="eastAsia"/>
          <w:color w:val="000000"/>
          <w:sz w:val="32"/>
          <w:szCs w:val="32"/>
        </w:rPr>
        <w:t>，主要是公车运行维护费用压减支出。具体情况如下：</w:t>
      </w:r>
    </w:p>
    <w:p>
      <w:pPr>
        <w:adjustRightInd w:val="0"/>
        <w:snapToGrid w:val="0"/>
        <w:spacing w:line="580" w:lineRule="exact"/>
        <w:ind w:firstLineChars="200" w:firstLine="640"/>
        <w:rPr>
          <w:rFonts w:eastAsia="仿宋_GB2312"/>
          <w:sz w:val="32"/>
          <w:szCs w:val="32"/>
          <w:highlight w:val="yellow"/>
        </w:rPr>
      </w:pPr>
      <w:r>
        <w:rPr>
          <w:rFonts w:ascii="楷体_GB2312" w:eastAsia="楷体_GB2312" w:cs="DengXian-Bold" w:hint="eastAsia"/>
          <w:b/>
          <w:bCs/>
          <w:color w:val="000000"/>
          <w:sz w:val="32"/>
          <w:szCs w:val="32"/>
        </w:rPr>
        <w:t>（一）</w:t>
      </w:r>
      <w:r>
        <w:rPr>
          <w:rFonts w:eastAsia="楷体_GB2312" w:hint="eastAsia"/>
          <w:b/>
          <w:bCs/>
          <w:sz w:val="32"/>
          <w:szCs w:val="32"/>
        </w:rPr>
        <w:t>因公出国（境）费支出</w:t>
      </w:r>
      <w:r>
        <w:rPr>
          <w:rFonts w:eastAsia="楷体_GB2312"/>
          <w:b/>
          <w:bCs/>
          <w:sz w:val="32"/>
          <w:szCs w:val="32"/>
        </w:rPr>
        <w:t>0</w:t>
      </w:r>
      <w:r>
        <w:rPr>
          <w:rFonts w:eastAsia="楷体_GB2312" w:hint="eastAsia"/>
          <w:b/>
          <w:bCs/>
          <w:sz w:val="32"/>
          <w:szCs w:val="32"/>
        </w:rPr>
        <w:t>万元。</w:t>
      </w:r>
      <w:r>
        <w:rPr>
          <w:rFonts w:eastAsia="仿宋_GB2312" w:hint="eastAsia"/>
          <w:sz w:val="32"/>
          <w:szCs w:val="32"/>
        </w:rPr>
        <w:t>本部门</w:t>
      </w:r>
      <w:r>
        <w:rPr>
          <w:rFonts w:eastAsia="仿宋_GB2312"/>
          <w:sz w:val="32"/>
          <w:szCs w:val="32"/>
        </w:rPr>
        <w:t>2019</w:t>
      </w:r>
      <w:r>
        <w:rPr>
          <w:rFonts w:eastAsia="仿宋_GB2312" w:hint="eastAsia"/>
          <w:sz w:val="32"/>
          <w:szCs w:val="32"/>
        </w:rPr>
        <w:t>年度无</w:t>
      </w:r>
      <w:r>
        <w:rPr>
          <w:rFonts w:ascii="仿宋_GB2312" w:eastAsia="仿宋_GB2312" w:cs="DengXian-Regular" w:hint="eastAsia"/>
          <w:sz w:val="32"/>
          <w:szCs w:val="32"/>
        </w:rPr>
        <w:t>因公出国（境）行为。</w:t>
      </w:r>
      <w:r>
        <w:rPr>
          <w:rFonts w:ascii="仿宋_GB2312" w:eastAsia="仿宋_GB2312" w:cs="DengXian-Regular" w:hint="eastAsia"/>
          <w:color w:val="000000"/>
          <w:sz w:val="32"/>
          <w:szCs w:val="32"/>
          <w14:textFill>
            <w14:solidFill>
              <w14:srgbClr w14:val="000000"/>
            </w14:solidFill>
          </w14:textFill>
        </w:rPr>
        <w:t>因公出国（境）费支出较预算增加</w:t>
      </w:r>
      <w:r>
        <w:rPr>
          <w:rFonts w:ascii="仿宋_GB2312" w:eastAsia="仿宋_GB2312" w:cs="DengXian-Regular"/>
          <w:color w:val="000000"/>
          <w:sz w:val="32"/>
          <w:szCs w:val="32"/>
          <w14:textFill>
            <w14:solidFill>
              <w14:srgbClr w14:val="000000"/>
            </w14:solidFill>
          </w14:textFill>
        </w:rPr>
        <w:t>0</w:t>
      </w:r>
      <w:r>
        <w:rPr>
          <w:rFonts w:ascii="仿宋_GB2312" w:eastAsia="仿宋_GB2312" w:cs="DengXian-Regular" w:hint="eastAsia"/>
          <w:color w:val="000000"/>
          <w:sz w:val="32"/>
          <w:szCs w:val="32"/>
          <w14:textFill>
            <w14:solidFill>
              <w14:srgbClr w14:val="000000"/>
            </w14:solidFill>
          </w14:textFill>
        </w:rPr>
        <w:t>万元，增长</w:t>
      </w:r>
      <w:r>
        <w:rPr>
          <w:rFonts w:ascii="仿宋_GB2312" w:eastAsia="仿宋_GB2312" w:cs="DengXian-Regular"/>
          <w:color w:val="000000"/>
          <w:sz w:val="32"/>
          <w:szCs w:val="32"/>
          <w14:textFill>
            <w14:solidFill>
              <w14:srgbClr w14:val="000000"/>
            </w14:solidFill>
          </w14:textFill>
        </w:rPr>
        <w:t>0.0</w:t>
      </w:r>
      <w:r>
        <w:rPr>
          <w:rFonts w:ascii="仿宋_GB2312" w:eastAsia="仿宋_GB2312" w:cs="DengXian-Regular" w:hint="eastAsia"/>
          <w:color w:val="000000"/>
          <w:sz w:val="32"/>
          <w:szCs w:val="32"/>
          <w14:textFill>
            <w14:solidFill>
              <w14:srgbClr w14:val="000000"/>
            </w14:solidFill>
          </w14:textFill>
        </w:rPr>
        <w:t>%,主要是</w:t>
      </w:r>
      <w:r>
        <w:rPr>
          <w:rFonts w:ascii="仿宋_GB2312" w:eastAsia="仿宋_GB2312" w:cs="DengXian-Regular"/>
          <w:color w:val="000000"/>
          <w:sz w:val="32"/>
          <w:szCs w:val="32"/>
          <w14:textFill>
            <w14:solidFill>
              <w14:srgbClr w14:val="000000"/>
            </w14:solidFill>
          </w14:textFill>
        </w:rPr>
        <w:t>无因公出国境事项，未发生相关费用</w:t>
      </w:r>
      <w:r>
        <w:rPr>
          <w:rFonts w:ascii="仿宋_GB2312" w:eastAsia="仿宋_GB2312" w:cs="DengXian-Regular" w:hint="eastAsia"/>
          <w:color w:val="000000"/>
          <w:sz w:val="32"/>
          <w:szCs w:val="32"/>
          <w14:textFill>
            <w14:solidFill>
              <w14:srgbClr w14:val="000000"/>
            </w14:solidFill>
          </w14:textFill>
        </w:rPr>
        <w:t>；较上年增加</w:t>
      </w:r>
      <w:r>
        <w:rPr>
          <w:rFonts w:ascii="仿宋_GB2312" w:eastAsia="仿宋_GB2312" w:cs="DengXian-Regular"/>
          <w:color w:val="000000"/>
          <w:sz w:val="32"/>
          <w:szCs w:val="32"/>
          <w14:textFill>
            <w14:solidFill>
              <w14:srgbClr w14:val="000000"/>
            </w14:solidFill>
          </w14:textFill>
        </w:rPr>
        <w:t>0</w:t>
      </w:r>
      <w:r>
        <w:rPr>
          <w:rFonts w:ascii="仿宋_GB2312" w:eastAsia="仿宋_GB2312" w:cs="DengXian-Regular" w:hint="eastAsia"/>
          <w:color w:val="000000"/>
          <w:sz w:val="32"/>
          <w:szCs w:val="32"/>
          <w14:textFill>
            <w14:solidFill>
              <w14:srgbClr w14:val="000000"/>
            </w14:solidFill>
          </w14:textFill>
        </w:rPr>
        <w:t>万元，增长</w:t>
      </w:r>
      <w:r>
        <w:rPr>
          <w:rFonts w:ascii="仿宋_GB2312" w:eastAsia="仿宋_GB2312" w:cs="DengXian-Regular"/>
          <w:color w:val="000000"/>
          <w:sz w:val="32"/>
          <w:szCs w:val="32"/>
          <w14:textFill>
            <w14:solidFill>
              <w14:srgbClr w14:val="000000"/>
            </w14:solidFill>
          </w14:textFill>
        </w:rPr>
        <w:t>0.0</w:t>
      </w:r>
      <w:r>
        <w:rPr>
          <w:rFonts w:ascii="仿宋_GB2312" w:eastAsia="仿宋_GB2312" w:cs="DengXian-Regular" w:hint="eastAsia"/>
          <w:color w:val="000000"/>
          <w:sz w:val="32"/>
          <w:szCs w:val="32"/>
          <w14:textFill>
            <w14:solidFill>
              <w14:srgbClr w14:val="000000"/>
            </w14:solidFill>
          </w14:textFill>
        </w:rPr>
        <w:t>%,主要是</w:t>
      </w:r>
      <w:r>
        <w:rPr>
          <w:rFonts w:ascii="仿宋_GB2312" w:eastAsia="仿宋_GB2312" w:cs="DengXian-Regular"/>
          <w:color w:val="000000"/>
          <w:sz w:val="32"/>
          <w:szCs w:val="32"/>
          <w14:textFill>
            <w14:solidFill>
              <w14:srgbClr w14:val="000000"/>
            </w14:solidFill>
          </w14:textFill>
        </w:rPr>
        <w:t>本部门2019年、2018年均无因公出国境事项，未发生相关费用</w:t>
      </w:r>
      <w:r>
        <w:rPr>
          <w:rFonts w:ascii="仿宋_GB2312" w:eastAsia="仿宋_GB2312" w:cs="DengXian-Regular" w:hint="eastAsia"/>
          <w:color w:val="000000"/>
          <w:sz w:val="32"/>
          <w:szCs w:val="32"/>
          <w14:textFill>
            <w14:solidFill>
              <w14:srgbClr w14:val="000000"/>
            </w14:solidFill>
          </w14:textFill>
        </w:rPr>
        <w:t>。</w:t>
      </w:r>
    </w:p>
    <w:p>
      <w:pPr>
        <w:adjustRightInd w:val="0"/>
        <w:snapToGrid w:val="0"/>
        <w:spacing w:line="580" w:lineRule="exact"/>
        <w:ind w:firstLineChars="200" w:firstLine="640"/>
        <w:rPr>
          <w:rFonts w:ascii="仿宋_GB2312" w:eastAsia="仿宋_GB2312" w:cs="DengXian-Bold"/>
          <w:b/>
          <w:bCs/>
          <w:color w:val="000000"/>
          <w:sz w:val="32"/>
          <w:szCs w:val="32"/>
        </w:rPr>
      </w:pPr>
      <w:r>
        <w:rPr>
          <w:rFonts w:ascii="楷体_GB2312" w:eastAsia="楷体_GB2312" w:cs="DengXian-Bold" w:hint="eastAsia"/>
          <w:b/>
          <w:bCs/>
          <w:color w:val="000000"/>
          <w:sz w:val="32"/>
          <w:szCs w:val="32"/>
        </w:rPr>
        <w:t>（二）公务用车购置及运行维护费支出</w:t>
      </w:r>
      <w:r>
        <w:rPr>
          <w:rFonts w:ascii="楷体_GB2312" w:eastAsia="楷体_GB2312" w:cs="DengXian-Bold"/>
          <w:b/>
          <w:bCs/>
          <w:color w:val="000000"/>
          <w:sz w:val="32"/>
          <w:szCs w:val="32"/>
        </w:rPr>
        <w:t>4.34</w:t>
      </w:r>
      <w:r>
        <w:rPr>
          <w:rFonts w:ascii="楷体_GB2312" w:eastAsia="楷体_GB2312" w:cs="DengXian-Bold" w:hint="eastAsia"/>
          <w:b/>
          <w:bCs/>
          <w:color w:val="000000"/>
          <w:sz w:val="32"/>
          <w:szCs w:val="32"/>
        </w:rPr>
        <w:t>万元。</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年度公务用车购置及运行维护费较预算减少</w:t>
      </w:r>
      <w:r>
        <w:rPr>
          <w:rFonts w:ascii="仿宋_GB2312" w:eastAsia="仿宋_GB2312" w:cs="DengXian-Regular"/>
          <w:color w:val="000000"/>
          <w:sz w:val="32"/>
          <w:szCs w:val="32"/>
        </w:rPr>
        <w:t>0.24</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0.69%,</w:t>
      </w:r>
      <w:r>
        <w:rPr>
          <w:rFonts w:ascii="仿宋_GB2312" w:eastAsia="仿宋_GB2312" w:cs="DengXian-Regular" w:hint="eastAsia"/>
          <w:color w:val="000000"/>
          <w:sz w:val="32"/>
          <w:szCs w:val="32"/>
        </w:rPr>
        <w:t>主要是公车运行维护费用压减支出。</w:t>
      </w:r>
      <w:r>
        <w:rPr>
          <w:rFonts w:ascii="仿宋_GB2312" w:eastAsia="仿宋_GB2312" w:cs="DengXian-Regular" w:hint="eastAsia"/>
          <w:color w:val="000000"/>
          <w:sz w:val="32"/>
          <w:szCs w:val="32"/>
          <w14:textFill>
            <w14:solidFill>
              <w14:srgbClr w14:val="000000"/>
            </w14:solidFill>
          </w14:textFill>
        </w:rPr>
        <w:t>较上年减少</w:t>
      </w:r>
      <w:r>
        <w:rPr>
          <w:rFonts w:ascii="仿宋_GB2312" w:eastAsia="仿宋_GB2312" w:cs="DengXian-Regular"/>
          <w:color w:val="000000"/>
          <w:sz w:val="32"/>
          <w:szCs w:val="32"/>
          <w14:textFill>
            <w14:solidFill>
              <w14:srgbClr w14:val="000000"/>
            </w14:solidFill>
          </w14:textFill>
        </w:rPr>
        <w:t>0.27</w:t>
      </w:r>
      <w:r>
        <w:rPr>
          <w:rFonts w:ascii="仿宋_GB2312" w:eastAsia="仿宋_GB2312" w:cs="DengXian-Regular" w:hint="eastAsia"/>
          <w:color w:val="000000"/>
          <w:sz w:val="32"/>
          <w:szCs w:val="32"/>
          <w14:textFill>
            <w14:solidFill>
              <w14:srgbClr w14:val="000000"/>
            </w14:solidFill>
          </w14:textFill>
        </w:rPr>
        <w:t>万元，降低</w:t>
      </w:r>
      <w:r>
        <w:rPr>
          <w:rFonts w:ascii="仿宋_GB2312" w:eastAsia="仿宋_GB2312" w:cs="DengXian-Regular"/>
          <w:color w:val="000000"/>
          <w:sz w:val="32"/>
          <w:szCs w:val="32"/>
          <w14:textFill>
            <w14:solidFill>
              <w14:srgbClr w14:val="000000"/>
            </w14:solidFill>
          </w14:textFill>
        </w:rPr>
        <w:t>5.9</w:t>
      </w:r>
      <w:r>
        <w:rPr>
          <w:rFonts w:ascii="仿宋_GB2312" w:eastAsia="仿宋_GB2312" w:cs="DengXian-Regular" w:hint="eastAsia"/>
          <w:color w:val="000000"/>
          <w:sz w:val="32"/>
          <w:szCs w:val="32"/>
          <w14:textFill>
            <w14:solidFill>
              <w14:srgbClr w14:val="000000"/>
            </w14:solidFill>
          </w14:textFill>
        </w:rPr>
        <w:t>%,主要是</w:t>
      </w:r>
      <w:r>
        <w:rPr>
          <w:rFonts w:ascii="仿宋_GB2312" w:eastAsia="仿宋_GB2312" w:cs="DengXian-Regular"/>
          <w:color w:val="000000"/>
          <w:sz w:val="32"/>
          <w:szCs w:val="32"/>
          <w14:textFill>
            <w14:solidFill>
              <w14:srgbClr w14:val="000000"/>
            </w14:solidFill>
          </w14:textFill>
        </w:rPr>
        <w:t>厉行节约，严格公务用车管理</w:t>
      </w:r>
      <w:r>
        <w:rPr>
          <w:rFonts w:ascii="仿宋_GB2312" w:eastAsia="仿宋_GB2312" w:cs="DengXian-Regular" w:hint="eastAsia"/>
          <w:color w:val="000000"/>
          <w:sz w:val="32"/>
          <w:szCs w:val="32"/>
          <w14:textFill>
            <w14:solidFill>
              <w14:srgbClr w14:val="000000"/>
            </w14:solidFill>
          </w14:textFill>
        </w:rPr>
        <w:t>。</w:t>
      </w:r>
      <w:r>
        <w:rPr>
          <w:rFonts w:ascii="仿宋_GB2312" w:eastAsia="仿宋_GB2312" w:cs="DengXian-Bold" w:hint="eastAsia"/>
          <w:b/>
          <w:bCs/>
          <w:color w:val="000000"/>
          <w:sz w:val="32"/>
          <w:szCs w:val="32"/>
        </w:rPr>
        <w:t>其中：</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b/>
          <w:color w:val="000000"/>
          <w:sz w:val="32"/>
          <w:szCs w:val="32"/>
        </w:rPr>
        <w:t>公务用车购置费</w:t>
      </w:r>
      <w:bookmarkStart w:id="0" w:name="_GoBack"/>
      <w:bookmarkEnd w:id="0"/>
      <w:r>
        <w:rPr>
          <w:rFonts w:ascii="仿宋_GB2312" w:eastAsia="仿宋_GB2312" w:cs="DengXian-Regular" w:hint="eastAsia"/>
          <w:b/>
          <w:color w:val="000000"/>
          <w:sz w:val="32"/>
          <w:szCs w:val="32"/>
        </w:rPr>
        <w:t>：</w:t>
      </w:r>
      <w:r>
        <w:rPr>
          <w:rFonts w:ascii="仿宋_GB2312" w:eastAsia="仿宋_GB2312" w:cs="DengXian-Regular" w:hint="eastAsia"/>
          <w:color w:val="000000"/>
          <w:sz w:val="32"/>
          <w:szCs w:val="32"/>
          <w14:textFill>
            <w14:solidFill>
              <w14:srgbClr w14:val="000000"/>
            </w14:solidFill>
          </w14:textFill>
        </w:rPr>
        <w:t>公务用车购置费支出较预算增加</w:t>
      </w:r>
      <w:r>
        <w:rPr>
          <w:rFonts w:ascii="仿宋_GB2312" w:eastAsia="仿宋_GB2312" w:cs="DengXian-Regular"/>
          <w:color w:val="000000"/>
          <w:sz w:val="32"/>
          <w:szCs w:val="32"/>
          <w14:textFill>
            <w14:solidFill>
              <w14:srgbClr w14:val="000000"/>
            </w14:solidFill>
          </w14:textFill>
        </w:rPr>
        <w:t>0</w:t>
      </w:r>
      <w:r>
        <w:rPr>
          <w:rFonts w:ascii="仿宋_GB2312" w:eastAsia="仿宋_GB2312" w:cs="DengXian-Regular" w:hint="eastAsia"/>
          <w:color w:val="000000"/>
          <w:sz w:val="32"/>
          <w:szCs w:val="32"/>
          <w14:textFill>
            <w14:solidFill>
              <w14:srgbClr w14:val="000000"/>
            </w14:solidFill>
          </w14:textFill>
        </w:rPr>
        <w:t>万元，增长</w:t>
      </w:r>
      <w:r>
        <w:rPr>
          <w:rFonts w:ascii="仿宋_GB2312" w:eastAsia="仿宋_GB2312" w:cs="DengXian-Regular"/>
          <w:color w:val="000000"/>
          <w:sz w:val="32"/>
          <w:szCs w:val="32"/>
          <w14:textFill>
            <w14:solidFill>
              <w14:srgbClr w14:val="000000"/>
            </w14:solidFill>
          </w14:textFill>
        </w:rPr>
        <w:t>0.0</w:t>
      </w:r>
      <w:r>
        <w:rPr>
          <w:rFonts w:ascii="仿宋_GB2312" w:eastAsia="仿宋_GB2312" w:cs="DengXian-Regular" w:hint="eastAsia"/>
          <w:color w:val="000000"/>
          <w:sz w:val="32"/>
          <w:szCs w:val="32"/>
          <w14:textFill>
            <w14:solidFill>
              <w14:srgbClr w14:val="000000"/>
            </w14:solidFill>
          </w14:textFill>
        </w:rPr>
        <w:t>%,主要是</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年度未购置公务用车，未发生“公务用车购置”经费支出</w:t>
      </w:r>
      <w:r>
        <w:rPr>
          <w:rFonts w:ascii="仿宋_GB2312" w:eastAsia="仿宋_GB2312" w:cs="DengXian-Regular" w:hint="eastAsia"/>
          <w:color w:val="000000"/>
          <w:sz w:val="32"/>
          <w:szCs w:val="32"/>
          <w14:textFill>
            <w14:solidFill>
              <w14:srgbClr w14:val="000000"/>
            </w14:solidFill>
          </w14:textFill>
        </w:rPr>
        <w:t>；较上年增加</w:t>
      </w:r>
      <w:r>
        <w:rPr>
          <w:rFonts w:ascii="仿宋_GB2312" w:eastAsia="仿宋_GB2312" w:cs="DengXian-Regular"/>
          <w:color w:val="000000"/>
          <w:sz w:val="32"/>
          <w:szCs w:val="32"/>
          <w14:textFill>
            <w14:solidFill>
              <w14:srgbClr w14:val="000000"/>
            </w14:solidFill>
          </w14:textFill>
        </w:rPr>
        <w:t>0</w:t>
      </w:r>
      <w:r>
        <w:rPr>
          <w:rFonts w:ascii="仿宋_GB2312" w:eastAsia="仿宋_GB2312" w:cs="DengXian-Regular" w:hint="eastAsia"/>
          <w:color w:val="000000"/>
          <w:sz w:val="32"/>
          <w:szCs w:val="32"/>
          <w14:textFill>
            <w14:solidFill>
              <w14:srgbClr w14:val="000000"/>
            </w14:solidFill>
          </w14:textFill>
        </w:rPr>
        <w:t>万元，增长</w:t>
      </w:r>
      <w:r>
        <w:rPr>
          <w:rFonts w:ascii="仿宋_GB2312" w:eastAsia="仿宋_GB2312" w:cs="DengXian-Regular"/>
          <w:color w:val="000000"/>
          <w:sz w:val="32"/>
          <w:szCs w:val="32"/>
          <w14:textFill>
            <w14:solidFill>
              <w14:srgbClr w14:val="000000"/>
            </w14:solidFill>
          </w14:textFill>
        </w:rPr>
        <w:t>0.0</w:t>
      </w:r>
      <w:r>
        <w:rPr>
          <w:rFonts w:ascii="仿宋_GB2312" w:eastAsia="仿宋_GB2312" w:cs="DengXian-Regular" w:hint="eastAsia"/>
          <w:color w:val="000000"/>
          <w:sz w:val="32"/>
          <w:szCs w:val="32"/>
          <w14:textFill>
            <w14:solidFill>
              <w14:srgbClr w14:val="000000"/>
            </w14:solidFill>
          </w14:textFill>
        </w:rPr>
        <w:t>%,主要是</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年度未购置公务用车，未发生“公务用车购置”经费支出</w:t>
      </w:r>
      <w:r>
        <w:rPr>
          <w:rFonts w:ascii="仿宋_GB2312" w:eastAsia="仿宋_GB2312" w:cs="DengXian-Regular" w:hint="eastAsia"/>
          <w:color w:val="000000"/>
          <w:sz w:val="32"/>
          <w:szCs w:val="32"/>
          <w14:textFill>
            <w14:solidFill>
              <w14:srgbClr w14:val="000000"/>
            </w14:solidFill>
          </w14:textFill>
        </w:rPr>
        <w:t>。</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b/>
          <w:color w:val="000000"/>
          <w:sz w:val="32"/>
          <w:szCs w:val="32"/>
        </w:rPr>
        <w:t>公务用车运行维护费：</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年度单位公务用车保有量</w:t>
      </w:r>
      <w:r>
        <w:rPr>
          <w:rFonts w:ascii="仿宋_GB2312" w:eastAsia="仿宋_GB2312" w:cs="DengXian-Regular"/>
          <w:color w:val="000000"/>
          <w:sz w:val="32"/>
          <w:szCs w:val="32"/>
        </w:rPr>
        <w:t>2</w:t>
      </w:r>
      <w:r>
        <w:rPr>
          <w:rFonts w:ascii="仿宋_GB2312" w:eastAsia="仿宋_GB2312" w:cs="DengXian-Regular" w:hint="eastAsia"/>
          <w:color w:val="000000"/>
          <w:sz w:val="32"/>
          <w:szCs w:val="32"/>
        </w:rPr>
        <w:t>辆。公车运行维护费支出较预算减少</w:t>
      </w:r>
      <w:r>
        <w:rPr>
          <w:rFonts w:ascii="仿宋_GB2312" w:eastAsia="仿宋_GB2312" w:cs="DengXian-Regular"/>
          <w:color w:val="000000"/>
          <w:sz w:val="32"/>
          <w:szCs w:val="32"/>
        </w:rPr>
        <w:t>0.03</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0.7%</w:t>
      </w:r>
      <w:r>
        <w:rPr>
          <w:rFonts w:ascii="仿宋_GB2312" w:eastAsia="仿宋_GB2312" w:cs="DengXian-Regular" w:hint="eastAsia"/>
          <w:color w:val="000000"/>
          <w:sz w:val="32"/>
          <w:szCs w:val="32"/>
        </w:rPr>
        <w:t>，主要是压减支出；较</w:t>
      </w:r>
      <w:r>
        <w:rPr>
          <w:rFonts w:ascii="仿宋_GB2312" w:eastAsia="仿宋_GB2312" w:cs="DengXian-Regular"/>
          <w:color w:val="000000"/>
          <w:sz w:val="32"/>
          <w:szCs w:val="32"/>
        </w:rPr>
        <w:t>2018</w:t>
      </w:r>
      <w:r>
        <w:rPr>
          <w:rFonts w:ascii="仿宋_GB2312" w:eastAsia="仿宋_GB2312" w:cs="DengXian-Regular" w:hint="eastAsia"/>
          <w:color w:val="000000"/>
          <w:sz w:val="32"/>
          <w:szCs w:val="32"/>
        </w:rPr>
        <w:t>年度减少</w:t>
      </w:r>
      <w:r>
        <w:rPr>
          <w:rFonts w:ascii="仿宋_GB2312" w:eastAsia="仿宋_GB2312" w:cs="DengXian-Regular"/>
          <w:color w:val="000000"/>
          <w:sz w:val="32"/>
          <w:szCs w:val="32"/>
        </w:rPr>
        <w:t>0.27</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5.9%</w:t>
      </w:r>
      <w:r>
        <w:rPr>
          <w:rFonts w:ascii="仿宋_GB2312" w:eastAsia="仿宋_GB2312" w:cs="DengXian-Regular" w:hint="eastAsia"/>
          <w:color w:val="000000"/>
          <w:sz w:val="32"/>
          <w:szCs w:val="32"/>
        </w:rPr>
        <w:t>，主要是公车运行维护费用压减支出。</w:t>
      </w:r>
    </w:p>
    <w:p>
      <w:pPr>
        <w:adjustRightInd w:val="0"/>
        <w:snapToGrid w:val="0"/>
        <w:spacing w:line="584" w:lineRule="exact"/>
        <w:ind w:firstLineChars="200" w:firstLine="640"/>
        <w:rPr>
          <w:rFonts w:eastAsia="仿宋_GB2312"/>
          <w:sz w:val="32"/>
          <w:szCs w:val="32"/>
          <w:highlight w:val="yellow"/>
        </w:rPr>
      </w:pPr>
      <w:r>
        <w:rPr>
          <w:rFonts w:ascii="楷体_GB2312" w:eastAsia="楷体_GB2312" w:cs="DengXian-Bold" w:hint="eastAsia"/>
          <w:b/>
          <w:bCs/>
          <w:color w:val="000000"/>
          <w:sz w:val="32"/>
          <w:szCs w:val="32"/>
        </w:rPr>
        <w:t>（三）公务接待费支出</w:t>
      </w:r>
      <w:r>
        <w:rPr>
          <w:rFonts w:ascii="楷体_GB2312" w:eastAsia="楷体_GB2312" w:cs="DengXian-Bold"/>
          <w:b/>
          <w:bCs/>
          <w:color w:val="000000"/>
          <w:sz w:val="32"/>
          <w:szCs w:val="32"/>
        </w:rPr>
        <w:t>0</w:t>
      </w:r>
      <w:r>
        <w:rPr>
          <w:rFonts w:ascii="楷体_GB2312" w:eastAsia="楷体_GB2312" w:cs="DengXian-Bold" w:hint="eastAsia"/>
          <w:b/>
          <w:bCs/>
          <w:color w:val="000000"/>
          <w:sz w:val="32"/>
          <w:szCs w:val="32"/>
        </w:rPr>
        <w:t>万元。</w:t>
      </w:r>
      <w:r>
        <w:rPr>
          <w:rFonts w:eastAsia="仿宋_GB2312" w:hint="eastAsia"/>
          <w:sz w:val="32"/>
          <w:szCs w:val="32"/>
        </w:rPr>
        <w:t>本部门</w:t>
      </w:r>
      <w:r>
        <w:rPr>
          <w:rFonts w:eastAsia="仿宋_GB2312"/>
          <w:sz w:val="32"/>
          <w:szCs w:val="32"/>
        </w:rPr>
        <w:t>2019</w:t>
      </w:r>
      <w:r>
        <w:rPr>
          <w:rFonts w:eastAsia="仿宋_GB2312" w:hint="eastAsia"/>
          <w:sz w:val="32"/>
          <w:szCs w:val="32"/>
        </w:rPr>
        <w:t>年度未发生公务接待，公务接待费支出较年初预算无增减变化，较</w:t>
      </w:r>
      <w:r>
        <w:rPr>
          <w:rFonts w:eastAsia="仿宋_GB2312"/>
          <w:sz w:val="32"/>
          <w:szCs w:val="32"/>
        </w:rPr>
        <w:t>2018</w:t>
      </w:r>
      <w:r>
        <w:rPr>
          <w:rFonts w:eastAsia="仿宋_GB2312" w:hint="eastAsia"/>
          <w:sz w:val="32"/>
          <w:szCs w:val="32"/>
        </w:rPr>
        <w:t>年度决算无增减变化。</w:t>
      </w:r>
    </w:p>
    <w:p>
      <w:pPr>
        <w:keepNext/>
        <w:keepLines/>
        <w:widowControl w:val="0"/>
        <w:snapToGrid w:val="0"/>
        <w:spacing w:line="580" w:lineRule="exact"/>
        <w:outlineLvl w:val="1"/>
        <w:rPr>
          <w:rFonts w:ascii="黑体" w:eastAsia="黑体" w:cs="Times New Roman"/>
          <w:color w:val="000000"/>
          <w:sz w:val="32"/>
          <w:szCs w:val="32"/>
        </w:rPr>
      </w:pPr>
      <w:r>
        <w:rPr>
          <w:rFonts w:ascii="黑体" w:eastAsia="黑体" w:cs="Times New Roman"/>
          <w:color w:val="000000"/>
          <w:sz w:val="32"/>
          <w:szCs w:val="32"/>
        </w:rPr>
        <w:t xml:space="preserve">     </w:t>
      </w:r>
      <w:r>
        <w:rPr>
          <w:rFonts w:ascii="黑体" w:eastAsia="黑体" w:cs="Times New Roman" w:hint="eastAsia"/>
          <w:color w:val="000000"/>
          <w:sz w:val="32"/>
          <w:szCs w:val="32"/>
        </w:rPr>
        <w:t>六、其他重要事项的说明</w:t>
      </w:r>
    </w:p>
    <w:p>
      <w:pPr>
        <w:keepNext/>
        <w:keepLines/>
        <w:widowControl w:val="0"/>
        <w:snapToGrid w:val="0"/>
        <w:spacing w:line="580" w:lineRule="exact"/>
        <w:ind w:firstLineChars="200" w:firstLine="640"/>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（一）机关运行经费情况</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年度机关运行经费支出</w:t>
      </w:r>
      <w:r>
        <w:rPr>
          <w:rFonts w:ascii="仿宋_GB2312" w:eastAsia="仿宋_GB2312" w:cs="DengXian-Regular"/>
          <w:color w:val="000000"/>
          <w:sz w:val="32"/>
          <w:szCs w:val="32"/>
        </w:rPr>
        <w:t>1609.24</w:t>
      </w:r>
      <w:r>
        <w:rPr>
          <w:rFonts w:ascii="仿宋_GB2312" w:eastAsia="仿宋_GB2312" w:cs="DengXian-Regular" w:hint="eastAsia"/>
          <w:color w:val="000000"/>
          <w:sz w:val="32"/>
          <w:szCs w:val="32"/>
        </w:rPr>
        <w:t>万元，比</w:t>
      </w:r>
      <w:r>
        <w:rPr>
          <w:rFonts w:ascii="仿宋_GB2312" w:eastAsia="仿宋_GB2312" w:cs="DengXian-Regular"/>
          <w:color w:val="000000"/>
          <w:sz w:val="32"/>
          <w:szCs w:val="32"/>
        </w:rPr>
        <w:t>2018</w:t>
      </w:r>
      <w:r>
        <w:rPr>
          <w:rFonts w:ascii="仿宋_GB2312" w:eastAsia="仿宋_GB2312" w:cs="DengXian-Regular" w:hint="eastAsia"/>
          <w:color w:val="000000"/>
          <w:sz w:val="32"/>
          <w:szCs w:val="32"/>
        </w:rPr>
        <w:t>年度减少</w:t>
      </w:r>
      <w:r>
        <w:rPr>
          <w:rFonts w:ascii="仿宋_GB2312" w:eastAsia="仿宋_GB2312" w:cs="DengXian-Regular"/>
          <w:color w:val="000000"/>
          <w:sz w:val="32"/>
          <w:szCs w:val="32"/>
        </w:rPr>
        <w:t>59.21</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3.6%</w:t>
      </w:r>
      <w:r>
        <w:rPr>
          <w:rFonts w:ascii="仿宋_GB2312" w:eastAsia="仿宋_GB2312" w:cs="DengXian-Regular" w:hint="eastAsia"/>
          <w:color w:val="000000"/>
          <w:sz w:val="32"/>
          <w:szCs w:val="32"/>
        </w:rPr>
        <w:t>。主要原因是压减支出。</w:t>
      </w:r>
    </w:p>
    <w:p>
      <w:pPr>
        <w:keepNext/>
        <w:keepLines/>
        <w:widowControl w:val="0"/>
        <w:snapToGrid w:val="0"/>
        <w:spacing w:line="580" w:lineRule="exact"/>
        <w:ind w:firstLineChars="200" w:firstLine="640"/>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（二）政府采购情况</w:t>
      </w:r>
    </w:p>
    <w:p>
      <w:pPr>
        <w:snapToGrid w:val="0"/>
        <w:spacing w:line="580" w:lineRule="exact"/>
        <w:ind w:firstLineChars="200" w:firstLine="640"/>
        <w:jc w:val="left"/>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年度政府采购支出总额</w:t>
      </w:r>
      <w:r>
        <w:rPr>
          <w:rFonts w:ascii="仿宋_GB2312" w:eastAsia="仿宋_GB2312" w:cs="DengXian-Regular"/>
          <w:color w:val="000000"/>
          <w:sz w:val="32"/>
          <w:szCs w:val="32"/>
        </w:rPr>
        <w:t>101.33</w:t>
      </w:r>
      <w:r>
        <w:rPr>
          <w:rFonts w:ascii="仿宋_GB2312" w:eastAsia="仿宋_GB2312" w:cs="DengXian-Regular" w:hint="eastAsia"/>
          <w:color w:val="000000"/>
          <w:sz w:val="32"/>
          <w:szCs w:val="32"/>
        </w:rPr>
        <w:t>万元，从采购类型来看，</w:t>
      </w:r>
      <w:r>
        <w:rPr>
          <w:rFonts w:ascii="仿宋_GB2312" w:eastAsia="仿宋_GB2312" w:cs="仿宋_GB2312" w:hint="eastAsia"/>
          <w:color w:val="000000"/>
          <w:kern w:val="0"/>
          <w:sz w:val="32"/>
          <w:szCs w:val="32"/>
        </w:rPr>
        <w:t>政府采购货物支出</w:t>
      </w:r>
      <w:r>
        <w:rPr>
          <w:rFonts w:ascii="仿宋_GB2312" w:eastAsia="仿宋_GB2312" w:cs="仿宋_GB2312"/>
          <w:color w:val="000000"/>
          <w:kern w:val="0"/>
          <w:sz w:val="32"/>
          <w:szCs w:val="32"/>
        </w:rPr>
        <w:t>0</w:t>
      </w:r>
      <w:r>
        <w:rPr>
          <w:rFonts w:ascii="仿宋_GB2312" w:eastAsia="仿宋_GB2312" w:cs="仿宋_GB2312" w:hint="eastAsia"/>
          <w:color w:val="000000"/>
          <w:kern w:val="0"/>
          <w:sz w:val="32"/>
          <w:szCs w:val="32"/>
        </w:rPr>
        <w:t>万元、政府采购工程支出</w:t>
      </w:r>
      <w:r>
        <w:rPr>
          <w:rFonts w:ascii="仿宋_GB2312" w:eastAsia="仿宋_GB2312" w:cs="仿宋_GB2312"/>
          <w:color w:val="000000"/>
          <w:kern w:val="0"/>
          <w:sz w:val="32"/>
          <w:szCs w:val="32"/>
        </w:rPr>
        <w:t>62.05</w:t>
      </w:r>
      <w:r>
        <w:rPr>
          <w:rFonts w:ascii="仿宋_GB2312" w:eastAsia="仿宋_GB2312" w:cs="仿宋_GB2312" w:hint="eastAsia"/>
          <w:color w:val="000000"/>
          <w:kern w:val="0"/>
          <w:sz w:val="32"/>
          <w:szCs w:val="32"/>
        </w:rPr>
        <w:t>万元、政府采购服务支出</w:t>
      </w:r>
      <w:r>
        <w:rPr>
          <w:rFonts w:ascii="仿宋_GB2312" w:eastAsia="仿宋_GB2312" w:cs="仿宋_GB2312"/>
          <w:color w:val="000000"/>
          <w:kern w:val="0"/>
          <w:sz w:val="32"/>
          <w:szCs w:val="32"/>
        </w:rPr>
        <w:t xml:space="preserve"> 39.28</w:t>
      </w:r>
      <w:r>
        <w:rPr>
          <w:rFonts w:ascii="仿宋_GB2312" w:eastAsia="仿宋_GB2312" w:cs="仿宋_GB2312" w:hint="eastAsia"/>
          <w:color w:val="000000"/>
          <w:kern w:val="0"/>
          <w:sz w:val="32"/>
          <w:szCs w:val="32"/>
        </w:rPr>
        <w:t>万元。授予中小企业合同金</w:t>
      </w:r>
      <w:r>
        <w:rPr>
          <w:rFonts w:ascii="仿宋_GB2312" w:eastAsia="仿宋_GB2312" w:cs="仿宋_GB2312"/>
          <w:color w:val="000000"/>
          <w:kern w:val="0"/>
          <w:sz w:val="32"/>
          <w:szCs w:val="32"/>
        </w:rPr>
        <w:t>101.33</w:t>
      </w:r>
      <w:r>
        <w:rPr>
          <w:rFonts w:ascii="仿宋_GB2312" w:eastAsia="仿宋_GB2312" w:cs="仿宋_GB2312" w:hint="eastAsia"/>
          <w:color w:val="000000"/>
          <w:kern w:val="0"/>
          <w:sz w:val="32"/>
          <w:szCs w:val="32"/>
        </w:rPr>
        <w:t>万元，占政府采购支出总额的</w:t>
      </w:r>
      <w:r>
        <w:rPr>
          <w:rFonts w:ascii="仿宋_GB2312" w:eastAsia="仿宋_GB2312" w:cs="仿宋_GB2312"/>
          <w:color w:val="000000"/>
          <w:kern w:val="0"/>
          <w:sz w:val="32"/>
          <w:szCs w:val="32"/>
        </w:rPr>
        <w:t>100%</w:t>
      </w:r>
      <w:r>
        <w:rPr>
          <w:rFonts w:ascii="仿宋_GB2312" w:eastAsia="仿宋_GB2312" w:cs="仿宋_GB2312" w:hint="eastAsia"/>
          <w:color w:val="000000"/>
          <w:kern w:val="0"/>
          <w:sz w:val="32"/>
          <w:szCs w:val="32"/>
        </w:rPr>
        <w:t>，其中授予小微企业合同金额</w:t>
      </w:r>
      <w:r>
        <w:rPr>
          <w:rFonts w:ascii="仿宋_GB2312" w:eastAsia="仿宋_GB2312" w:cs="仿宋_GB2312"/>
          <w:color w:val="000000"/>
          <w:kern w:val="0"/>
          <w:sz w:val="32"/>
          <w:szCs w:val="32"/>
        </w:rPr>
        <w:t>101.33</w:t>
      </w:r>
      <w:r>
        <w:rPr>
          <w:rFonts w:ascii="仿宋_GB2312" w:eastAsia="仿宋_GB2312" w:cs="仿宋_GB2312" w:hint="eastAsia"/>
          <w:color w:val="000000"/>
          <w:kern w:val="0"/>
          <w:sz w:val="32"/>
          <w:szCs w:val="32"/>
        </w:rPr>
        <w:t>万元，占政府采购支出总额的</w:t>
      </w:r>
      <w:r>
        <w:rPr>
          <w:rFonts w:ascii="仿宋_GB2312" w:eastAsia="仿宋_GB2312" w:cs="仿宋_GB2312"/>
          <w:color w:val="000000"/>
          <w:kern w:val="0"/>
          <w:sz w:val="32"/>
          <w:szCs w:val="32"/>
        </w:rPr>
        <w:t>100%</w:t>
      </w:r>
      <w:r>
        <w:rPr>
          <w:rFonts w:ascii="仿宋_GB2312" w:eastAsia="仿宋_GB2312" w:cs="仿宋_GB2312" w:hint="eastAsia"/>
          <w:color w:val="000000"/>
          <w:kern w:val="0"/>
          <w:sz w:val="32"/>
          <w:szCs w:val="32"/>
        </w:rPr>
        <w:t>。</w:t>
      </w:r>
    </w:p>
    <w:p>
      <w:pPr>
        <w:keepNext/>
        <w:keepLines/>
        <w:widowControl w:val="0"/>
        <w:snapToGrid w:val="0"/>
        <w:spacing w:line="580" w:lineRule="exact"/>
        <w:ind w:firstLineChars="200" w:firstLine="640"/>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（三）国有资产占用情况</w:t>
      </w:r>
    </w:p>
    <w:p>
      <w:pPr>
        <w:adjustRightInd w:val="0"/>
        <w:snapToGrid w:val="0"/>
        <w:spacing w:line="580" w:lineRule="exact"/>
        <w:ind w:firstLineChars="200" w:firstLine="640"/>
        <w:rPr>
          <w:rFonts w:ascii="仿宋_GB2312" w:eastAsia="仿宋_GB2312" w:cs="DengXian-Regular"/>
          <w:sz w:val="32"/>
          <w:szCs w:val="32"/>
        </w:rPr>
      </w:pPr>
      <w:r>
        <w:rPr>
          <w:rFonts w:ascii="仿宋_GB2312" w:eastAsia="仿宋_GB2312" w:cs="DengXian-Regular" w:hint="eastAsia"/>
          <w:color w:val="000000"/>
          <w:sz w:val="32"/>
          <w:szCs w:val="32"/>
        </w:rPr>
        <w:t>截至</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w:t>
      </w:r>
      <w:r>
        <w:rPr>
          <w:rFonts w:ascii="仿宋_GB2312" w:eastAsia="仿宋_GB2312" w:cs="DengXian-Regular"/>
          <w:color w:val="000000"/>
          <w:sz w:val="32"/>
          <w:szCs w:val="32"/>
        </w:rPr>
        <w:t>12</w:t>
      </w:r>
      <w:r>
        <w:rPr>
          <w:rFonts w:ascii="仿宋_GB2312" w:eastAsia="仿宋_GB2312" w:cs="DengXian-Regular" w:hint="eastAsia"/>
          <w:color w:val="000000"/>
          <w:sz w:val="32"/>
          <w:szCs w:val="32"/>
        </w:rPr>
        <w:t>月</w:t>
      </w:r>
      <w:r>
        <w:rPr>
          <w:rFonts w:ascii="仿宋_GB2312" w:eastAsia="仿宋_GB2312" w:cs="DengXian-Regular"/>
          <w:color w:val="000000"/>
          <w:sz w:val="32"/>
          <w:szCs w:val="32"/>
        </w:rPr>
        <w:t>31</w:t>
      </w:r>
      <w:r>
        <w:rPr>
          <w:rFonts w:ascii="仿宋_GB2312" w:eastAsia="仿宋_GB2312" w:cs="DengXian-Regular" w:hint="eastAsia"/>
          <w:color w:val="000000"/>
          <w:sz w:val="32"/>
          <w:szCs w:val="32"/>
        </w:rPr>
        <w:t>日，本部门共有车辆</w:t>
      </w:r>
      <w:r>
        <w:rPr>
          <w:rFonts w:ascii="仿宋_GB2312" w:eastAsia="仿宋_GB2312" w:cs="DengXian-Regular"/>
          <w:color w:val="000000"/>
          <w:sz w:val="32"/>
          <w:szCs w:val="32"/>
        </w:rPr>
        <w:t>2</w:t>
      </w:r>
      <w:r>
        <w:rPr>
          <w:rFonts w:ascii="仿宋_GB2312" w:eastAsia="仿宋_GB2312" w:cs="DengXian-Regular" w:hint="eastAsia"/>
          <w:color w:val="000000"/>
          <w:sz w:val="32"/>
          <w:szCs w:val="32"/>
        </w:rPr>
        <w:t>辆，</w:t>
      </w:r>
      <w:r>
        <w:rPr>
          <w:rFonts w:ascii="仿宋_GB2312" w:eastAsia="仿宋_GB2312" w:cs="DengXian-Regular" w:hint="eastAsia"/>
          <w:sz w:val="32"/>
          <w:szCs w:val="32"/>
        </w:rPr>
        <w:t>较上年车辆数无增减。其中，机要通信用车</w:t>
      </w:r>
      <w:r>
        <w:rPr>
          <w:rFonts w:ascii="仿宋_GB2312" w:eastAsia="仿宋_GB2312" w:cs="DengXian-Regular"/>
          <w:sz w:val="32"/>
          <w:szCs w:val="32"/>
        </w:rPr>
        <w:t>1</w:t>
      </w:r>
      <w:r>
        <w:rPr>
          <w:rFonts w:ascii="仿宋_GB2312" w:eastAsia="仿宋_GB2312" w:cs="DengXian-Regular" w:hint="eastAsia"/>
          <w:sz w:val="32"/>
          <w:szCs w:val="32"/>
        </w:rPr>
        <w:t>辆，应急保障用车</w:t>
      </w:r>
      <w:r>
        <w:rPr>
          <w:rFonts w:ascii="仿宋_GB2312" w:eastAsia="仿宋_GB2312" w:cs="DengXian-Regular"/>
          <w:sz w:val="32"/>
          <w:szCs w:val="32"/>
        </w:rPr>
        <w:t>1</w:t>
      </w:r>
      <w:r>
        <w:rPr>
          <w:rFonts w:ascii="仿宋_GB2312" w:eastAsia="仿宋_GB2312" w:cs="DengXian-Regular" w:hint="eastAsia"/>
          <w:sz w:val="32"/>
          <w:szCs w:val="32"/>
        </w:rPr>
        <w:t>辆。</w:t>
      </w:r>
    </w:p>
    <w:p>
      <w:pPr>
        <w:adjustRightInd w:val="0"/>
        <w:snapToGrid w:val="0"/>
        <w:spacing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单位价值</w:t>
      </w:r>
      <w:r>
        <w:rPr>
          <w:rFonts w:ascii="仿宋_GB2312" w:eastAsia="仿宋_GB2312" w:cs="TimesNewRomanPSMT"/>
          <w:sz w:val="32"/>
          <w:szCs w:val="32"/>
        </w:rPr>
        <w:t>50</w:t>
      </w:r>
      <w:r>
        <w:rPr>
          <w:rFonts w:ascii="仿宋_GB2312" w:eastAsia="仿宋_GB2312" w:cs="DengXian-Regular" w:hint="eastAsia"/>
          <w:sz w:val="32"/>
          <w:szCs w:val="32"/>
        </w:rPr>
        <w:t>万元以上的通用设备</w:t>
      </w:r>
      <w:r>
        <w:rPr>
          <w:rFonts w:ascii="仿宋_GB2312" w:eastAsia="仿宋_GB2312" w:cs="DengXian-Regular"/>
          <w:sz w:val="32"/>
          <w:szCs w:val="32"/>
        </w:rPr>
        <w:t>0</w:t>
      </w:r>
      <w:r>
        <w:rPr>
          <w:rFonts w:ascii="仿宋_GB2312" w:eastAsia="仿宋_GB2312" w:cs="DengXian-Regular" w:hint="eastAsia"/>
          <w:sz w:val="32"/>
          <w:szCs w:val="32"/>
        </w:rPr>
        <w:t>台，单位价值</w:t>
      </w:r>
      <w:r>
        <w:rPr>
          <w:rFonts w:ascii="仿宋_GB2312" w:eastAsia="仿宋_GB2312" w:cs="TimesNewRomanPSMT"/>
          <w:sz w:val="32"/>
          <w:szCs w:val="32"/>
        </w:rPr>
        <w:t>100</w:t>
      </w:r>
      <w:r>
        <w:rPr>
          <w:rFonts w:ascii="仿宋_GB2312" w:eastAsia="仿宋_GB2312" w:cs="DengXian-Regular" w:hint="eastAsia"/>
          <w:sz w:val="32"/>
          <w:szCs w:val="32"/>
        </w:rPr>
        <w:t>万元以上专用设备</w:t>
      </w:r>
      <w:r>
        <w:rPr>
          <w:rFonts w:ascii="仿宋_GB2312" w:eastAsia="仿宋_GB2312" w:cs="DengXian-Regular"/>
          <w:sz w:val="32"/>
          <w:szCs w:val="32"/>
        </w:rPr>
        <w:t>0</w:t>
      </w:r>
      <w:r>
        <w:rPr>
          <w:rFonts w:ascii="仿宋_GB2312" w:eastAsia="仿宋_GB2312" w:cs="DengXian-Regular" w:hint="eastAsia"/>
          <w:sz w:val="32"/>
          <w:szCs w:val="32"/>
        </w:rPr>
        <w:t>台。</w:t>
      </w:r>
    </w:p>
    <w:p>
      <w:pPr>
        <w:keepNext/>
        <w:keepLines/>
        <w:widowControl w:val="0"/>
        <w:snapToGrid w:val="0"/>
        <w:spacing w:line="580" w:lineRule="exact"/>
        <w:ind w:firstLineChars="200" w:firstLine="640"/>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（四）其他需要说明的情况</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color w:val="000000"/>
          <w:sz w:val="32"/>
          <w:szCs w:val="32"/>
        </w:rPr>
        <w:t xml:space="preserve">1. </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年度政府性基金预算及国有资本经营预算无收支及结转结余情况，故公开</w:t>
      </w:r>
      <w:r>
        <w:rPr>
          <w:rFonts w:ascii="仿宋_GB2312" w:eastAsia="仿宋_GB2312" w:cs="DengXian-Regular"/>
          <w:color w:val="000000"/>
          <w:sz w:val="32"/>
          <w:szCs w:val="32"/>
        </w:rPr>
        <w:t>08</w:t>
      </w:r>
      <w:r>
        <w:rPr>
          <w:rFonts w:ascii="仿宋_GB2312" w:eastAsia="仿宋_GB2312" w:cs="DengXian-Regular" w:hint="eastAsia"/>
          <w:color w:val="000000"/>
          <w:sz w:val="32"/>
          <w:szCs w:val="32"/>
        </w:rPr>
        <w:t>表及公开</w:t>
      </w:r>
      <w:r>
        <w:rPr>
          <w:rFonts w:ascii="仿宋_GB2312" w:eastAsia="仿宋_GB2312" w:cs="DengXian-Regular"/>
          <w:color w:val="000000"/>
          <w:sz w:val="32"/>
          <w:szCs w:val="32"/>
        </w:rPr>
        <w:t>09</w:t>
      </w:r>
      <w:r>
        <w:rPr>
          <w:rFonts w:ascii="仿宋_GB2312" w:eastAsia="仿宋_GB2312" w:cs="DengXian-Regular" w:hint="eastAsia"/>
          <w:color w:val="000000"/>
          <w:sz w:val="32"/>
          <w:szCs w:val="32"/>
        </w:rPr>
        <w:t>表以空表列示。</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color w:val="000000"/>
          <w:sz w:val="32"/>
          <w:szCs w:val="32"/>
        </w:rPr>
        <w:t xml:space="preserve">2. </w:t>
      </w:r>
      <w:r>
        <w:rPr>
          <w:rFonts w:ascii="仿宋_GB2312" w:eastAsia="仿宋_GB2312" w:cs="DengXian-Regular" w:hint="eastAsia"/>
          <w:color w:val="000000"/>
          <w:sz w:val="32"/>
          <w:szCs w:val="32"/>
        </w:rPr>
        <w:t>由于决算公开表格中金额数值应当保留两位小数，公开数据为四舍五入计算结果，个别数据合计项与分项之和存在小数点后差额，特此说明。</w:t>
      </w:r>
    </w:p>
    <w:p>
      <w:pPr>
        <w:widowControl/>
        <w:spacing w:line="580" w:lineRule="exact"/>
        <w:ind w:firstLineChars="200" w:firstLine="880"/>
        <w:jc w:val="left"/>
        <w:rPr>
          <w:rFonts w:ascii="宋体" w:eastAsia="宋体" w:cs="MS-UIGothic,Bold"/>
          <w:b/>
          <w:bCs/>
          <w:color w:val="000000"/>
          <w:kern w:val="0"/>
          <w:sz w:val="44"/>
          <w:szCs w:val="44"/>
        </w:rPr>
        <w:sectPr>
          <w:type w:val="continuous"/>
          <w:pgSz w:w="11906" w:h="16838"/>
          <w:pgMar w:top="2098" w:right="1474" w:bottom="1984" w:left="1588" w:header="851" w:footer="992" w:gutter="0"/>
          <w:pgNumType w:fmt="numberInDash"/>
          <w:docGrid w:type="lines" w:linePitch="312" w:charSpace="0"/>
        </w:sectPr>
      </w:pPr>
    </w:p>
    <w:p>
      <w:pPr>
        <w:rPr>
          <w:rFonts w:ascii="黑体" w:eastAsia="黑体" w:cs="黑体"/>
          <w:color w:val="000000"/>
          <w:sz w:val="56"/>
          <w:szCs w:val="72"/>
        </w:rPr>
        <w:sectPr>
          <w:headerReference w:type="default" r:id="rId13"/>
          <w:headerReference w:type="first" r:id="rId14"/>
          <w:footerReference w:type="default" r:id="rId15"/>
          <w:footerReference w:type="first" r:id="rId16"/>
          <w:type w:val="continuous"/>
          <w:pgSz w:w="11906" w:h="16838"/>
          <w:pgMar w:top="2041" w:right="1531" w:bottom="2041" w:left="1531" w:header="851" w:footer="992" w:gutter="0"/>
          <w:pgNumType w:fmt="numberInDash"/>
          <w:titlePg/>
          <w:docGrid w:type="lines" w:linePitch="312" w:charSpace="0"/>
        </w:sectPr>
      </w:pPr>
    </w:p>
    <w:p>
      <w:pP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color w:val="000000"/>
          <w:sz w:val="72"/>
        </w:rPr>
      </w:pPr>
    </w:p>
    <w:p>
      <w:pPr>
        <w:rPr>
          <w:color w:val="000000"/>
        </w:rPr>
      </w:pPr>
      <w:r>
        <mc:AlternateContent>
          <mc:Choice Requires="wps">
            <w:drawing>
              <wp:anchor distT="0" distB="0" distL="114298" distR="114298" simplePos="0" relativeHeight="51" behindDoc="0" locked="0" layoutInCell="1" hidden="0" allowOverlap="1">
                <wp:simplePos x="0" y="0"/>
                <wp:positionH relativeFrom="column">
                  <wp:posOffset>-964564</wp:posOffset>
                </wp:positionH>
                <wp:positionV relativeFrom="paragraph">
                  <wp:posOffset>40005</wp:posOffset>
                </wp:positionV>
                <wp:extent cx="7793355" cy="3341370"/>
                <wp:effectExtent l="0" t="0" r="0" b="0"/>
                <wp:wrapNone/>
                <wp:docPr id="129" name="文本框"/>
                <wp:cNvGraphicFramePr>
                  <a:graphicFrameLocks noChangeAspect="0"/>
                </wp:cNvGraphicFramePr>
                <a:graphic>
                  <a:graphicData uri="http://schemas.microsoft.com/office/word/2010/wordprocessingShape">
                    <wps:wsp>
                      <wps:cNvSpPr/>
                      <wps:spPr>
                        <a:xfrm rot="0">
                          <a:off x="0" y="0"/>
                          <a:ext cx="7793355" cy="3341370"/>
                        </a:xfrm>
                        <a:prstGeom prst="rect"/>
                        <a:pattFill prst="pct5">
                          <a:fgClr>
                            <a:srgbClr val="FFD966"/>
                          </a:fgClr>
                          <a:bgClr>
                            <a:srgbClr val="FFFFFF"/>
                          </a:bgClr>
                        </a:pattFill>
                        <a:ln w="6350" cmpd="sng" cap="flat">
                          <a:solidFill>
                            <a:srgbClr val="FFD966"/>
                          </a:solidFill>
                          <a:prstDash val="solid"/>
                          <a:miter/>
                        </a:ln>
                      </wps:spPr>
                      <wps:txbx id="130">
                        <w:txbxContent>
                          <w:p>
                            <w:pPr>
                              <w:widowControl/>
                              <w:jc w:val="center"/>
                            </w:pPr>
                            <w:r>
                              <w:rPr>
                                <w:rFonts w:ascii="黑体" w:eastAsia="黑体" w:cs="黑体" w:hint="eastAsia"/>
                                <w:color w:val="000000"/>
                                <w:sz w:val="90"/>
                                <w:szCs w:val="90"/>
                              </w:rPr>
                              <w:t>第三部分</w:t>
                            </w:r>
                            <w:r>
                              <w:rPr>
                                <w:rFonts w:ascii="黑体" w:eastAsia="黑体" w:cs="黑体"/>
                                <w:color w:val="000000"/>
                                <w:sz w:val="90"/>
                                <w:szCs w:val="90"/>
                              </w:rPr>
                              <w:t xml:space="preserve"> </w:t>
                            </w:r>
                            <w:r>
                              <w:rPr>
                                <w:rFonts w:ascii="黑体" w:eastAsia="黑体" w:cs="黑体" w:hint="eastAsia"/>
                                <w:color w:val="000000"/>
                                <w:sz w:val="90"/>
                                <w:szCs w:val="90"/>
                              </w:rPr>
                              <w:t>相关名词解释</w:t>
                            </w:r>
                          </w:p>
                        </w:txbxContent>
                      </wps:txbx>
                      <wps:bodyPr vert="horz" wrap="square" lIns="91440" tIns="45720" rIns="91440" bIns="45720" anchor="ctr" anchorCtr="0" upright="1">
                        <a:noAutofit/>
                      </wps:bodyPr>
                    </wps:wsp>
                  </a:graphicData>
                </a:graphic>
              </wp:anchor>
            </w:drawing>
          </mc:Choice>
          <mc:Fallback>
            <w:pict>
              <v:shape type="#_x0000_t202" id="文本框 131" o:spid="_x0000_s131" fillcolor="#FFD966" stroked="t" strokeweight="0.5pt" style="position:absolute;margin-left:-75.95pt;margin-top:3.15pt;width:613.65pt;height:263.1pt;z-index:51;mso-position-horizontal:absolute;mso-position-vertical:absolute;mso-wrap-distance-left:8.999863pt;mso-wrap-distance-right:8.999863pt;mso-wrap-style:square;">
                <v:fill r:id="rId18" o:title="5%" color2="#FFFFFF" type="pattern"/>
                <v:stroke color="#FFD966"/>
                <v:textbox id="850" inset="2.54mm,1.27mm,2.54mm,1.27mm" o:insetmode="custom" style="layout-flow:horizontal;v-text-anchor:middle;">
                  <w:txbxContent>
                    <w:p>
                      <w:pPr>
                        <w:widowControl/>
                        <w:jc w:val="center"/>
                      </w:pPr>
                      <w:r>
                        <w:rPr>
                          <w:rFonts w:ascii="黑体" w:eastAsia="黑体" w:cs="黑体" w:hint="eastAsia"/>
                          <w:color w:val="000000"/>
                          <w:sz w:val="90"/>
                          <w:szCs w:val="90"/>
                        </w:rPr>
                        <w:t>第三部分</w:t>
                      </w:r>
                      <w:r>
                        <w:rPr>
                          <w:rFonts w:ascii="黑体" w:eastAsia="黑体" w:cs="黑体"/>
                          <w:color w:val="000000"/>
                          <w:sz w:val="90"/>
                          <w:szCs w:val="90"/>
                        </w:rPr>
                        <w:t xml:space="preserve"> </w:t>
                      </w:r>
                      <w:r>
                        <w:rPr>
                          <w:rFonts w:ascii="黑体" w:eastAsia="黑体" w:cs="黑体" w:hint="eastAsia"/>
                          <w:color w:val="000000"/>
                          <w:sz w:val="90"/>
                          <w:szCs w:val="90"/>
                        </w:rPr>
                        <w:t>相关名词解释</w:t>
                      </w:r>
                    </w:p>
                  </w:txbxContent>
                </v:textbox>
              </v:shape>
            </w:pict>
          </mc:Fallback>
        </mc:AlternateConten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tabs>
          <w:tab w:val="left" w:pos="886"/>
        </w:tabs>
        <w:jc w:val="left"/>
        <w:rPr>
          <w:color w:val="000000"/>
        </w:rPr>
        <w:sectPr>
          <w:headerReference w:type="first" r:id="rId17"/>
          <w:pgSz w:w="11906" w:h="16838"/>
          <w:pgMar w:top="2041" w:right="1531" w:bottom="2041" w:left="1531" w:header="851" w:footer="992" w:gutter="0"/>
          <w:pgNumType w:fmt="numberInDash"/>
          <w:titlePg/>
          <w:docGrid w:type="lines" w:linePitch="312" w:charSpace="0"/>
        </w:sectPr>
      </w:pPr>
    </w:p>
    <w:p>
      <w:pPr>
        <w:widowControl/>
        <w:spacing w:line="560" w:lineRule="exact"/>
        <w:ind w:firstLineChars="200" w:firstLine="640"/>
        <w:rPr>
          <w:rFonts w:ascii="仿宋_GB2312" w:eastAsia="仿宋_GB2312" w:cs="Times New Roman"/>
          <w:b/>
          <w:bCs/>
          <w:color w:val="000000"/>
          <w:kern w:val="0"/>
          <w:sz w:val="32"/>
          <w:szCs w:val="32"/>
        </w:rPr>
      </w:pP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（一）财政拨款收入：</w:t>
      </w:r>
      <w:r>
        <w:rPr>
          <w:rFonts w:ascii="仿宋_GB2312" w:eastAsia="仿宋_GB2312" w:cs="Times New Roman" w:hint="eastAsia"/>
          <w:color w:val="000000"/>
          <w:kern w:val="0"/>
          <w:sz w:val="32"/>
          <w:szCs w:val="32"/>
        </w:rPr>
        <w:t>本年度从本级财政部门取得的财政拨款，包括一般公共预算财政拨款和政府性基金预算财政拨款。</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（二）事业收入：</w:t>
      </w:r>
      <w:r>
        <w:rPr>
          <w:rFonts w:ascii="仿宋_GB2312" w:eastAsia="仿宋_GB2312" w:cs="Times New Roman" w:hint="eastAsia"/>
          <w:color w:val="000000"/>
          <w:kern w:val="0"/>
          <w:sz w:val="32"/>
          <w:szCs w:val="32"/>
        </w:rPr>
        <w:t>指事业单位开展专业业务活动及辅助活动所取得的收入。</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（三）其他收入：</w:t>
      </w:r>
      <w:r>
        <w:rPr>
          <w:rFonts w:ascii="仿宋_GB2312" w:eastAsia="仿宋_GB2312" w:cs="Times New Roman" w:hint="eastAsia"/>
          <w:color w:val="000000"/>
          <w:kern w:val="0"/>
          <w:sz w:val="32"/>
          <w:szCs w:val="32"/>
        </w:rPr>
        <w:t>指除上述“财政拨款收入”“事业收入”“经营收入”等以外的收入。</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（四）用事业基金弥补收支差额：</w:t>
      </w:r>
      <w:r>
        <w:rPr>
          <w:rFonts w:ascii="仿宋_GB2312" w:eastAsia="仿宋_GB2312" w:cs="Times New Roman"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（五）年初结转和结余：</w:t>
      </w:r>
      <w:r>
        <w:rPr>
          <w:rFonts w:ascii="仿宋_GB2312" w:eastAsia="仿宋_GB2312" w:cs="Times New Roman" w:hint="eastAsia"/>
          <w:color w:val="000000"/>
          <w:kern w:val="0"/>
          <w:sz w:val="32"/>
          <w:szCs w:val="32"/>
        </w:rPr>
        <w:t>指以前年度尚未完成、结转到本年仍按原规定用途继续使用的资金，或项目已完成等产生的结余资金。</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（六）结余分配：</w:t>
      </w:r>
      <w:r>
        <w:rPr>
          <w:rFonts w:ascii="仿宋_GB2312" w:eastAsia="仿宋_GB2312" w:cs="Times New Roman" w:hint="eastAsia"/>
          <w:color w:val="000000"/>
          <w:kern w:val="0"/>
          <w:sz w:val="32"/>
          <w:szCs w:val="32"/>
        </w:rPr>
        <w:t>指事业单位按照事业单位会计制度的规定从非财政补助结余中分配的事业基金和职工福利基金等。</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（七）年末结转和结余：</w:t>
      </w:r>
      <w:r>
        <w:rPr>
          <w:rFonts w:ascii="仿宋_GB2312" w:eastAsia="仿宋_GB2312" w:cs="Times New Roman" w:hint="eastAsia"/>
          <w:color w:val="000000"/>
          <w:kern w:val="0"/>
          <w:sz w:val="32"/>
          <w:szCs w:val="32"/>
        </w:rPr>
        <w:t>指单位按有关规定结转到下年或以后年度继续使用的资金，或项目已完成等产生的结余资金。</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（八）基本支出：</w:t>
      </w:r>
      <w:r>
        <w:rPr>
          <w:rFonts w:ascii="仿宋_GB2312" w:eastAsia="仿宋_GB2312" w:cs="Times New Roman" w:hint="eastAsia"/>
          <w:color w:val="000000"/>
          <w:kern w:val="0"/>
          <w:sz w:val="32"/>
          <w:szCs w:val="32"/>
        </w:rPr>
        <w:t>填列单位为保障机构正常运转、完成日常工作任务而发生的各项支出。</w:t>
      </w:r>
    </w:p>
    <w:p>
      <w:pPr>
        <w:widowControl/>
        <w:spacing w:line="560" w:lineRule="exact"/>
        <w:ind w:firstLineChars="200" w:firstLine="640"/>
        <w:rPr>
          <w:rFonts w:ascii="仿宋_GB2312" w:eastAsia="仿宋_GB2312" w:cs="Times New Roman"/>
          <w:b/>
          <w:bCs/>
          <w:color w:val="000000"/>
          <w:kern w:val="0"/>
          <w:sz w:val="32"/>
          <w:szCs w:val="32"/>
        </w:rPr>
      </w:pP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（九）项目支出：</w:t>
      </w:r>
      <w:r>
        <w:rPr>
          <w:rFonts w:ascii="仿宋_GB2312" w:eastAsia="仿宋_GB2312" w:cs="Times New Roman" w:hint="eastAsia"/>
          <w:color w:val="000000"/>
          <w:kern w:val="0"/>
          <w:sz w:val="32"/>
          <w:szCs w:val="32"/>
        </w:rPr>
        <w:t>填列单位为完成特定的行政工作任务或事业发展目标，在基本支出之外发生的各项支出</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（十）基本建设支出：</w:t>
      </w:r>
      <w:r>
        <w:rPr>
          <w:rFonts w:ascii="仿宋_GB2312" w:eastAsia="仿宋_GB2312" w:cs="Times New Roman"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（十一）其他资本性支出：</w:t>
      </w:r>
      <w:r>
        <w:rPr>
          <w:rFonts w:ascii="仿宋_GB2312" w:eastAsia="仿宋_GB2312" w:cs="Times New Roman"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（十二）“三公”经费：</w:t>
      </w:r>
      <w:r>
        <w:rPr>
          <w:rFonts w:ascii="仿宋_GB2312" w:eastAsia="仿宋_GB2312" w:cs="Times New Roman"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（十三）其他交通费用：</w:t>
      </w:r>
      <w:r>
        <w:rPr>
          <w:rFonts w:ascii="仿宋_GB2312" w:eastAsia="仿宋_GB2312" w:cs="Times New Roman" w:hint="eastAsia"/>
          <w:color w:val="000000"/>
          <w:kern w:val="0"/>
          <w:sz w:val="32"/>
          <w:szCs w:val="32"/>
        </w:rPr>
        <w:t>填列单位除公务用车运行维护费以外的其他交通费用。如公务交通补贴、租车费用、出租车费用，</w:t>
      </w:r>
    </w:p>
    <w:p>
      <w:pPr>
        <w:snapToGrid w:val="0"/>
        <w:spacing w:line="560" w:lineRule="exact"/>
        <w:ind w:firstLineChars="200" w:firstLine="640"/>
        <w:rPr>
          <w:rFonts w:ascii="仿宋_GB2312" w:eastAsia="仿宋_GB2312" w:cs="Times New Roman"/>
          <w:color w:val="000000"/>
          <w:kern w:val="0"/>
          <w:sz w:val="32"/>
          <w:szCs w:val="32"/>
        </w:rPr>
      </w:pPr>
    </w:p>
    <w:p>
      <w:pPr>
        <w:snapToGrid w:val="0"/>
        <w:spacing w:line="560" w:lineRule="exact"/>
        <w:rPr>
          <w:rFonts w:ascii="仿宋_GB2312" w:eastAsia="仿宋_GB2312" w:cs="Times New Roman"/>
          <w:color w:val="000000"/>
          <w:kern w:val="0"/>
          <w:sz w:val="32"/>
          <w:szCs w:val="32"/>
        </w:rPr>
      </w:pPr>
      <w:r>
        <w:rPr>
          <w:rFonts w:ascii="仿宋_GB2312" w:eastAsia="仿宋_GB2312" w:cs="Times New Roman" w:hint="eastAsia"/>
          <w:color w:val="000000"/>
          <w:kern w:val="0"/>
          <w:sz w:val="32"/>
          <w:szCs w:val="32"/>
        </w:rPr>
        <w:t>飞机、船舶等燃料费、维修费、保险费等。</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（十四）公务用车购置：</w:t>
      </w:r>
      <w:r>
        <w:rPr>
          <w:rFonts w:ascii="仿宋_GB2312" w:eastAsia="仿宋_GB2312" w:cs="Times New Roman" w:hint="eastAsia"/>
          <w:color w:val="000000"/>
          <w:kern w:val="0"/>
          <w:sz w:val="32"/>
          <w:szCs w:val="32"/>
        </w:rPr>
        <w:t>填列单位公务用车车辆购置支出（含车辆购置税、牌照费）。</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（十五）其他交通工具购置：</w:t>
      </w:r>
      <w:r>
        <w:rPr>
          <w:rFonts w:ascii="仿宋_GB2312" w:eastAsia="仿宋_GB2312" w:cs="Times New Roman" w:hint="eastAsia"/>
          <w:color w:val="000000"/>
          <w:kern w:val="0"/>
          <w:sz w:val="32"/>
          <w:szCs w:val="32"/>
        </w:rPr>
        <w:t>填列单位除公务用车外的其他各类交通工具（如船舶、飞机等）购置支出（含车辆购置税、牌照费）。</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（十六）机关运行经费：</w:t>
      </w:r>
      <w:r>
        <w:rPr>
          <w:rFonts w:ascii="仿宋_GB2312" w:eastAsia="仿宋_GB2312" w:cs="Times New Roman"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ind w:firstLineChars="200" w:firstLine="640"/>
        <w:jc w:val="left"/>
        <w:rPr>
          <w:rFonts w:ascii="仿宋_GB2312" w:eastAsia="仿宋_GB2312" w:cs="ArialUnicodeMS"/>
          <w:color w:val="000000"/>
          <w:kern w:val="0"/>
          <w:sz w:val="32"/>
          <w:szCs w:val="32"/>
        </w:rPr>
      </w:pPr>
      <w:r>
        <w:rPr>
          <w:rFonts w:ascii="仿宋_GB2312" w:eastAsia="仿宋_GB2312" w:cs="Times New Roman" w:hint="eastAsia"/>
          <w:b/>
          <w:bCs/>
          <w:color w:val="000000"/>
          <w:kern w:val="0"/>
          <w:sz w:val="32"/>
          <w:szCs w:val="32"/>
        </w:rPr>
        <w:t>（十七）经费形式</w:t>
      </w:r>
      <w:r>
        <w:rPr>
          <w:rFonts w:ascii="仿宋_GB2312" w:eastAsia="仿宋_GB2312" w:cs="Times New Roman"/>
          <w:b/>
          <w:bCs/>
          <w:color w:val="000000"/>
          <w:kern w:val="0"/>
          <w:sz w:val="32"/>
          <w:szCs w:val="32"/>
        </w:rPr>
        <w:t>:</w:t>
      </w:r>
      <w:r>
        <w:rPr>
          <w:rFonts w:ascii="仿宋_GB2312" w:eastAsia="仿宋_GB2312" w:cs="Times New Roman" w:hint="eastAsia"/>
          <w:color w:val="000000"/>
          <w:kern w:val="0"/>
          <w:sz w:val="32"/>
          <w:szCs w:val="32"/>
        </w:rPr>
        <w:t>按照经费来源，</w:t>
      </w:r>
      <w:r>
        <w:rPr>
          <w:rFonts w:ascii="仿宋_GB2312" w:eastAsia="仿宋_GB2312" w:cs="ArialUnicodeMS" w:hint="eastAsia"/>
          <w:color w:val="000000"/>
          <w:kern w:val="0"/>
          <w:sz w:val="32"/>
          <w:szCs w:val="32"/>
        </w:rPr>
        <w:t>可分为财政拨款、财政性资金基本保证、财政性资金定额或定项补助、财政性资金零补助四类。</w:t>
      </w:r>
    </w:p>
    <w:p>
      <w:pPr>
        <w:rPr>
          <w:color w:val="000000"/>
        </w:rPr>
      </w:pPr>
    </w:p>
    <w:p>
      <w:pPr>
        <w:rPr>
          <w:color w:val="000000"/>
        </w:rPr>
      </w:pPr>
    </w:p>
    <w:p>
      <w:pPr>
        <w:rPr>
          <w:color w:val="000000"/>
        </w:rPr>
      </w:pPr>
    </w:p>
    <w:p>
      <w:pPr>
        <w:rPr>
          <w:color w:val="000000"/>
        </w:rPr>
      </w:pPr>
    </w:p>
    <w:p>
      <w:pPr>
        <w:tabs>
          <w:tab w:val="left" w:pos="235"/>
        </w:tabs>
        <w:jc w:val="left"/>
        <w:rPr>
          <w:color w:val="000000"/>
        </w:rPr>
      </w:pPr>
    </w:p>
    <w:p>
      <w:pPr>
        <w:tabs>
          <w:tab w:val="left" w:pos="235"/>
        </w:tabs>
        <w:jc w:val="left"/>
        <w:rPr>
          <w:color w:val="000000"/>
        </w:rPr>
        <w:sectPr>
          <w:headerReference w:type="default" r:id="rId19"/>
          <w:pgSz w:w="11906" w:h="16838"/>
          <w:pgMar w:top="2098" w:right="1474" w:bottom="1985" w:left="1588" w:header="851" w:footer="992" w:gutter="0"/>
          <w:pgNumType w:fmt="numberInDash"/>
          <w:docGrid w:type="lines" w:linePitch="312" w:charSpace="0"/>
        </w:sectPr>
      </w:pPr>
    </w:p>
    <w:p>
      <w:pPr>
        <w:rPr>
          <w:color w:val="000000"/>
        </w:rPr>
      </w:pPr>
      <w:r>
        <mc:AlternateContent>
          <mc:Choice Requires="wps">
            <w:drawing>
              <wp:anchor distT="0" distB="0" distL="114298" distR="114298" simplePos="0" relativeHeight="52" behindDoc="0" locked="0" layoutInCell="1" hidden="0" allowOverlap="1">
                <wp:simplePos x="0" y="0"/>
                <wp:positionH relativeFrom="column">
                  <wp:posOffset>-994410</wp:posOffset>
                </wp:positionH>
                <wp:positionV relativeFrom="paragraph">
                  <wp:posOffset>2275840</wp:posOffset>
                </wp:positionV>
                <wp:extent cx="7793355" cy="3341370"/>
                <wp:effectExtent l="0" t="0" r="0" b="0"/>
                <wp:wrapNone/>
                <wp:docPr id="140" name="文本框"/>
                <wp:cNvGraphicFramePr>
                  <a:graphicFrameLocks noChangeAspect="0"/>
                </wp:cNvGraphicFramePr>
                <a:graphic>
                  <a:graphicData uri="http://schemas.microsoft.com/office/word/2010/wordprocessingShape">
                    <wps:wsp>
                      <wps:cNvSpPr/>
                      <wps:spPr>
                        <a:xfrm rot="0">
                          <a:off x="0" y="0"/>
                          <a:ext cx="7793355" cy="3341370"/>
                        </a:xfrm>
                        <a:prstGeom prst="rect"/>
                        <a:pattFill prst="pct5">
                          <a:fgClr>
                            <a:srgbClr val="FFD966"/>
                          </a:fgClr>
                          <a:bgClr>
                            <a:srgbClr val="FFFFFF"/>
                          </a:bgClr>
                        </a:pattFill>
                        <a:ln w="6350" cmpd="sng" cap="flat">
                          <a:solidFill>
                            <a:srgbClr val="FFD966"/>
                          </a:solidFill>
                          <a:prstDash val="solid"/>
                          <a:miter/>
                        </a:ln>
                      </wps:spPr>
                      <wps:txbx id="141">
                        <w:txbxContent>
                          <w:p>
                            <w:pPr>
                              <w:widowControl/>
                              <w:jc w:val="center"/>
                              <w:rPr>
                                <w:rFonts w:ascii="黑体" w:eastAsia="黑体" w:cs="黑体"/>
                                <w:color w:val="000000"/>
                                <w:sz w:val="90"/>
                                <w:szCs w:val="90"/>
                              </w:rPr>
                            </w:pPr>
                            <w:r>
                              <w:rPr>
                                <w:rFonts w:ascii="黑体" w:eastAsia="黑体" w:cs="黑体" w:hint="eastAsia"/>
                                <w:color w:val="000000"/>
                                <w:sz w:val="90"/>
                                <w:szCs w:val="90"/>
                              </w:rPr>
                              <w:t>第四部分</w:t>
                            </w:r>
                            <w:r>
                              <w:rPr>
                                <w:rFonts w:ascii="黑体" w:eastAsia="黑体" w:cs="黑体"/>
                                <w:color w:val="000000"/>
                                <w:sz w:val="90"/>
                                <w:szCs w:val="90"/>
                              </w:rPr>
                              <w:t xml:space="preserve"> </w:t>
                            </w:r>
                          </w:p>
                          <w:p>
                            <w:pPr>
                              <w:widowControl/>
                              <w:jc w:val="center"/>
                            </w:pPr>
                            <w:r>
                              <w:rPr>
                                <w:rFonts w:ascii="黑体" w:eastAsia="黑体" w:cs="黑体"/>
                                <w:color w:val="000000"/>
                                <w:sz w:val="90"/>
                                <w:szCs w:val="90"/>
                              </w:rPr>
                              <w:t>2019</w:t>
                            </w:r>
                            <w:r>
                              <w:rPr>
                                <w:rFonts w:ascii="黑体" w:eastAsia="黑体" w:cs="黑体" w:hint="eastAsia"/>
                                <w:color w:val="000000"/>
                                <w:sz w:val="90"/>
                                <w:szCs w:val="90"/>
                              </w:rPr>
                              <w:t>年度部门决算报表</w:t>
                            </w:r>
                          </w:p>
                        </w:txbxContent>
                      </wps:txbx>
                      <wps:bodyPr vert="horz" wrap="square" lIns="91440" tIns="45720" rIns="91440" bIns="45720" anchor="ctr" anchorCtr="0" upright="1">
                        <a:noAutofit/>
                      </wps:bodyPr>
                    </wps:wsp>
                  </a:graphicData>
                </a:graphic>
              </wp:anchor>
            </w:drawing>
          </mc:Choice>
          <mc:Fallback>
            <w:pict>
              <v:shape type="#_x0000_t202" id="文本框 142" o:spid="_x0000_s142" fillcolor="#FFD966" stroked="t" strokeweight="0.5pt" style="position:absolute;margin-left:-78.3pt;margin-top:179.2pt;width:613.65pt;height:263.1pt;z-index:52;mso-position-horizontal:absolute;mso-position-vertical:absolute;mso-wrap-distance-left:8.999863pt;mso-wrap-distance-right:8.999863pt;mso-wrap-style:square;">
                <v:fill r:id="rId21" o:title="5%" color2="#FFFFFF" type="pattern"/>
                <v:stroke color="#FFD966"/>
                <v:textbox id="851" inset="2.54mm,1.27mm,2.54mm,1.27mm" o:insetmode="custom" style="layout-flow:horizontal;v-text-anchor:middle;">
                  <w:txbxContent>
                    <w:p>
                      <w:pPr>
                        <w:widowControl/>
                        <w:jc w:val="center"/>
                        <w:rPr>
                          <w:rFonts w:ascii="黑体" w:eastAsia="黑体" w:cs="黑体"/>
                          <w:color w:val="000000"/>
                          <w:sz w:val="90"/>
                          <w:szCs w:val="90"/>
                        </w:rPr>
                      </w:pPr>
                      <w:r>
                        <w:rPr>
                          <w:rFonts w:ascii="黑体" w:eastAsia="黑体" w:cs="黑体" w:hint="eastAsia"/>
                          <w:color w:val="000000"/>
                          <w:sz w:val="90"/>
                          <w:szCs w:val="90"/>
                        </w:rPr>
                        <w:t>第四部分</w:t>
                      </w:r>
                      <w:r>
                        <w:rPr>
                          <w:rFonts w:ascii="黑体" w:eastAsia="黑体" w:cs="黑体"/>
                          <w:color w:val="000000"/>
                          <w:sz w:val="90"/>
                          <w:szCs w:val="90"/>
                        </w:rPr>
                        <w:t xml:space="preserve"> </w:t>
                      </w:r>
                    </w:p>
                    <w:p>
                      <w:pPr>
                        <w:widowControl/>
                        <w:jc w:val="center"/>
                      </w:pPr>
                      <w:r>
                        <w:rPr>
                          <w:rFonts w:ascii="黑体" w:eastAsia="黑体" w:cs="黑体"/>
                          <w:color w:val="000000"/>
                          <w:sz w:val="90"/>
                          <w:szCs w:val="90"/>
                        </w:rPr>
                        <w:t>2019</w:t>
                      </w:r>
                      <w:r>
                        <w:rPr>
                          <w:rFonts w:ascii="黑体" w:eastAsia="黑体" w:cs="黑体" w:hint="eastAsia"/>
                          <w:color w:val="000000"/>
                          <w:sz w:val="90"/>
                          <w:szCs w:val="90"/>
                        </w:rPr>
                        <w:t>年度部门决算报表</w:t>
                      </w:r>
                    </w:p>
                  </w:txbxContent>
                </v:textbox>
              </v:shape>
            </w:pict>
          </mc:Fallback>
        </mc:AlternateContent>
      </w:r>
    </w:p>
    <w:p>
      <w:pPr>
        <w:tabs>
          <w:tab w:val="left" w:pos="235"/>
        </w:tabs>
        <w:jc w:val="left"/>
        <w:rPr>
          <w:color w:val="000000"/>
        </w:rPr>
        <w:sectPr>
          <w:headerReference w:type="default" r:id="rId20"/>
          <w:pgSz w:w="11906" w:h="16838"/>
          <w:pgMar w:top="2098" w:right="1474" w:bottom="1985" w:left="1588" w:header="851" w:footer="992" w:gutter="0"/>
          <w:pgNumType w:fmt="numberInDash"/>
          <w:docGrid w:type="lines" w:linePitch="312" w:charSpace="0"/>
        </w:sectPr>
      </w:pPr>
    </w:p>
    <w:tbl>
      <w:tblPr>
        <w:tblpPr w:leftFromText="180" w:rightFromText="180" w:vertAnchor="text" w:horzAnchor="page" w:tblpXSpec="center" w:tblpY="31"/>
        <w:tblOverlap w:val="never"/>
        <w:tblW w:w="9517"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236"/>
        <w:gridCol w:w="731"/>
        <w:gridCol w:w="691"/>
        <w:gridCol w:w="3474"/>
        <w:gridCol w:w="541"/>
        <w:gridCol w:w="844"/>
      </w:tblGrid>
      <w:tr>
        <w:trPr>
          <w:trHeight w:val="489"/>
        </w:trPr>
        <w:tc>
          <w:tcPr>
            <w:tcW w:w="9517" w:type="dxa"/>
            <w:gridSpan w:val="6"/>
            <w:tcBorders>
              <w:top w:val="nil"/>
              <w:left w:val="nil"/>
              <w:bottom w:val="nil"/>
              <w:right w:val="nil"/>
            </w:tcBorders>
            <w:tcMar>
              <w:top w:w="15" w:type="dxa"/>
              <w:left w:w="15" w:type="dxa"/>
              <w:right w:w="15" w:type="dxa"/>
            </w:tcMar>
            <w:vAlign w:val="bottom"/>
          </w:tcPr>
          <w:p>
            <w:pPr>
              <w:spacing w:line="400" w:lineRule="exact"/>
              <w:jc w:val="center"/>
              <w:rPr>
                <w:rFonts w:ascii="黑体" w:eastAsia="黑体" w:cs="黑体"/>
                <w:color w:val="000000"/>
                <w:sz w:val="32"/>
                <w:szCs w:val="32"/>
              </w:rPr>
            </w:pPr>
            <w:r>
              <w:rPr>
                <w:rFonts w:ascii="黑体" w:eastAsia="黑体" w:cs="黑体" w:hint="eastAsia"/>
                <w:color w:val="000000"/>
                <w:kern w:val="0"/>
                <w:sz w:val="32"/>
                <w:szCs w:val="32"/>
              </w:rPr>
              <w:t>收入支出决算总表</w:t>
            </w:r>
          </w:p>
        </w:tc>
      </w:tr>
      <w:tr>
        <w:trPr>
          <w:trHeight w:val="205"/>
        </w:trPr>
        <w:tc>
          <w:tcPr>
            <w:tcW w:w="3236" w:type="dxa"/>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731" w:type="dxa"/>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691" w:type="dxa"/>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4859" w:type="dxa"/>
            <w:gridSpan w:val="3"/>
            <w:tcBorders>
              <w:top w:val="nil"/>
              <w:left w:val="nil"/>
              <w:bottom w:val="nil"/>
              <w:right w:val="nil"/>
            </w:tcBorders>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01</w:t>
            </w:r>
            <w:r>
              <w:rPr>
                <w:rFonts w:ascii="宋体" w:eastAsia="宋体" w:cs="宋体" w:hint="eastAsia"/>
                <w:color w:val="000000"/>
                <w:kern w:val="0"/>
                <w:sz w:val="20"/>
                <w:szCs w:val="20"/>
              </w:rPr>
              <w:t>表</w:t>
            </w:r>
          </w:p>
        </w:tc>
      </w:tr>
      <w:tr>
        <w:trPr>
          <w:trHeight w:val="421"/>
        </w:trPr>
        <w:tc>
          <w:tcPr>
            <w:tcW w:w="3236" w:type="dxa"/>
            <w:tcBorders>
              <w:top w:val="nil"/>
              <w:left w:val="nil"/>
              <w:bottom w:val="nil"/>
              <w:right w:val="nil"/>
            </w:tcBorders>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731" w:type="dxa"/>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691" w:type="dxa"/>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4859" w:type="dxa"/>
            <w:gridSpan w:val="3"/>
            <w:tcBorders>
              <w:top w:val="nil"/>
              <w:left w:val="nil"/>
              <w:bottom w:val="nil"/>
              <w:right w:val="nil"/>
            </w:tcBorders>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trPr>
          <w:trHeight w:val="284"/>
        </w:trPr>
        <w:tc>
          <w:tcPr>
            <w:tcW w:w="465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收入</w:t>
            </w:r>
          </w:p>
        </w:tc>
        <w:tc>
          <w:tcPr>
            <w:tcW w:w="4859" w:type="dxa"/>
            <w:gridSpan w:val="3"/>
            <w:tcBorders>
              <w:top w:val="single" w:sz="4" w:space="0" w:color="000000"/>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支出</w:t>
            </w:r>
          </w:p>
        </w:tc>
      </w:tr>
      <w:tr>
        <w:trPr>
          <w:trHeight w:val="770"/>
        </w:trPr>
        <w:tc>
          <w:tcPr>
            <w:tcW w:w="323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731"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691"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c>
          <w:tcPr>
            <w:tcW w:w="3474"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541"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844"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r>
      <w:tr>
        <w:trPr>
          <w:trHeight w:val="213"/>
        </w:trPr>
        <w:tc>
          <w:tcPr>
            <w:tcW w:w="323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731"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　</w:t>
            </w:r>
          </w:p>
        </w:tc>
        <w:tc>
          <w:tcPr>
            <w:tcW w:w="691"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3474"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541"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　</w:t>
            </w:r>
          </w:p>
        </w:tc>
        <w:tc>
          <w:tcPr>
            <w:tcW w:w="844"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w:t>
            </w:r>
          </w:p>
        </w:tc>
      </w:tr>
      <w:tr>
        <w:trPr>
          <w:trHeight w:val="213"/>
        </w:trPr>
        <w:tc>
          <w:tcPr>
            <w:tcW w:w="323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一、一般公共预算财政拨款收入</w:t>
            </w:r>
          </w:p>
        </w:tc>
        <w:tc>
          <w:tcPr>
            <w:tcW w:w="731"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691"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2,141.92</w:t>
            </w:r>
          </w:p>
        </w:tc>
        <w:tc>
          <w:tcPr>
            <w:tcW w:w="3474" w:type="dxa"/>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一、一般公共服务支出</w:t>
            </w:r>
          </w:p>
        </w:tc>
        <w:tc>
          <w:tcPr>
            <w:tcW w:w="541"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29</w:t>
            </w:r>
          </w:p>
        </w:tc>
        <w:tc>
          <w:tcPr>
            <w:tcW w:w="844"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1,798.94</w:t>
            </w:r>
          </w:p>
        </w:tc>
      </w:tr>
      <w:tr>
        <w:trPr>
          <w:trHeight w:val="213"/>
        </w:trPr>
        <w:tc>
          <w:tcPr>
            <w:tcW w:w="323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二、政府性基金预算财政拨款收入</w:t>
            </w:r>
          </w:p>
        </w:tc>
        <w:tc>
          <w:tcPr>
            <w:tcW w:w="731"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691"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c>
          <w:tcPr>
            <w:tcW w:w="3474" w:type="dxa"/>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二、外交支出</w:t>
            </w:r>
          </w:p>
        </w:tc>
        <w:tc>
          <w:tcPr>
            <w:tcW w:w="541"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30</w:t>
            </w:r>
          </w:p>
        </w:tc>
        <w:tc>
          <w:tcPr>
            <w:tcW w:w="844"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r>
      <w:tr>
        <w:trPr>
          <w:trHeight w:val="182"/>
        </w:trPr>
        <w:tc>
          <w:tcPr>
            <w:tcW w:w="323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三、上级补助收入</w:t>
            </w:r>
          </w:p>
        </w:tc>
        <w:tc>
          <w:tcPr>
            <w:tcW w:w="731"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691"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c>
          <w:tcPr>
            <w:tcW w:w="3474" w:type="dxa"/>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三、国防支出</w:t>
            </w:r>
          </w:p>
        </w:tc>
        <w:tc>
          <w:tcPr>
            <w:tcW w:w="541"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31</w:t>
            </w:r>
          </w:p>
        </w:tc>
        <w:tc>
          <w:tcPr>
            <w:tcW w:w="844"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r>
      <w:tr>
        <w:trPr>
          <w:trHeight w:val="213"/>
        </w:trPr>
        <w:tc>
          <w:tcPr>
            <w:tcW w:w="323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四、事业收入</w:t>
            </w:r>
          </w:p>
        </w:tc>
        <w:tc>
          <w:tcPr>
            <w:tcW w:w="731"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691"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c>
          <w:tcPr>
            <w:tcW w:w="3474" w:type="dxa"/>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四、公共安全支出</w:t>
            </w:r>
          </w:p>
        </w:tc>
        <w:tc>
          <w:tcPr>
            <w:tcW w:w="541"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32</w:t>
            </w:r>
          </w:p>
        </w:tc>
        <w:tc>
          <w:tcPr>
            <w:tcW w:w="844"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r>
      <w:tr>
        <w:trPr>
          <w:trHeight w:val="213"/>
        </w:trPr>
        <w:tc>
          <w:tcPr>
            <w:tcW w:w="323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五、经营收入</w:t>
            </w:r>
          </w:p>
        </w:tc>
        <w:tc>
          <w:tcPr>
            <w:tcW w:w="731"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691"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c>
          <w:tcPr>
            <w:tcW w:w="3474" w:type="dxa"/>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五、教育支出</w:t>
            </w:r>
          </w:p>
        </w:tc>
        <w:tc>
          <w:tcPr>
            <w:tcW w:w="541"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33</w:t>
            </w:r>
          </w:p>
        </w:tc>
        <w:tc>
          <w:tcPr>
            <w:tcW w:w="844"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r>
      <w:tr>
        <w:trPr>
          <w:trHeight w:val="213"/>
        </w:trPr>
        <w:tc>
          <w:tcPr>
            <w:tcW w:w="323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六、附属单位上缴收入</w:t>
            </w:r>
          </w:p>
        </w:tc>
        <w:tc>
          <w:tcPr>
            <w:tcW w:w="731"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6</w:t>
            </w:r>
          </w:p>
        </w:tc>
        <w:tc>
          <w:tcPr>
            <w:tcW w:w="691"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c>
          <w:tcPr>
            <w:tcW w:w="3474" w:type="dxa"/>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六、科学技术支出</w:t>
            </w:r>
          </w:p>
        </w:tc>
        <w:tc>
          <w:tcPr>
            <w:tcW w:w="541"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34</w:t>
            </w:r>
          </w:p>
        </w:tc>
        <w:tc>
          <w:tcPr>
            <w:tcW w:w="844"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r>
      <w:tr>
        <w:trPr>
          <w:trHeight w:val="213"/>
        </w:trPr>
        <w:tc>
          <w:tcPr>
            <w:tcW w:w="323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七、其他收入</w:t>
            </w:r>
          </w:p>
        </w:tc>
        <w:tc>
          <w:tcPr>
            <w:tcW w:w="731"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7</w:t>
            </w:r>
          </w:p>
        </w:tc>
        <w:tc>
          <w:tcPr>
            <w:tcW w:w="691"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131.68</w:t>
            </w:r>
          </w:p>
        </w:tc>
        <w:tc>
          <w:tcPr>
            <w:tcW w:w="3474" w:type="dxa"/>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七、文化旅游体育与传媒支出</w:t>
            </w:r>
          </w:p>
        </w:tc>
        <w:tc>
          <w:tcPr>
            <w:tcW w:w="541"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35</w:t>
            </w:r>
          </w:p>
        </w:tc>
        <w:tc>
          <w:tcPr>
            <w:tcW w:w="844"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r>
      <w:tr>
        <w:trPr>
          <w:trHeight w:val="213"/>
        </w:trPr>
        <w:tc>
          <w:tcPr>
            <w:tcW w:w="323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8</w:t>
            </w:r>
          </w:p>
        </w:tc>
        <w:tc>
          <w:tcPr>
            <w:tcW w:w="691"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16"/>
                <w:szCs w:val="16"/>
              </w:rPr>
            </w:pPr>
          </w:p>
        </w:tc>
        <w:tc>
          <w:tcPr>
            <w:tcW w:w="3474" w:type="dxa"/>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八、社会保障和就业支出</w:t>
            </w:r>
          </w:p>
        </w:tc>
        <w:tc>
          <w:tcPr>
            <w:tcW w:w="541"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36</w:t>
            </w:r>
          </w:p>
        </w:tc>
        <w:tc>
          <w:tcPr>
            <w:tcW w:w="844"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336.07</w:t>
            </w:r>
          </w:p>
        </w:tc>
      </w:tr>
      <w:tr>
        <w:trPr>
          <w:trHeight w:val="213"/>
        </w:trPr>
        <w:tc>
          <w:tcPr>
            <w:tcW w:w="323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9</w:t>
            </w:r>
          </w:p>
        </w:tc>
        <w:tc>
          <w:tcPr>
            <w:tcW w:w="691"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16"/>
                <w:szCs w:val="16"/>
              </w:rPr>
            </w:pPr>
          </w:p>
        </w:tc>
        <w:tc>
          <w:tcPr>
            <w:tcW w:w="3474" w:type="dxa"/>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九、卫生健康支出</w:t>
            </w:r>
          </w:p>
        </w:tc>
        <w:tc>
          <w:tcPr>
            <w:tcW w:w="541"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37</w:t>
            </w:r>
          </w:p>
        </w:tc>
        <w:tc>
          <w:tcPr>
            <w:tcW w:w="844"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46.35</w:t>
            </w:r>
          </w:p>
        </w:tc>
      </w:tr>
      <w:tr>
        <w:trPr>
          <w:trHeight w:val="213"/>
        </w:trPr>
        <w:tc>
          <w:tcPr>
            <w:tcW w:w="323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10</w:t>
            </w:r>
          </w:p>
        </w:tc>
        <w:tc>
          <w:tcPr>
            <w:tcW w:w="691"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16"/>
                <w:szCs w:val="16"/>
              </w:rPr>
            </w:pPr>
          </w:p>
        </w:tc>
        <w:tc>
          <w:tcPr>
            <w:tcW w:w="3474" w:type="dxa"/>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十、节能环保支出</w:t>
            </w:r>
          </w:p>
        </w:tc>
        <w:tc>
          <w:tcPr>
            <w:tcW w:w="541"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38</w:t>
            </w:r>
          </w:p>
        </w:tc>
        <w:tc>
          <w:tcPr>
            <w:tcW w:w="844"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r>
      <w:tr>
        <w:trPr>
          <w:trHeight w:val="213"/>
        </w:trPr>
        <w:tc>
          <w:tcPr>
            <w:tcW w:w="323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11</w:t>
            </w:r>
          </w:p>
        </w:tc>
        <w:tc>
          <w:tcPr>
            <w:tcW w:w="691"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16"/>
                <w:szCs w:val="16"/>
              </w:rPr>
            </w:pPr>
          </w:p>
        </w:tc>
        <w:tc>
          <w:tcPr>
            <w:tcW w:w="3474" w:type="dxa"/>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十一、城乡社区支出</w:t>
            </w:r>
          </w:p>
        </w:tc>
        <w:tc>
          <w:tcPr>
            <w:tcW w:w="541"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39</w:t>
            </w:r>
          </w:p>
        </w:tc>
        <w:tc>
          <w:tcPr>
            <w:tcW w:w="844"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r>
      <w:tr>
        <w:trPr>
          <w:trHeight w:val="213"/>
        </w:trPr>
        <w:tc>
          <w:tcPr>
            <w:tcW w:w="323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12</w:t>
            </w:r>
          </w:p>
        </w:tc>
        <w:tc>
          <w:tcPr>
            <w:tcW w:w="691"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16"/>
                <w:szCs w:val="16"/>
              </w:rPr>
            </w:pPr>
          </w:p>
        </w:tc>
        <w:tc>
          <w:tcPr>
            <w:tcW w:w="3474" w:type="dxa"/>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十二、农林水支出</w:t>
            </w:r>
          </w:p>
        </w:tc>
        <w:tc>
          <w:tcPr>
            <w:tcW w:w="541"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40</w:t>
            </w:r>
          </w:p>
        </w:tc>
        <w:tc>
          <w:tcPr>
            <w:tcW w:w="844"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r>
      <w:tr>
        <w:trPr>
          <w:trHeight w:val="213"/>
        </w:trPr>
        <w:tc>
          <w:tcPr>
            <w:tcW w:w="323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13</w:t>
            </w:r>
          </w:p>
        </w:tc>
        <w:tc>
          <w:tcPr>
            <w:tcW w:w="691"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16"/>
                <w:szCs w:val="16"/>
              </w:rPr>
            </w:pPr>
          </w:p>
        </w:tc>
        <w:tc>
          <w:tcPr>
            <w:tcW w:w="3474" w:type="dxa"/>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十三、交通运输支出</w:t>
            </w:r>
          </w:p>
        </w:tc>
        <w:tc>
          <w:tcPr>
            <w:tcW w:w="541"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41</w:t>
            </w:r>
          </w:p>
        </w:tc>
        <w:tc>
          <w:tcPr>
            <w:tcW w:w="844"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r>
      <w:tr>
        <w:trPr>
          <w:trHeight w:val="213"/>
        </w:trPr>
        <w:tc>
          <w:tcPr>
            <w:tcW w:w="323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14</w:t>
            </w:r>
          </w:p>
        </w:tc>
        <w:tc>
          <w:tcPr>
            <w:tcW w:w="691"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16"/>
                <w:szCs w:val="16"/>
              </w:rPr>
            </w:pPr>
          </w:p>
        </w:tc>
        <w:tc>
          <w:tcPr>
            <w:tcW w:w="3474" w:type="dxa"/>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十四、资源勘探信息等支出</w:t>
            </w:r>
          </w:p>
        </w:tc>
        <w:tc>
          <w:tcPr>
            <w:tcW w:w="541"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42</w:t>
            </w:r>
          </w:p>
        </w:tc>
        <w:tc>
          <w:tcPr>
            <w:tcW w:w="844"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r>
      <w:tr>
        <w:trPr>
          <w:trHeight w:val="213"/>
        </w:trPr>
        <w:tc>
          <w:tcPr>
            <w:tcW w:w="323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15</w:t>
            </w:r>
          </w:p>
        </w:tc>
        <w:tc>
          <w:tcPr>
            <w:tcW w:w="691"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16"/>
                <w:szCs w:val="16"/>
              </w:rPr>
            </w:pPr>
          </w:p>
        </w:tc>
        <w:tc>
          <w:tcPr>
            <w:tcW w:w="3474" w:type="dxa"/>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十五、商业服务业等支出</w:t>
            </w:r>
          </w:p>
        </w:tc>
        <w:tc>
          <w:tcPr>
            <w:tcW w:w="541"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43</w:t>
            </w:r>
          </w:p>
        </w:tc>
        <w:tc>
          <w:tcPr>
            <w:tcW w:w="844"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r>
      <w:tr>
        <w:trPr>
          <w:trHeight w:val="213"/>
        </w:trPr>
        <w:tc>
          <w:tcPr>
            <w:tcW w:w="323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16</w:t>
            </w:r>
          </w:p>
        </w:tc>
        <w:tc>
          <w:tcPr>
            <w:tcW w:w="691"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16"/>
                <w:szCs w:val="16"/>
              </w:rPr>
            </w:pPr>
          </w:p>
        </w:tc>
        <w:tc>
          <w:tcPr>
            <w:tcW w:w="3474" w:type="dxa"/>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十六、金融支出</w:t>
            </w:r>
          </w:p>
        </w:tc>
        <w:tc>
          <w:tcPr>
            <w:tcW w:w="541"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44</w:t>
            </w:r>
          </w:p>
        </w:tc>
        <w:tc>
          <w:tcPr>
            <w:tcW w:w="844"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r>
      <w:tr>
        <w:trPr>
          <w:trHeight w:val="213"/>
        </w:trPr>
        <w:tc>
          <w:tcPr>
            <w:tcW w:w="323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17</w:t>
            </w:r>
          </w:p>
        </w:tc>
        <w:tc>
          <w:tcPr>
            <w:tcW w:w="691"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16"/>
                <w:szCs w:val="16"/>
              </w:rPr>
            </w:pPr>
          </w:p>
        </w:tc>
        <w:tc>
          <w:tcPr>
            <w:tcW w:w="3474" w:type="dxa"/>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十七、援助其他地区支出</w:t>
            </w:r>
          </w:p>
        </w:tc>
        <w:tc>
          <w:tcPr>
            <w:tcW w:w="541"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45</w:t>
            </w:r>
          </w:p>
        </w:tc>
        <w:tc>
          <w:tcPr>
            <w:tcW w:w="844"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r>
      <w:tr>
        <w:trPr>
          <w:trHeight w:val="213"/>
        </w:trPr>
        <w:tc>
          <w:tcPr>
            <w:tcW w:w="323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18</w:t>
            </w:r>
          </w:p>
        </w:tc>
        <w:tc>
          <w:tcPr>
            <w:tcW w:w="691"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16"/>
                <w:szCs w:val="16"/>
              </w:rPr>
            </w:pPr>
          </w:p>
        </w:tc>
        <w:tc>
          <w:tcPr>
            <w:tcW w:w="3474" w:type="dxa"/>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十八、自然资源海洋气象等支出</w:t>
            </w:r>
          </w:p>
        </w:tc>
        <w:tc>
          <w:tcPr>
            <w:tcW w:w="541"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46</w:t>
            </w:r>
          </w:p>
        </w:tc>
        <w:tc>
          <w:tcPr>
            <w:tcW w:w="844"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r>
      <w:tr>
        <w:trPr>
          <w:trHeight w:val="213"/>
        </w:trPr>
        <w:tc>
          <w:tcPr>
            <w:tcW w:w="323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19</w:t>
            </w:r>
          </w:p>
        </w:tc>
        <w:tc>
          <w:tcPr>
            <w:tcW w:w="691"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16"/>
                <w:szCs w:val="16"/>
              </w:rPr>
            </w:pPr>
          </w:p>
        </w:tc>
        <w:tc>
          <w:tcPr>
            <w:tcW w:w="3474" w:type="dxa"/>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十九、住房保障支出</w:t>
            </w:r>
          </w:p>
        </w:tc>
        <w:tc>
          <w:tcPr>
            <w:tcW w:w="541"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47</w:t>
            </w:r>
          </w:p>
        </w:tc>
        <w:tc>
          <w:tcPr>
            <w:tcW w:w="844"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77.70</w:t>
            </w:r>
          </w:p>
        </w:tc>
      </w:tr>
      <w:tr>
        <w:trPr>
          <w:trHeight w:val="213"/>
        </w:trPr>
        <w:tc>
          <w:tcPr>
            <w:tcW w:w="323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20</w:t>
            </w:r>
          </w:p>
        </w:tc>
        <w:tc>
          <w:tcPr>
            <w:tcW w:w="691"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16"/>
                <w:szCs w:val="16"/>
              </w:rPr>
            </w:pPr>
          </w:p>
        </w:tc>
        <w:tc>
          <w:tcPr>
            <w:tcW w:w="3474" w:type="dxa"/>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二十、粮油物资储备支出</w:t>
            </w:r>
          </w:p>
        </w:tc>
        <w:tc>
          <w:tcPr>
            <w:tcW w:w="541"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48</w:t>
            </w:r>
          </w:p>
        </w:tc>
        <w:tc>
          <w:tcPr>
            <w:tcW w:w="844"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r>
      <w:tr>
        <w:trPr>
          <w:trHeight w:val="213"/>
        </w:trPr>
        <w:tc>
          <w:tcPr>
            <w:tcW w:w="323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21</w:t>
            </w:r>
          </w:p>
        </w:tc>
        <w:tc>
          <w:tcPr>
            <w:tcW w:w="691"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16"/>
                <w:szCs w:val="16"/>
              </w:rPr>
            </w:pPr>
          </w:p>
        </w:tc>
        <w:tc>
          <w:tcPr>
            <w:tcW w:w="3474" w:type="dxa"/>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二十一、灾害防治及应急管理支出</w:t>
            </w:r>
          </w:p>
        </w:tc>
        <w:tc>
          <w:tcPr>
            <w:tcW w:w="541"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49</w:t>
            </w:r>
          </w:p>
        </w:tc>
        <w:tc>
          <w:tcPr>
            <w:tcW w:w="844"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r>
      <w:tr>
        <w:trPr>
          <w:trHeight w:val="213"/>
        </w:trPr>
        <w:tc>
          <w:tcPr>
            <w:tcW w:w="323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22</w:t>
            </w:r>
          </w:p>
        </w:tc>
        <w:tc>
          <w:tcPr>
            <w:tcW w:w="691"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16"/>
                <w:szCs w:val="16"/>
              </w:rPr>
            </w:pPr>
          </w:p>
        </w:tc>
        <w:tc>
          <w:tcPr>
            <w:tcW w:w="3474" w:type="dxa"/>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二十二、其他支出</w:t>
            </w:r>
          </w:p>
        </w:tc>
        <w:tc>
          <w:tcPr>
            <w:tcW w:w="541"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50</w:t>
            </w:r>
          </w:p>
        </w:tc>
        <w:tc>
          <w:tcPr>
            <w:tcW w:w="844"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r>
      <w:tr>
        <w:trPr>
          <w:trHeight w:val="213"/>
        </w:trPr>
        <w:tc>
          <w:tcPr>
            <w:tcW w:w="323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23</w:t>
            </w:r>
          </w:p>
        </w:tc>
        <w:tc>
          <w:tcPr>
            <w:tcW w:w="691"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16"/>
                <w:szCs w:val="16"/>
              </w:rPr>
            </w:pPr>
          </w:p>
        </w:tc>
        <w:tc>
          <w:tcPr>
            <w:tcW w:w="3474" w:type="dxa"/>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二十四、债务付息支出</w:t>
            </w:r>
          </w:p>
        </w:tc>
        <w:tc>
          <w:tcPr>
            <w:tcW w:w="541"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51</w:t>
            </w:r>
          </w:p>
        </w:tc>
        <w:tc>
          <w:tcPr>
            <w:tcW w:w="844"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r>
      <w:tr>
        <w:trPr>
          <w:trHeight w:val="213"/>
        </w:trPr>
        <w:tc>
          <w:tcPr>
            <w:tcW w:w="323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本年收入合计</w:t>
            </w:r>
          </w:p>
        </w:tc>
        <w:tc>
          <w:tcPr>
            <w:tcW w:w="731"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24</w:t>
            </w:r>
          </w:p>
        </w:tc>
        <w:tc>
          <w:tcPr>
            <w:tcW w:w="691"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2,273.60</w:t>
            </w:r>
          </w:p>
        </w:tc>
        <w:tc>
          <w:tcPr>
            <w:tcW w:w="3474"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本年支出合计</w:t>
            </w:r>
          </w:p>
        </w:tc>
        <w:tc>
          <w:tcPr>
            <w:tcW w:w="541"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52</w:t>
            </w:r>
          </w:p>
        </w:tc>
        <w:tc>
          <w:tcPr>
            <w:tcW w:w="844"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2,259.05</w:t>
            </w:r>
          </w:p>
        </w:tc>
      </w:tr>
      <w:tr>
        <w:trPr>
          <w:trHeight w:val="213"/>
        </w:trPr>
        <w:tc>
          <w:tcPr>
            <w:tcW w:w="323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用事业基金弥补收支差额</w:t>
            </w:r>
          </w:p>
        </w:tc>
        <w:tc>
          <w:tcPr>
            <w:tcW w:w="731"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25</w:t>
            </w:r>
          </w:p>
        </w:tc>
        <w:tc>
          <w:tcPr>
            <w:tcW w:w="691"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c>
          <w:tcPr>
            <w:tcW w:w="3474" w:type="dxa"/>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结余分配</w:t>
            </w:r>
          </w:p>
        </w:tc>
        <w:tc>
          <w:tcPr>
            <w:tcW w:w="541"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53</w:t>
            </w:r>
          </w:p>
        </w:tc>
        <w:tc>
          <w:tcPr>
            <w:tcW w:w="844"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r>
      <w:tr>
        <w:trPr>
          <w:trHeight w:val="213"/>
        </w:trPr>
        <w:tc>
          <w:tcPr>
            <w:tcW w:w="323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年初结转和结余</w:t>
            </w:r>
          </w:p>
        </w:tc>
        <w:tc>
          <w:tcPr>
            <w:tcW w:w="731"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26</w:t>
            </w:r>
          </w:p>
        </w:tc>
        <w:tc>
          <w:tcPr>
            <w:tcW w:w="691"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5.98</w:t>
            </w:r>
          </w:p>
        </w:tc>
        <w:tc>
          <w:tcPr>
            <w:tcW w:w="3474" w:type="dxa"/>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年末结转和结余</w:t>
            </w:r>
          </w:p>
        </w:tc>
        <w:tc>
          <w:tcPr>
            <w:tcW w:w="541"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54</w:t>
            </w:r>
          </w:p>
        </w:tc>
        <w:tc>
          <w:tcPr>
            <w:tcW w:w="844"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20.53</w:t>
            </w:r>
          </w:p>
        </w:tc>
      </w:tr>
      <w:tr>
        <w:trPr>
          <w:trHeight w:val="213"/>
        </w:trPr>
        <w:tc>
          <w:tcPr>
            <w:tcW w:w="323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27</w:t>
            </w:r>
          </w:p>
        </w:tc>
        <w:tc>
          <w:tcPr>
            <w:tcW w:w="691"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16"/>
                <w:szCs w:val="16"/>
              </w:rPr>
            </w:pPr>
          </w:p>
        </w:tc>
        <w:tc>
          <w:tcPr>
            <w:tcW w:w="3474" w:type="dxa"/>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541"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55</w:t>
            </w:r>
          </w:p>
        </w:tc>
        <w:tc>
          <w:tcPr>
            <w:tcW w:w="844" w:type="dxa"/>
            <w:tcBorders>
              <w:top w:val="nil"/>
              <w:left w:val="nil"/>
              <w:bottom w:val="single" w:sz="4" w:space="0" w:color="000000"/>
              <w:right w:val="single" w:sz="4" w:space="0" w:color="000000"/>
            </w:tcBorders>
            <w:tcMar>
              <w:top w:w="15" w:type="dxa"/>
              <w:left w:w="15" w:type="dxa"/>
              <w:right w:w="15" w:type="dxa"/>
            </w:tcMar>
            <w:vAlign w:val="center"/>
          </w:tcPr>
          <w:p>
            <w:pPr>
              <w:jc w:val="left"/>
              <w:rPr>
                <w:rFonts w:ascii="宋体" w:eastAsia="宋体" w:cs="宋体"/>
                <w:color w:val="000000"/>
                <w:sz w:val="16"/>
                <w:szCs w:val="16"/>
              </w:rPr>
            </w:pPr>
          </w:p>
        </w:tc>
      </w:tr>
      <w:tr>
        <w:trPr>
          <w:trHeight w:val="213"/>
        </w:trPr>
        <w:tc>
          <w:tcPr>
            <w:tcW w:w="323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731"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28</w:t>
            </w:r>
          </w:p>
        </w:tc>
        <w:tc>
          <w:tcPr>
            <w:tcW w:w="691"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2,279.58</w:t>
            </w:r>
          </w:p>
        </w:tc>
        <w:tc>
          <w:tcPr>
            <w:tcW w:w="3474"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541"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56</w:t>
            </w:r>
          </w:p>
        </w:tc>
        <w:tc>
          <w:tcPr>
            <w:tcW w:w="844"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2,279.58</w:t>
            </w:r>
          </w:p>
        </w:tc>
      </w:tr>
      <w:tr>
        <w:trPr>
          <w:trHeight w:val="213"/>
        </w:trPr>
        <w:tc>
          <w:tcPr>
            <w:tcW w:w="9517" w:type="dxa"/>
            <w:gridSpan w:val="6"/>
            <w:tcBorders>
              <w:top w:val="nil"/>
              <w:left w:val="nil"/>
              <w:bottom w:val="nil"/>
              <w:right w:val="nil"/>
            </w:tcBorders>
            <w:tcMar>
              <w:top w:w="15" w:type="dxa"/>
              <w:left w:w="15" w:type="dxa"/>
              <w:right w:w="15" w:type="dxa"/>
            </w:tcMar>
            <w:vAlign w:val="center"/>
          </w:tcPr>
          <w:p>
            <w:pPr>
              <w:widowControl/>
              <w:jc w:val="left"/>
              <w:textAlignment w:val="center"/>
              <w:rPr>
                <w:rFonts w:ascii="宋体" w:eastAsia="宋体" w:cs="宋体"/>
                <w:color w:val="000000"/>
                <w:kern w:val="0"/>
                <w:sz w:val="22"/>
              </w:rPr>
            </w:pPr>
            <w:r>
              <w:rPr>
                <w:rFonts w:ascii="宋体" w:eastAsia="宋体" w:cs="宋体" w:hint="eastAsia"/>
                <w:color w:val="000000"/>
                <w:kern w:val="0"/>
                <w:sz w:val="22"/>
              </w:rPr>
              <w:t>注：本表反映部门本年度的总收支和年末结转结余情况。</w:t>
            </w:r>
          </w:p>
          <w:p>
            <w:pPr>
              <w:widowControl/>
              <w:jc w:val="left"/>
              <w:textAlignment w:val="center"/>
              <w:rPr>
                <w:rFonts w:ascii="宋体" w:eastAsia="宋体" w:cs="宋体"/>
                <w:color w:val="000000"/>
                <w:kern w:val="0"/>
                <w:sz w:val="22"/>
              </w:rPr>
            </w:pPr>
          </w:p>
          <w:p>
            <w:pPr>
              <w:widowControl/>
              <w:jc w:val="left"/>
              <w:textAlignment w:val="center"/>
              <w:rPr>
                <w:rFonts w:ascii="宋体" w:eastAsia="宋体" w:cs="宋体"/>
                <w:color w:val="000000"/>
                <w:kern w:val="0"/>
                <w:sz w:val="22"/>
              </w:rPr>
            </w:pPr>
          </w:p>
        </w:tc>
      </w:tr>
    </w:tbl>
    <w:tbl>
      <w:tblPr>
        <w:jc w:val="center"/>
        <w:tblW w:w="9916"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882"/>
        <w:gridCol w:w="70"/>
        <w:gridCol w:w="70"/>
        <w:gridCol w:w="1653"/>
        <w:gridCol w:w="1110"/>
        <w:gridCol w:w="1110"/>
        <w:gridCol w:w="870"/>
        <w:gridCol w:w="958"/>
        <w:gridCol w:w="90"/>
        <w:gridCol w:w="885"/>
        <w:gridCol w:w="1065"/>
        <w:gridCol w:w="817"/>
        <w:gridCol w:w="336"/>
      </w:tblGrid>
      <w:tr>
        <w:trPr>
          <w:trHeight w:val="670"/>
          <w:gridAfter w:val="1"/>
          <w:wAfter w:w="336" w:type="dxa"/>
        </w:trPr>
        <w:tc>
          <w:tcPr>
            <w:tcW w:w="9580" w:type="dxa"/>
            <w:gridSpan w:val="12"/>
            <w:tcBorders>
              <w:top w:val="nil"/>
              <w:left w:val="nil"/>
              <w:bottom w:val="nil"/>
              <w:right w:val="nil"/>
            </w:tcBorders>
            <w:tcMar>
              <w:top w:w="15" w:type="dxa"/>
              <w:left w:w="15" w:type="dxa"/>
              <w:right w:w="15" w:type="dxa"/>
            </w:tcMar>
            <w:vAlign w:val="bottom"/>
          </w:tcPr>
          <w:p>
            <w:pPr>
              <w:widowControl/>
              <w:jc w:val="center"/>
              <w:textAlignment w:val="bottom"/>
              <w:rPr>
                <w:rFonts w:ascii="黑体" w:eastAsia="黑体" w:cs="黑体"/>
                <w:color w:val="000000"/>
                <w:kern w:val="0"/>
                <w:sz w:val="32"/>
                <w:szCs w:val="32"/>
              </w:rPr>
            </w:pPr>
          </w:p>
          <w:p>
            <w:pPr>
              <w:widowControl/>
              <w:jc w:val="center"/>
              <w:textAlignment w:val="bottom"/>
              <w:rPr>
                <w:rFonts w:ascii="黑体" w:eastAsia="黑体" w:cs="黑体"/>
                <w:color w:val="000000"/>
                <w:sz w:val="32"/>
                <w:szCs w:val="32"/>
              </w:rPr>
            </w:pPr>
            <w:r>
              <w:rPr>
                <w:rFonts w:ascii="黑体" w:eastAsia="黑体" w:cs="黑体" w:hint="eastAsia"/>
                <w:color w:val="000000"/>
                <w:kern w:val="0"/>
                <w:sz w:val="32"/>
                <w:szCs w:val="32"/>
              </w:rPr>
              <w:t>收入决算表</w:t>
            </w:r>
          </w:p>
        </w:tc>
      </w:tr>
      <w:tr>
        <w:trPr>
          <w:trHeight w:val="357"/>
        </w:trPr>
        <w:tc>
          <w:tcPr>
            <w:tcW w:w="882" w:type="dxa"/>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70" w:type="dxa"/>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70" w:type="dxa"/>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1653" w:type="dxa"/>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1110" w:type="dxa"/>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1110" w:type="dxa"/>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870" w:type="dxa"/>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958" w:type="dxa"/>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90" w:type="dxa"/>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3103" w:type="dxa"/>
            <w:gridSpan w:val="4"/>
            <w:tcBorders>
              <w:top w:val="nil"/>
              <w:left w:val="nil"/>
              <w:bottom w:val="nil"/>
              <w:right w:val="nil"/>
            </w:tcBorders>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02</w:t>
            </w:r>
            <w:r>
              <w:rPr>
                <w:rFonts w:ascii="宋体" w:eastAsia="宋体" w:cs="宋体" w:hint="eastAsia"/>
                <w:color w:val="000000"/>
                <w:kern w:val="0"/>
                <w:sz w:val="20"/>
                <w:szCs w:val="20"/>
              </w:rPr>
              <w:t>表</w:t>
            </w:r>
          </w:p>
        </w:tc>
      </w:tr>
      <w:tr>
        <w:trPr>
          <w:trHeight w:val="357"/>
          <w:gridAfter w:val="1"/>
          <w:wAfter w:w="336" w:type="dxa"/>
        </w:trPr>
        <w:tc>
          <w:tcPr>
            <w:tcW w:w="882" w:type="dxa"/>
            <w:tcBorders>
              <w:top w:val="nil"/>
              <w:left w:val="nil"/>
              <w:bottom w:val="nil"/>
              <w:right w:val="nil"/>
            </w:tcBorders>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70" w:type="dxa"/>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70" w:type="dxa"/>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1653" w:type="dxa"/>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1110" w:type="dxa"/>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1110" w:type="dxa"/>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870" w:type="dxa"/>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958" w:type="dxa"/>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2857" w:type="dxa"/>
            <w:gridSpan w:val="4"/>
            <w:tcBorders>
              <w:top w:val="nil"/>
              <w:left w:val="nil"/>
              <w:bottom w:val="nil"/>
              <w:right w:val="nil"/>
            </w:tcBorders>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trPr>
          <w:trHeight w:val="385"/>
          <w:gridAfter w:val="1"/>
          <w:wAfter w:w="336" w:type="dxa"/>
        </w:trPr>
        <w:tc>
          <w:tcPr>
            <w:tcW w:w="2675"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1110"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本年收入合计</w:t>
            </w:r>
          </w:p>
        </w:tc>
        <w:tc>
          <w:tcPr>
            <w:tcW w:w="1110"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财政拨款收入</w:t>
            </w:r>
          </w:p>
        </w:tc>
        <w:tc>
          <w:tcPr>
            <w:tcW w:w="870"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上级补助收入</w:t>
            </w:r>
          </w:p>
        </w:tc>
        <w:tc>
          <w:tcPr>
            <w:tcW w:w="958"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事业收入</w:t>
            </w:r>
          </w:p>
        </w:tc>
        <w:tc>
          <w:tcPr>
            <w:tcW w:w="975" w:type="dxa"/>
            <w:gridSpan w:val="2"/>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经营收入</w:t>
            </w:r>
          </w:p>
        </w:tc>
        <w:tc>
          <w:tcPr>
            <w:tcW w:w="1065"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附属单位上缴收入</w:t>
            </w:r>
          </w:p>
        </w:tc>
        <w:tc>
          <w:tcPr>
            <w:tcW w:w="817"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其他收入</w:t>
            </w:r>
          </w:p>
        </w:tc>
      </w:tr>
      <w:tr>
        <w:trPr>
          <w:trHeight w:val="380"/>
          <w:gridAfter w:val="1"/>
          <w:wAfter w:w="336" w:type="dxa"/>
        </w:trPr>
        <w:tc>
          <w:tcPr>
            <w:tcW w:w="1022" w:type="dxa"/>
            <w:gridSpan w:val="3"/>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1653" w:type="dxa"/>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11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11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8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958"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975" w:type="dxa"/>
            <w:gridSpan w:val="2"/>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065"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817"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r>
      <w:tr>
        <w:trPr>
          <w:trHeight w:val="624"/>
          <w:gridAfter w:val="1"/>
          <w:wAfter w:w="336" w:type="dxa"/>
        </w:trPr>
        <w:tc>
          <w:tcPr>
            <w:tcW w:w="1022"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tc>
        <w:tc>
          <w:tcPr>
            <w:tcW w:w="1653" w:type="dxa"/>
            <w:vMerge/>
            <w:tcBorders>
              <w:top w:val="nil"/>
              <w:left w:val="nil"/>
              <w:bottom w:val="single" w:sz="4" w:space="0" w:color="000000"/>
              <w:right w:val="single" w:sz="4" w:space="0" w:color="000000"/>
            </w:tcBorders>
            <w:tcMar>
              <w:top w:w="15" w:type="dxa"/>
              <w:left w:w="15" w:type="dxa"/>
              <w:right w:w="15" w:type="dxa"/>
            </w:tcMar>
            <w:vAlign w:val="center"/>
          </w:tcPr>
          <w:p/>
        </w:tc>
        <w:tc>
          <w:tcPr>
            <w:tcW w:w="111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11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8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958"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975" w:type="dxa"/>
            <w:gridSpan w:val="2"/>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065"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817"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r>
      <w:tr>
        <w:trPr>
          <w:trHeight w:val="624"/>
          <w:gridAfter w:val="1"/>
          <w:wAfter w:w="336" w:type="dxa"/>
        </w:trPr>
        <w:tc>
          <w:tcPr>
            <w:tcW w:w="1022"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tc>
        <w:tc>
          <w:tcPr>
            <w:tcW w:w="1653" w:type="dxa"/>
            <w:vMerge/>
            <w:tcBorders>
              <w:top w:val="nil"/>
              <w:left w:val="nil"/>
              <w:bottom w:val="single" w:sz="4" w:space="0" w:color="000000"/>
              <w:right w:val="single" w:sz="4" w:space="0" w:color="000000"/>
            </w:tcBorders>
            <w:tcMar>
              <w:top w:w="15" w:type="dxa"/>
              <w:left w:w="15" w:type="dxa"/>
              <w:right w:w="15" w:type="dxa"/>
            </w:tcMar>
            <w:vAlign w:val="center"/>
          </w:tcPr>
          <w:p/>
        </w:tc>
        <w:tc>
          <w:tcPr>
            <w:tcW w:w="111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11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8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958"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975" w:type="dxa"/>
            <w:gridSpan w:val="2"/>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065"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817"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r>
      <w:tr>
        <w:trPr>
          <w:trHeight w:val="385"/>
          <w:gridAfter w:val="1"/>
          <w:wAfter w:w="336" w:type="dxa"/>
        </w:trPr>
        <w:tc>
          <w:tcPr>
            <w:tcW w:w="2675"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1110"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1110"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870"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958"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975"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1065"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6</w:t>
            </w:r>
          </w:p>
        </w:tc>
        <w:tc>
          <w:tcPr>
            <w:tcW w:w="817"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7</w:t>
            </w:r>
          </w:p>
        </w:tc>
      </w:tr>
      <w:tr>
        <w:trPr>
          <w:trHeight w:val="385"/>
          <w:gridAfter w:val="1"/>
          <w:wAfter w:w="336" w:type="dxa"/>
        </w:trPr>
        <w:tc>
          <w:tcPr>
            <w:tcW w:w="2675"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110"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b/>
                <w:color w:val="000000"/>
                <w:sz w:val="16"/>
                <w:szCs w:val="16"/>
              </w:rPr>
            </w:pPr>
            <w:r>
              <w:rPr>
                <w:rFonts w:ascii="宋体" w:eastAsia="宋体" w:cs="宋体"/>
                <w:b/>
                <w:color w:val="000000"/>
                <w:kern w:val="0"/>
                <w:sz w:val="16"/>
                <w:szCs w:val="16"/>
              </w:rPr>
              <w:t>2,273.60</w:t>
            </w:r>
          </w:p>
        </w:tc>
        <w:tc>
          <w:tcPr>
            <w:tcW w:w="1110"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b/>
                <w:color w:val="000000"/>
                <w:sz w:val="16"/>
                <w:szCs w:val="16"/>
              </w:rPr>
            </w:pPr>
            <w:r>
              <w:rPr>
                <w:rFonts w:ascii="宋体" w:eastAsia="宋体" w:cs="宋体"/>
                <w:b/>
                <w:color w:val="000000"/>
                <w:kern w:val="0"/>
                <w:sz w:val="16"/>
                <w:szCs w:val="16"/>
              </w:rPr>
              <w:t>2,141.92</w:t>
            </w:r>
          </w:p>
        </w:tc>
        <w:tc>
          <w:tcPr>
            <w:tcW w:w="870"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b/>
                <w:color w:val="000000"/>
                <w:sz w:val="22"/>
              </w:rPr>
            </w:pPr>
          </w:p>
        </w:tc>
        <w:tc>
          <w:tcPr>
            <w:tcW w:w="958"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b/>
                <w:color w:val="000000"/>
                <w:sz w:val="22"/>
              </w:rPr>
            </w:pPr>
          </w:p>
        </w:tc>
        <w:tc>
          <w:tcPr>
            <w:tcW w:w="975" w:type="dxa"/>
            <w:gridSpan w:val="2"/>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b/>
                <w:color w:val="000000"/>
                <w:sz w:val="22"/>
              </w:rPr>
            </w:pPr>
          </w:p>
        </w:tc>
        <w:tc>
          <w:tcPr>
            <w:tcW w:w="1065"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b/>
                <w:color w:val="000000"/>
                <w:sz w:val="22"/>
              </w:rPr>
            </w:pPr>
          </w:p>
        </w:tc>
        <w:tc>
          <w:tcPr>
            <w:tcW w:w="817"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b/>
                <w:color w:val="000000"/>
                <w:sz w:val="16"/>
                <w:szCs w:val="16"/>
              </w:rPr>
            </w:pPr>
            <w:r>
              <w:rPr>
                <w:rFonts w:ascii="宋体" w:eastAsia="宋体" w:cs="宋体"/>
                <w:b/>
                <w:color w:val="000000"/>
                <w:kern w:val="0"/>
                <w:sz w:val="16"/>
                <w:szCs w:val="16"/>
              </w:rPr>
              <w:t>131.68</w:t>
            </w:r>
          </w:p>
        </w:tc>
      </w:tr>
      <w:tr>
        <w:trPr>
          <w:trHeight w:val="385"/>
          <w:gridAfter w:val="1"/>
          <w:wAfter w:w="336" w:type="dxa"/>
        </w:trPr>
        <w:tc>
          <w:tcPr>
            <w:tcW w:w="1022"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color w:val="000000"/>
                <w:kern w:val="0"/>
                <w:sz w:val="16"/>
                <w:szCs w:val="16"/>
              </w:rPr>
              <w:t>201</w:t>
            </w:r>
          </w:p>
        </w:tc>
        <w:tc>
          <w:tcPr>
            <w:tcW w:w="1653" w:type="dxa"/>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hint="eastAsia"/>
                <w:color w:val="000000"/>
                <w:kern w:val="0"/>
                <w:sz w:val="16"/>
                <w:szCs w:val="16"/>
              </w:rPr>
              <w:t>一般公共服务支出</w:t>
            </w:r>
          </w:p>
        </w:tc>
        <w:tc>
          <w:tcPr>
            <w:tcW w:w="1110"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1,810.41</w:t>
            </w:r>
          </w:p>
        </w:tc>
        <w:tc>
          <w:tcPr>
            <w:tcW w:w="1110"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1,678.73</w:t>
            </w:r>
          </w:p>
        </w:tc>
        <w:tc>
          <w:tcPr>
            <w:tcW w:w="870"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958"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975" w:type="dxa"/>
            <w:gridSpan w:val="2"/>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1065"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817"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131.68</w:t>
            </w:r>
          </w:p>
        </w:tc>
      </w:tr>
      <w:tr>
        <w:trPr>
          <w:trHeight w:val="385"/>
          <w:gridAfter w:val="1"/>
          <w:wAfter w:w="336" w:type="dxa"/>
        </w:trPr>
        <w:tc>
          <w:tcPr>
            <w:tcW w:w="1022"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color w:val="000000"/>
                <w:kern w:val="0"/>
                <w:sz w:val="16"/>
                <w:szCs w:val="16"/>
              </w:rPr>
              <w:t>20106</w:t>
            </w:r>
          </w:p>
        </w:tc>
        <w:tc>
          <w:tcPr>
            <w:tcW w:w="1653" w:type="dxa"/>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hint="eastAsia"/>
                <w:color w:val="000000"/>
                <w:kern w:val="0"/>
                <w:sz w:val="16"/>
                <w:szCs w:val="16"/>
              </w:rPr>
              <w:t>财政事务</w:t>
            </w:r>
          </w:p>
        </w:tc>
        <w:tc>
          <w:tcPr>
            <w:tcW w:w="1110"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1,810.41</w:t>
            </w:r>
          </w:p>
        </w:tc>
        <w:tc>
          <w:tcPr>
            <w:tcW w:w="1110"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1,678.73</w:t>
            </w:r>
          </w:p>
        </w:tc>
        <w:tc>
          <w:tcPr>
            <w:tcW w:w="870"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958"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975" w:type="dxa"/>
            <w:gridSpan w:val="2"/>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1065"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817"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131.68</w:t>
            </w:r>
          </w:p>
        </w:tc>
      </w:tr>
      <w:tr>
        <w:trPr>
          <w:trHeight w:val="385"/>
          <w:gridAfter w:val="1"/>
          <w:wAfter w:w="336" w:type="dxa"/>
        </w:trPr>
        <w:tc>
          <w:tcPr>
            <w:tcW w:w="1022"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color w:val="000000"/>
                <w:kern w:val="0"/>
                <w:sz w:val="16"/>
                <w:szCs w:val="16"/>
              </w:rPr>
              <w:t>2010601</w:t>
            </w:r>
          </w:p>
        </w:tc>
        <w:tc>
          <w:tcPr>
            <w:tcW w:w="1653" w:type="dxa"/>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行政运行</w:t>
            </w:r>
          </w:p>
        </w:tc>
        <w:tc>
          <w:tcPr>
            <w:tcW w:w="1110"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1,702.61</w:t>
            </w:r>
          </w:p>
        </w:tc>
        <w:tc>
          <w:tcPr>
            <w:tcW w:w="1110"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1,621.01</w:t>
            </w:r>
          </w:p>
        </w:tc>
        <w:tc>
          <w:tcPr>
            <w:tcW w:w="870"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958"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975" w:type="dxa"/>
            <w:gridSpan w:val="2"/>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1065"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817"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81.60</w:t>
            </w:r>
          </w:p>
        </w:tc>
      </w:tr>
      <w:tr>
        <w:trPr>
          <w:trHeight w:val="385"/>
          <w:gridAfter w:val="1"/>
          <w:wAfter w:w="336" w:type="dxa"/>
        </w:trPr>
        <w:tc>
          <w:tcPr>
            <w:tcW w:w="1022"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color w:val="000000"/>
                <w:kern w:val="0"/>
                <w:sz w:val="16"/>
                <w:szCs w:val="16"/>
              </w:rPr>
              <w:t>2010608</w:t>
            </w:r>
          </w:p>
        </w:tc>
        <w:tc>
          <w:tcPr>
            <w:tcW w:w="1653" w:type="dxa"/>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财政委托业务支出</w:t>
            </w:r>
          </w:p>
        </w:tc>
        <w:tc>
          <w:tcPr>
            <w:tcW w:w="1110"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57.72</w:t>
            </w:r>
          </w:p>
        </w:tc>
        <w:tc>
          <w:tcPr>
            <w:tcW w:w="1110"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57.72</w:t>
            </w:r>
          </w:p>
        </w:tc>
        <w:tc>
          <w:tcPr>
            <w:tcW w:w="870"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958"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975" w:type="dxa"/>
            <w:gridSpan w:val="2"/>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1065"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817"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r>
      <w:tr>
        <w:trPr>
          <w:trHeight w:val="385"/>
          <w:gridAfter w:val="1"/>
          <w:wAfter w:w="336" w:type="dxa"/>
        </w:trPr>
        <w:tc>
          <w:tcPr>
            <w:tcW w:w="1022"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color w:val="000000"/>
                <w:kern w:val="0"/>
                <w:sz w:val="16"/>
                <w:szCs w:val="16"/>
              </w:rPr>
              <w:t>2010699</w:t>
            </w:r>
          </w:p>
        </w:tc>
        <w:tc>
          <w:tcPr>
            <w:tcW w:w="1653" w:type="dxa"/>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其他财政事务支出</w:t>
            </w:r>
          </w:p>
        </w:tc>
        <w:tc>
          <w:tcPr>
            <w:tcW w:w="1110"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50.08</w:t>
            </w:r>
          </w:p>
        </w:tc>
        <w:tc>
          <w:tcPr>
            <w:tcW w:w="1110"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c>
          <w:tcPr>
            <w:tcW w:w="870"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958"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975" w:type="dxa"/>
            <w:gridSpan w:val="2"/>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1065"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817"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50.08</w:t>
            </w:r>
          </w:p>
        </w:tc>
      </w:tr>
      <w:tr>
        <w:trPr>
          <w:trHeight w:val="385"/>
          <w:gridAfter w:val="1"/>
          <w:wAfter w:w="336" w:type="dxa"/>
        </w:trPr>
        <w:tc>
          <w:tcPr>
            <w:tcW w:w="1022"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color w:val="000000"/>
                <w:kern w:val="0"/>
                <w:sz w:val="16"/>
                <w:szCs w:val="16"/>
              </w:rPr>
              <w:t>208</w:t>
            </w:r>
          </w:p>
        </w:tc>
        <w:tc>
          <w:tcPr>
            <w:tcW w:w="1653" w:type="dxa"/>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hint="eastAsia"/>
                <w:color w:val="000000"/>
                <w:kern w:val="0"/>
                <w:sz w:val="16"/>
                <w:szCs w:val="16"/>
              </w:rPr>
              <w:t>社会保障和就业支出</w:t>
            </w:r>
          </w:p>
        </w:tc>
        <w:tc>
          <w:tcPr>
            <w:tcW w:w="1110"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336.15</w:t>
            </w:r>
          </w:p>
        </w:tc>
        <w:tc>
          <w:tcPr>
            <w:tcW w:w="1110"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336.15</w:t>
            </w:r>
          </w:p>
        </w:tc>
        <w:tc>
          <w:tcPr>
            <w:tcW w:w="870"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958"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975" w:type="dxa"/>
            <w:gridSpan w:val="2"/>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1065"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817"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r>
      <w:tr>
        <w:trPr>
          <w:trHeight w:val="385"/>
          <w:gridAfter w:val="1"/>
          <w:wAfter w:w="336" w:type="dxa"/>
        </w:trPr>
        <w:tc>
          <w:tcPr>
            <w:tcW w:w="1022"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color w:val="000000"/>
                <w:kern w:val="0"/>
                <w:sz w:val="16"/>
                <w:szCs w:val="16"/>
              </w:rPr>
              <w:t>20805</w:t>
            </w:r>
          </w:p>
        </w:tc>
        <w:tc>
          <w:tcPr>
            <w:tcW w:w="1653" w:type="dxa"/>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hint="eastAsia"/>
                <w:color w:val="000000"/>
                <w:kern w:val="0"/>
                <w:sz w:val="16"/>
                <w:szCs w:val="16"/>
              </w:rPr>
              <w:t>行政事业单位离退休</w:t>
            </w:r>
          </w:p>
        </w:tc>
        <w:tc>
          <w:tcPr>
            <w:tcW w:w="1110"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336.15</w:t>
            </w:r>
          </w:p>
        </w:tc>
        <w:tc>
          <w:tcPr>
            <w:tcW w:w="1110"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336.15</w:t>
            </w:r>
          </w:p>
        </w:tc>
        <w:tc>
          <w:tcPr>
            <w:tcW w:w="870"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958"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975" w:type="dxa"/>
            <w:gridSpan w:val="2"/>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1065"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817"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r>
      <w:tr>
        <w:trPr>
          <w:trHeight w:val="385"/>
          <w:gridAfter w:val="1"/>
          <w:wAfter w:w="336" w:type="dxa"/>
        </w:trPr>
        <w:tc>
          <w:tcPr>
            <w:tcW w:w="1022"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color w:val="000000"/>
                <w:kern w:val="0"/>
                <w:sz w:val="16"/>
                <w:szCs w:val="16"/>
              </w:rPr>
              <w:t>2080501</w:t>
            </w:r>
          </w:p>
        </w:tc>
        <w:tc>
          <w:tcPr>
            <w:tcW w:w="1653" w:type="dxa"/>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归口管理的行政单位离退休</w:t>
            </w:r>
          </w:p>
        </w:tc>
        <w:tc>
          <w:tcPr>
            <w:tcW w:w="1110"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209.33</w:t>
            </w:r>
          </w:p>
        </w:tc>
        <w:tc>
          <w:tcPr>
            <w:tcW w:w="1110"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209.33</w:t>
            </w:r>
          </w:p>
        </w:tc>
        <w:tc>
          <w:tcPr>
            <w:tcW w:w="870"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958"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975" w:type="dxa"/>
            <w:gridSpan w:val="2"/>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1065"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817"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r>
      <w:tr>
        <w:trPr>
          <w:trHeight w:val="385"/>
          <w:gridAfter w:val="1"/>
          <w:wAfter w:w="336" w:type="dxa"/>
        </w:trPr>
        <w:tc>
          <w:tcPr>
            <w:tcW w:w="1022"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color w:val="000000"/>
                <w:kern w:val="0"/>
                <w:sz w:val="16"/>
                <w:szCs w:val="16"/>
              </w:rPr>
              <w:t>2080505</w:t>
            </w:r>
          </w:p>
        </w:tc>
        <w:tc>
          <w:tcPr>
            <w:tcW w:w="1653" w:type="dxa"/>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机关事业单位基本养老保险缴费支出</w:t>
            </w:r>
          </w:p>
        </w:tc>
        <w:tc>
          <w:tcPr>
            <w:tcW w:w="1110"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126.82</w:t>
            </w:r>
          </w:p>
        </w:tc>
        <w:tc>
          <w:tcPr>
            <w:tcW w:w="1110"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126.82</w:t>
            </w:r>
          </w:p>
        </w:tc>
        <w:tc>
          <w:tcPr>
            <w:tcW w:w="870"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958"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975" w:type="dxa"/>
            <w:gridSpan w:val="2"/>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1065"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817"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r>
      <w:tr>
        <w:trPr>
          <w:trHeight w:val="385"/>
          <w:gridAfter w:val="1"/>
          <w:wAfter w:w="336" w:type="dxa"/>
        </w:trPr>
        <w:tc>
          <w:tcPr>
            <w:tcW w:w="1022"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color w:val="000000"/>
                <w:kern w:val="0"/>
                <w:sz w:val="16"/>
                <w:szCs w:val="16"/>
              </w:rPr>
              <w:t>210</w:t>
            </w:r>
          </w:p>
        </w:tc>
        <w:tc>
          <w:tcPr>
            <w:tcW w:w="1653" w:type="dxa"/>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hint="eastAsia"/>
                <w:color w:val="000000"/>
                <w:kern w:val="0"/>
                <w:sz w:val="16"/>
                <w:szCs w:val="16"/>
              </w:rPr>
              <w:t>卫生健康支出</w:t>
            </w:r>
          </w:p>
        </w:tc>
        <w:tc>
          <w:tcPr>
            <w:tcW w:w="1110"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46.35</w:t>
            </w:r>
          </w:p>
        </w:tc>
        <w:tc>
          <w:tcPr>
            <w:tcW w:w="1110"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46.35</w:t>
            </w:r>
          </w:p>
        </w:tc>
        <w:tc>
          <w:tcPr>
            <w:tcW w:w="870"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958"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975" w:type="dxa"/>
            <w:gridSpan w:val="2"/>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1065"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817"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r>
      <w:tr>
        <w:trPr>
          <w:trHeight w:val="385"/>
          <w:gridAfter w:val="1"/>
          <w:wAfter w:w="336" w:type="dxa"/>
        </w:trPr>
        <w:tc>
          <w:tcPr>
            <w:tcW w:w="1022"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color w:val="000000"/>
                <w:kern w:val="0"/>
                <w:sz w:val="16"/>
                <w:szCs w:val="16"/>
              </w:rPr>
              <w:t>21011</w:t>
            </w:r>
          </w:p>
        </w:tc>
        <w:tc>
          <w:tcPr>
            <w:tcW w:w="1653" w:type="dxa"/>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hint="eastAsia"/>
                <w:color w:val="000000"/>
                <w:kern w:val="0"/>
                <w:sz w:val="16"/>
                <w:szCs w:val="16"/>
              </w:rPr>
              <w:t>行政事业单位医疗</w:t>
            </w:r>
          </w:p>
        </w:tc>
        <w:tc>
          <w:tcPr>
            <w:tcW w:w="1110"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46.35</w:t>
            </w:r>
          </w:p>
        </w:tc>
        <w:tc>
          <w:tcPr>
            <w:tcW w:w="1110"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46.35</w:t>
            </w:r>
          </w:p>
        </w:tc>
        <w:tc>
          <w:tcPr>
            <w:tcW w:w="870"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958"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975" w:type="dxa"/>
            <w:gridSpan w:val="2"/>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1065"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817"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r>
      <w:tr>
        <w:trPr>
          <w:trHeight w:val="385"/>
          <w:gridAfter w:val="1"/>
          <w:wAfter w:w="336" w:type="dxa"/>
        </w:trPr>
        <w:tc>
          <w:tcPr>
            <w:tcW w:w="1022"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color w:val="000000"/>
                <w:kern w:val="0"/>
                <w:sz w:val="16"/>
                <w:szCs w:val="16"/>
              </w:rPr>
              <w:t>2101101</w:t>
            </w:r>
          </w:p>
        </w:tc>
        <w:tc>
          <w:tcPr>
            <w:tcW w:w="1653" w:type="dxa"/>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行政单位医疗</w:t>
            </w:r>
          </w:p>
        </w:tc>
        <w:tc>
          <w:tcPr>
            <w:tcW w:w="1110"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46.35</w:t>
            </w:r>
          </w:p>
        </w:tc>
        <w:tc>
          <w:tcPr>
            <w:tcW w:w="1110"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46.35</w:t>
            </w:r>
          </w:p>
        </w:tc>
        <w:tc>
          <w:tcPr>
            <w:tcW w:w="870"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958"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975" w:type="dxa"/>
            <w:gridSpan w:val="2"/>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1065"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817"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r>
      <w:tr>
        <w:trPr>
          <w:trHeight w:val="385"/>
          <w:gridAfter w:val="1"/>
          <w:wAfter w:w="336" w:type="dxa"/>
        </w:trPr>
        <w:tc>
          <w:tcPr>
            <w:tcW w:w="1022"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color w:val="000000"/>
                <w:kern w:val="0"/>
                <w:sz w:val="16"/>
                <w:szCs w:val="16"/>
              </w:rPr>
              <w:t>213</w:t>
            </w:r>
          </w:p>
        </w:tc>
        <w:tc>
          <w:tcPr>
            <w:tcW w:w="1653" w:type="dxa"/>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hint="eastAsia"/>
                <w:color w:val="000000"/>
                <w:kern w:val="0"/>
                <w:sz w:val="16"/>
                <w:szCs w:val="16"/>
              </w:rPr>
              <w:t>农林水支出</w:t>
            </w:r>
          </w:p>
        </w:tc>
        <w:tc>
          <w:tcPr>
            <w:tcW w:w="1110"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3.00</w:t>
            </w:r>
          </w:p>
        </w:tc>
        <w:tc>
          <w:tcPr>
            <w:tcW w:w="1110"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3.00</w:t>
            </w:r>
          </w:p>
        </w:tc>
        <w:tc>
          <w:tcPr>
            <w:tcW w:w="870"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958"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975" w:type="dxa"/>
            <w:gridSpan w:val="2"/>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1065"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817"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r>
      <w:tr>
        <w:trPr>
          <w:trHeight w:val="385"/>
          <w:gridAfter w:val="1"/>
          <w:wAfter w:w="336" w:type="dxa"/>
        </w:trPr>
        <w:tc>
          <w:tcPr>
            <w:tcW w:w="1022"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color w:val="000000"/>
                <w:kern w:val="0"/>
                <w:sz w:val="16"/>
                <w:szCs w:val="16"/>
              </w:rPr>
              <w:t>21301</w:t>
            </w:r>
          </w:p>
        </w:tc>
        <w:tc>
          <w:tcPr>
            <w:tcW w:w="1653" w:type="dxa"/>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hint="eastAsia"/>
                <w:color w:val="000000"/>
                <w:kern w:val="0"/>
                <w:sz w:val="16"/>
                <w:szCs w:val="16"/>
              </w:rPr>
              <w:t>农业</w:t>
            </w:r>
          </w:p>
        </w:tc>
        <w:tc>
          <w:tcPr>
            <w:tcW w:w="1110"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3.00</w:t>
            </w:r>
          </w:p>
        </w:tc>
        <w:tc>
          <w:tcPr>
            <w:tcW w:w="1110"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3.00</w:t>
            </w:r>
          </w:p>
        </w:tc>
        <w:tc>
          <w:tcPr>
            <w:tcW w:w="870"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958"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975" w:type="dxa"/>
            <w:gridSpan w:val="2"/>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1065"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817"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r>
      <w:tr>
        <w:trPr>
          <w:trHeight w:val="385"/>
          <w:gridAfter w:val="1"/>
          <w:wAfter w:w="336" w:type="dxa"/>
        </w:trPr>
        <w:tc>
          <w:tcPr>
            <w:tcW w:w="1022"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color w:val="000000"/>
                <w:kern w:val="0"/>
                <w:sz w:val="16"/>
                <w:szCs w:val="16"/>
              </w:rPr>
              <w:t>2130199</w:t>
            </w:r>
          </w:p>
        </w:tc>
        <w:tc>
          <w:tcPr>
            <w:tcW w:w="1653" w:type="dxa"/>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其他农业支出</w:t>
            </w:r>
          </w:p>
        </w:tc>
        <w:tc>
          <w:tcPr>
            <w:tcW w:w="1110"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3.00</w:t>
            </w:r>
          </w:p>
        </w:tc>
        <w:tc>
          <w:tcPr>
            <w:tcW w:w="1110"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3.00</w:t>
            </w:r>
          </w:p>
        </w:tc>
        <w:tc>
          <w:tcPr>
            <w:tcW w:w="870"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958"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975" w:type="dxa"/>
            <w:gridSpan w:val="2"/>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1065"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817"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r>
      <w:tr>
        <w:trPr>
          <w:trHeight w:val="385"/>
          <w:gridAfter w:val="1"/>
          <w:wAfter w:w="336" w:type="dxa"/>
        </w:trPr>
        <w:tc>
          <w:tcPr>
            <w:tcW w:w="1022"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color w:val="000000"/>
                <w:kern w:val="0"/>
                <w:sz w:val="16"/>
                <w:szCs w:val="16"/>
              </w:rPr>
              <w:t>221</w:t>
            </w:r>
          </w:p>
        </w:tc>
        <w:tc>
          <w:tcPr>
            <w:tcW w:w="1653" w:type="dxa"/>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hint="eastAsia"/>
                <w:color w:val="000000"/>
                <w:kern w:val="0"/>
                <w:sz w:val="16"/>
                <w:szCs w:val="16"/>
              </w:rPr>
              <w:t>住房保障支出</w:t>
            </w:r>
          </w:p>
        </w:tc>
        <w:tc>
          <w:tcPr>
            <w:tcW w:w="1110"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77.70</w:t>
            </w:r>
          </w:p>
        </w:tc>
        <w:tc>
          <w:tcPr>
            <w:tcW w:w="1110"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77.70</w:t>
            </w:r>
          </w:p>
        </w:tc>
        <w:tc>
          <w:tcPr>
            <w:tcW w:w="870"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958"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975" w:type="dxa"/>
            <w:gridSpan w:val="2"/>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1065"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817"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r>
      <w:tr>
        <w:trPr>
          <w:trHeight w:val="385"/>
          <w:gridAfter w:val="1"/>
          <w:wAfter w:w="336" w:type="dxa"/>
        </w:trPr>
        <w:tc>
          <w:tcPr>
            <w:tcW w:w="1022"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color w:val="000000"/>
                <w:kern w:val="0"/>
                <w:sz w:val="16"/>
                <w:szCs w:val="16"/>
              </w:rPr>
              <w:t>22102</w:t>
            </w:r>
          </w:p>
        </w:tc>
        <w:tc>
          <w:tcPr>
            <w:tcW w:w="1653" w:type="dxa"/>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hint="eastAsia"/>
                <w:color w:val="000000"/>
                <w:kern w:val="0"/>
                <w:sz w:val="16"/>
                <w:szCs w:val="16"/>
              </w:rPr>
              <w:t>住房改革支出</w:t>
            </w:r>
          </w:p>
        </w:tc>
        <w:tc>
          <w:tcPr>
            <w:tcW w:w="1110"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77.70</w:t>
            </w:r>
          </w:p>
        </w:tc>
        <w:tc>
          <w:tcPr>
            <w:tcW w:w="1110"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77.70</w:t>
            </w:r>
          </w:p>
        </w:tc>
        <w:tc>
          <w:tcPr>
            <w:tcW w:w="870"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958"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975" w:type="dxa"/>
            <w:gridSpan w:val="2"/>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1065"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817"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r>
      <w:tr>
        <w:trPr>
          <w:trHeight w:val="385"/>
          <w:gridAfter w:val="1"/>
          <w:wAfter w:w="336" w:type="dxa"/>
        </w:trPr>
        <w:tc>
          <w:tcPr>
            <w:tcW w:w="1022"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color w:val="000000"/>
                <w:kern w:val="0"/>
                <w:sz w:val="16"/>
                <w:szCs w:val="16"/>
              </w:rPr>
              <w:t>2210201</w:t>
            </w:r>
          </w:p>
        </w:tc>
        <w:tc>
          <w:tcPr>
            <w:tcW w:w="1653" w:type="dxa"/>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住房公积金</w:t>
            </w:r>
          </w:p>
        </w:tc>
        <w:tc>
          <w:tcPr>
            <w:tcW w:w="1110"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77.70</w:t>
            </w:r>
          </w:p>
        </w:tc>
        <w:tc>
          <w:tcPr>
            <w:tcW w:w="1110"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77.70</w:t>
            </w:r>
          </w:p>
        </w:tc>
        <w:tc>
          <w:tcPr>
            <w:tcW w:w="870"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958"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975" w:type="dxa"/>
            <w:gridSpan w:val="2"/>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1065"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817"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r>
      <w:tr>
        <w:trPr>
          <w:trHeight w:val="385"/>
          <w:gridAfter w:val="1"/>
          <w:wAfter w:w="336" w:type="dxa"/>
        </w:trPr>
        <w:tc>
          <w:tcPr>
            <w:tcW w:w="9580" w:type="dxa"/>
            <w:gridSpan w:val="12"/>
            <w:tcBorders>
              <w:top w:val="nil"/>
              <w:left w:val="nil"/>
              <w:bottom w:val="nil"/>
              <w:right w:val="nil"/>
            </w:tcBorders>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注：本表反映部门本年度取得的各项收入情况。</w:t>
            </w:r>
          </w:p>
        </w:tc>
      </w:tr>
    </w:tbl>
    <w:p>
      <w:pPr>
        <w:jc w:val="left"/>
        <w:rPr>
          <w:color w:val="000000"/>
        </w:rPr>
      </w:pPr>
    </w:p>
    <w:tbl>
      <w:tblPr>
        <w:jc w:val="center"/>
        <w:tblW w:w="968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941"/>
        <w:gridCol w:w="53"/>
        <w:gridCol w:w="111"/>
        <w:gridCol w:w="1593"/>
        <w:gridCol w:w="927"/>
        <w:gridCol w:w="1161"/>
        <w:gridCol w:w="1161"/>
        <w:gridCol w:w="1161"/>
        <w:gridCol w:w="1161"/>
        <w:gridCol w:w="1411"/>
      </w:tblGrid>
      <w:tr>
        <w:trPr>
          <w:trHeight w:val="612"/>
        </w:trPr>
        <w:tc>
          <w:tcPr>
            <w:tcW w:w="9680" w:type="dxa"/>
            <w:gridSpan w:val="10"/>
            <w:tcBorders>
              <w:top w:val="nil"/>
              <w:left w:val="nil"/>
              <w:bottom w:val="nil"/>
              <w:right w:val="nil"/>
            </w:tcBorders>
            <w:tcMar>
              <w:top w:w="15" w:type="dxa"/>
              <w:left w:w="15" w:type="dxa"/>
              <w:right w:w="15" w:type="dxa"/>
            </w:tcMar>
            <w:vAlign w:val="center"/>
          </w:tcPr>
          <w:p>
            <w:pPr>
              <w:widowControl/>
              <w:jc w:val="center"/>
              <w:textAlignment w:val="center"/>
              <w:rPr>
                <w:rFonts w:ascii="黑体" w:eastAsia="黑体" w:cs="黑体"/>
                <w:color w:val="000000"/>
                <w:kern w:val="0"/>
                <w:sz w:val="32"/>
                <w:szCs w:val="32"/>
              </w:rPr>
            </w:pPr>
            <w:r>
              <w:rPr>
                <w:color w:val="000000"/>
              </w:rPr>
              <w:br w:type="page"/>
            </w:r>
          </w:p>
          <w:p>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支出决算表</w:t>
            </w:r>
          </w:p>
        </w:tc>
      </w:tr>
      <w:tr>
        <w:trPr>
          <w:trHeight w:val="313"/>
        </w:trPr>
        <w:tc>
          <w:tcPr>
            <w:tcW w:w="941" w:type="dxa"/>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53" w:type="dxa"/>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111" w:type="dxa"/>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1593" w:type="dxa"/>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927" w:type="dxa"/>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1161" w:type="dxa"/>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1161" w:type="dxa"/>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1161" w:type="dxa"/>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1161" w:type="dxa"/>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1411" w:type="dxa"/>
            <w:tcBorders>
              <w:top w:val="nil"/>
              <w:left w:val="nil"/>
              <w:bottom w:val="nil"/>
              <w:right w:val="nil"/>
            </w:tcBorders>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03</w:t>
            </w:r>
            <w:r>
              <w:rPr>
                <w:rFonts w:ascii="宋体" w:eastAsia="宋体" w:cs="宋体" w:hint="eastAsia"/>
                <w:color w:val="000000"/>
                <w:kern w:val="0"/>
                <w:sz w:val="20"/>
                <w:szCs w:val="20"/>
              </w:rPr>
              <w:t>表</w:t>
            </w:r>
          </w:p>
        </w:tc>
      </w:tr>
      <w:tr>
        <w:trPr>
          <w:trHeight w:val="313"/>
        </w:trPr>
        <w:tc>
          <w:tcPr>
            <w:tcW w:w="941" w:type="dxa"/>
            <w:tcBorders>
              <w:top w:val="nil"/>
              <w:left w:val="nil"/>
              <w:bottom w:val="nil"/>
              <w:right w:val="nil"/>
            </w:tcBorders>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53" w:type="dxa"/>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111" w:type="dxa"/>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1593" w:type="dxa"/>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927" w:type="dxa"/>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1161" w:type="dxa"/>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1161" w:type="dxa"/>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1161" w:type="dxa"/>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2572" w:type="dxa"/>
            <w:gridSpan w:val="2"/>
            <w:tcBorders>
              <w:top w:val="nil"/>
              <w:left w:val="nil"/>
              <w:bottom w:val="nil"/>
              <w:right w:val="nil"/>
            </w:tcBorders>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trPr>
          <w:trHeight w:val="323"/>
        </w:trPr>
        <w:tc>
          <w:tcPr>
            <w:tcW w:w="269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927"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本年支出合计</w:t>
            </w:r>
          </w:p>
        </w:tc>
        <w:tc>
          <w:tcPr>
            <w:tcW w:w="1161"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1161"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c>
          <w:tcPr>
            <w:tcW w:w="1161"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上缴上级支出</w:t>
            </w:r>
          </w:p>
        </w:tc>
        <w:tc>
          <w:tcPr>
            <w:tcW w:w="1161"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经营支出</w:t>
            </w:r>
          </w:p>
        </w:tc>
        <w:tc>
          <w:tcPr>
            <w:tcW w:w="1411"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对附属单位补助支出</w:t>
            </w:r>
          </w:p>
        </w:tc>
      </w:tr>
      <w:tr>
        <w:trPr>
          <w:trHeight w:val="319"/>
        </w:trPr>
        <w:tc>
          <w:tcPr>
            <w:tcW w:w="1105" w:type="dxa"/>
            <w:gridSpan w:val="3"/>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1593" w:type="dxa"/>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927"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41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r>
      <w:tr>
        <w:trPr>
          <w:trHeight w:val="624"/>
        </w:trPr>
        <w:tc>
          <w:tcPr>
            <w:tcW w:w="1105"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tc>
        <w:tc>
          <w:tcPr>
            <w:tcW w:w="1593" w:type="dxa"/>
            <w:vMerge/>
            <w:tcBorders>
              <w:top w:val="nil"/>
              <w:left w:val="nil"/>
              <w:bottom w:val="single" w:sz="4" w:space="0" w:color="000000"/>
              <w:right w:val="single" w:sz="4" w:space="0" w:color="000000"/>
            </w:tcBorders>
            <w:tcMar>
              <w:top w:w="15" w:type="dxa"/>
              <w:left w:w="15" w:type="dxa"/>
              <w:right w:w="15" w:type="dxa"/>
            </w:tcMar>
            <w:vAlign w:val="center"/>
          </w:tcPr>
          <w:p/>
        </w:tc>
        <w:tc>
          <w:tcPr>
            <w:tcW w:w="927"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41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r>
      <w:tr>
        <w:trPr>
          <w:trHeight w:val="624"/>
        </w:trPr>
        <w:tc>
          <w:tcPr>
            <w:tcW w:w="1105"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tc>
        <w:tc>
          <w:tcPr>
            <w:tcW w:w="1593" w:type="dxa"/>
            <w:vMerge/>
            <w:tcBorders>
              <w:top w:val="nil"/>
              <w:left w:val="nil"/>
              <w:bottom w:val="single" w:sz="4" w:space="0" w:color="000000"/>
              <w:right w:val="single" w:sz="4" w:space="0" w:color="000000"/>
            </w:tcBorders>
            <w:tcMar>
              <w:top w:w="15" w:type="dxa"/>
              <w:left w:w="15" w:type="dxa"/>
              <w:right w:w="15" w:type="dxa"/>
            </w:tcMar>
            <w:vAlign w:val="center"/>
          </w:tcPr>
          <w:p/>
        </w:tc>
        <w:tc>
          <w:tcPr>
            <w:tcW w:w="927"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41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r>
      <w:tr>
        <w:trPr>
          <w:trHeight w:val="323"/>
        </w:trPr>
        <w:tc>
          <w:tcPr>
            <w:tcW w:w="269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927"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1161"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1161"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1161"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1161"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1411"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6</w:t>
            </w:r>
          </w:p>
        </w:tc>
      </w:tr>
      <w:tr>
        <w:trPr>
          <w:trHeight w:val="323"/>
        </w:trPr>
        <w:tc>
          <w:tcPr>
            <w:tcW w:w="269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927"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b/>
                <w:color w:val="000000"/>
                <w:sz w:val="18"/>
                <w:szCs w:val="18"/>
              </w:rPr>
            </w:pPr>
            <w:r>
              <w:rPr>
                <w:rFonts w:ascii="宋体" w:eastAsia="宋体" w:cs="宋体"/>
                <w:b/>
                <w:color w:val="000000"/>
                <w:kern w:val="0"/>
                <w:sz w:val="18"/>
                <w:szCs w:val="18"/>
              </w:rPr>
              <w:t>2,259.05</w:t>
            </w:r>
          </w:p>
        </w:tc>
        <w:tc>
          <w:tcPr>
            <w:tcW w:w="1161"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b/>
                <w:color w:val="000000"/>
                <w:sz w:val="18"/>
                <w:szCs w:val="18"/>
              </w:rPr>
            </w:pPr>
            <w:r>
              <w:rPr>
                <w:rFonts w:ascii="宋体" w:eastAsia="宋体" w:cs="宋体"/>
                <w:b/>
                <w:color w:val="000000"/>
                <w:kern w:val="0"/>
                <w:sz w:val="18"/>
                <w:szCs w:val="18"/>
              </w:rPr>
              <w:t>2,069.15</w:t>
            </w:r>
          </w:p>
        </w:tc>
        <w:tc>
          <w:tcPr>
            <w:tcW w:w="1161"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b/>
                <w:color w:val="000000"/>
                <w:sz w:val="18"/>
                <w:szCs w:val="18"/>
              </w:rPr>
            </w:pPr>
            <w:r>
              <w:rPr>
                <w:rFonts w:ascii="宋体" w:eastAsia="宋体" w:cs="宋体"/>
                <w:b/>
                <w:color w:val="000000"/>
                <w:kern w:val="0"/>
                <w:sz w:val="18"/>
                <w:szCs w:val="18"/>
              </w:rPr>
              <w:t>189.90</w:t>
            </w:r>
          </w:p>
        </w:tc>
        <w:tc>
          <w:tcPr>
            <w:tcW w:w="1161"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b/>
                <w:color w:val="000000"/>
                <w:sz w:val="22"/>
              </w:rPr>
            </w:pPr>
          </w:p>
        </w:tc>
        <w:tc>
          <w:tcPr>
            <w:tcW w:w="1161"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b/>
                <w:color w:val="000000"/>
                <w:sz w:val="22"/>
              </w:rPr>
            </w:pPr>
          </w:p>
        </w:tc>
        <w:tc>
          <w:tcPr>
            <w:tcW w:w="1411"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b/>
                <w:color w:val="000000"/>
                <w:sz w:val="22"/>
              </w:rPr>
            </w:pPr>
          </w:p>
        </w:tc>
      </w:tr>
      <w:tr>
        <w:trPr>
          <w:trHeight w:val="323"/>
        </w:trPr>
        <w:tc>
          <w:tcPr>
            <w:tcW w:w="1105"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201</w:t>
            </w:r>
          </w:p>
        </w:tc>
        <w:tc>
          <w:tcPr>
            <w:tcW w:w="1593" w:type="dxa"/>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hint="eastAsia"/>
                <w:color w:val="000000"/>
                <w:kern w:val="0"/>
                <w:sz w:val="16"/>
                <w:szCs w:val="16"/>
              </w:rPr>
              <w:t>一般公共服务支出</w:t>
            </w:r>
          </w:p>
        </w:tc>
        <w:tc>
          <w:tcPr>
            <w:tcW w:w="927"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1,798.94</w:t>
            </w:r>
          </w:p>
        </w:tc>
        <w:tc>
          <w:tcPr>
            <w:tcW w:w="1161"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1,609.03</w:t>
            </w:r>
          </w:p>
        </w:tc>
        <w:tc>
          <w:tcPr>
            <w:tcW w:w="1161"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189.90</w:t>
            </w:r>
          </w:p>
        </w:tc>
        <w:tc>
          <w:tcPr>
            <w:tcW w:w="1161"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r>
      <w:tr>
        <w:trPr>
          <w:trHeight w:val="323"/>
        </w:trPr>
        <w:tc>
          <w:tcPr>
            <w:tcW w:w="1105"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20106</w:t>
            </w:r>
          </w:p>
        </w:tc>
        <w:tc>
          <w:tcPr>
            <w:tcW w:w="1593" w:type="dxa"/>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hint="eastAsia"/>
                <w:color w:val="000000"/>
                <w:kern w:val="0"/>
                <w:sz w:val="16"/>
                <w:szCs w:val="16"/>
              </w:rPr>
              <w:t>财政事务</w:t>
            </w:r>
          </w:p>
        </w:tc>
        <w:tc>
          <w:tcPr>
            <w:tcW w:w="927"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1,798.94</w:t>
            </w:r>
          </w:p>
        </w:tc>
        <w:tc>
          <w:tcPr>
            <w:tcW w:w="1161"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1,609.03</w:t>
            </w:r>
          </w:p>
        </w:tc>
        <w:tc>
          <w:tcPr>
            <w:tcW w:w="1161"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189.90</w:t>
            </w:r>
          </w:p>
        </w:tc>
        <w:tc>
          <w:tcPr>
            <w:tcW w:w="1161"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r>
      <w:tr>
        <w:trPr>
          <w:trHeight w:val="323"/>
        </w:trPr>
        <w:tc>
          <w:tcPr>
            <w:tcW w:w="1105"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2010601</w:t>
            </w:r>
          </w:p>
        </w:tc>
        <w:tc>
          <w:tcPr>
            <w:tcW w:w="1593" w:type="dxa"/>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行政运行</w:t>
            </w:r>
          </w:p>
        </w:tc>
        <w:tc>
          <w:tcPr>
            <w:tcW w:w="927"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1,691.14</w:t>
            </w:r>
          </w:p>
        </w:tc>
        <w:tc>
          <w:tcPr>
            <w:tcW w:w="1161"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1,609.03</w:t>
            </w:r>
          </w:p>
        </w:tc>
        <w:tc>
          <w:tcPr>
            <w:tcW w:w="1161"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82.10</w:t>
            </w:r>
          </w:p>
        </w:tc>
        <w:tc>
          <w:tcPr>
            <w:tcW w:w="1161"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r>
      <w:tr>
        <w:trPr>
          <w:trHeight w:val="323"/>
        </w:trPr>
        <w:tc>
          <w:tcPr>
            <w:tcW w:w="1105"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2010608</w:t>
            </w:r>
          </w:p>
        </w:tc>
        <w:tc>
          <w:tcPr>
            <w:tcW w:w="1593" w:type="dxa"/>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财政委托业务支出</w:t>
            </w:r>
          </w:p>
        </w:tc>
        <w:tc>
          <w:tcPr>
            <w:tcW w:w="927"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57.72</w:t>
            </w:r>
          </w:p>
        </w:tc>
        <w:tc>
          <w:tcPr>
            <w:tcW w:w="1161"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8"/>
                <w:szCs w:val="18"/>
              </w:rPr>
            </w:pPr>
          </w:p>
        </w:tc>
        <w:tc>
          <w:tcPr>
            <w:tcW w:w="1161"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57.72</w:t>
            </w:r>
          </w:p>
        </w:tc>
        <w:tc>
          <w:tcPr>
            <w:tcW w:w="1161"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r>
      <w:tr>
        <w:trPr>
          <w:trHeight w:val="323"/>
        </w:trPr>
        <w:tc>
          <w:tcPr>
            <w:tcW w:w="1105"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2010699</w:t>
            </w:r>
          </w:p>
        </w:tc>
        <w:tc>
          <w:tcPr>
            <w:tcW w:w="1593" w:type="dxa"/>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其他财政事务支出</w:t>
            </w:r>
          </w:p>
        </w:tc>
        <w:tc>
          <w:tcPr>
            <w:tcW w:w="927"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50.08</w:t>
            </w:r>
          </w:p>
        </w:tc>
        <w:tc>
          <w:tcPr>
            <w:tcW w:w="1161"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8"/>
                <w:szCs w:val="18"/>
              </w:rPr>
            </w:pPr>
          </w:p>
        </w:tc>
        <w:tc>
          <w:tcPr>
            <w:tcW w:w="1161"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50.08</w:t>
            </w:r>
          </w:p>
        </w:tc>
        <w:tc>
          <w:tcPr>
            <w:tcW w:w="1161"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r>
      <w:tr>
        <w:trPr>
          <w:trHeight w:val="323"/>
        </w:trPr>
        <w:tc>
          <w:tcPr>
            <w:tcW w:w="1105"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208</w:t>
            </w:r>
          </w:p>
        </w:tc>
        <w:tc>
          <w:tcPr>
            <w:tcW w:w="1593" w:type="dxa"/>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hint="eastAsia"/>
                <w:color w:val="000000"/>
                <w:kern w:val="0"/>
                <w:sz w:val="16"/>
                <w:szCs w:val="16"/>
              </w:rPr>
              <w:t>社会保障和就业支出</w:t>
            </w:r>
          </w:p>
        </w:tc>
        <w:tc>
          <w:tcPr>
            <w:tcW w:w="927"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336.07</w:t>
            </w:r>
          </w:p>
        </w:tc>
        <w:tc>
          <w:tcPr>
            <w:tcW w:w="1161"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336.07</w:t>
            </w:r>
          </w:p>
        </w:tc>
        <w:tc>
          <w:tcPr>
            <w:tcW w:w="1161"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8"/>
                <w:szCs w:val="18"/>
              </w:rPr>
            </w:pPr>
          </w:p>
        </w:tc>
        <w:tc>
          <w:tcPr>
            <w:tcW w:w="1161"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r>
      <w:tr>
        <w:trPr>
          <w:trHeight w:val="323"/>
        </w:trPr>
        <w:tc>
          <w:tcPr>
            <w:tcW w:w="1105"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20805</w:t>
            </w:r>
          </w:p>
        </w:tc>
        <w:tc>
          <w:tcPr>
            <w:tcW w:w="1593" w:type="dxa"/>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hint="eastAsia"/>
                <w:color w:val="000000"/>
                <w:kern w:val="0"/>
                <w:sz w:val="16"/>
                <w:szCs w:val="16"/>
              </w:rPr>
              <w:t>行政事业单位离退休</w:t>
            </w:r>
          </w:p>
        </w:tc>
        <w:tc>
          <w:tcPr>
            <w:tcW w:w="927"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336.07</w:t>
            </w:r>
          </w:p>
        </w:tc>
        <w:tc>
          <w:tcPr>
            <w:tcW w:w="1161"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336.07</w:t>
            </w:r>
          </w:p>
        </w:tc>
        <w:tc>
          <w:tcPr>
            <w:tcW w:w="1161"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8"/>
                <w:szCs w:val="18"/>
              </w:rPr>
            </w:pPr>
          </w:p>
        </w:tc>
        <w:tc>
          <w:tcPr>
            <w:tcW w:w="1161"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r>
      <w:tr>
        <w:trPr>
          <w:trHeight w:val="323"/>
        </w:trPr>
        <w:tc>
          <w:tcPr>
            <w:tcW w:w="1105"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2080501</w:t>
            </w:r>
          </w:p>
        </w:tc>
        <w:tc>
          <w:tcPr>
            <w:tcW w:w="1593" w:type="dxa"/>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归口管理的行政单位离退休</w:t>
            </w:r>
          </w:p>
        </w:tc>
        <w:tc>
          <w:tcPr>
            <w:tcW w:w="927"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209.33</w:t>
            </w:r>
          </w:p>
        </w:tc>
        <w:tc>
          <w:tcPr>
            <w:tcW w:w="1161"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209.33</w:t>
            </w:r>
          </w:p>
        </w:tc>
        <w:tc>
          <w:tcPr>
            <w:tcW w:w="1161"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8"/>
                <w:szCs w:val="18"/>
              </w:rPr>
            </w:pPr>
          </w:p>
        </w:tc>
        <w:tc>
          <w:tcPr>
            <w:tcW w:w="1161"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r>
      <w:tr>
        <w:trPr>
          <w:trHeight w:val="323"/>
        </w:trPr>
        <w:tc>
          <w:tcPr>
            <w:tcW w:w="1105"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2080505</w:t>
            </w:r>
          </w:p>
        </w:tc>
        <w:tc>
          <w:tcPr>
            <w:tcW w:w="1593" w:type="dxa"/>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机关事业单位基本养老保险缴费支出</w:t>
            </w:r>
          </w:p>
        </w:tc>
        <w:tc>
          <w:tcPr>
            <w:tcW w:w="927"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126.74</w:t>
            </w:r>
          </w:p>
        </w:tc>
        <w:tc>
          <w:tcPr>
            <w:tcW w:w="1161"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126.74</w:t>
            </w:r>
          </w:p>
        </w:tc>
        <w:tc>
          <w:tcPr>
            <w:tcW w:w="1161"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8"/>
                <w:szCs w:val="18"/>
              </w:rPr>
            </w:pPr>
          </w:p>
        </w:tc>
        <w:tc>
          <w:tcPr>
            <w:tcW w:w="1161"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r>
      <w:tr>
        <w:trPr>
          <w:trHeight w:val="323"/>
        </w:trPr>
        <w:tc>
          <w:tcPr>
            <w:tcW w:w="1105"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210</w:t>
            </w:r>
          </w:p>
        </w:tc>
        <w:tc>
          <w:tcPr>
            <w:tcW w:w="1593" w:type="dxa"/>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hint="eastAsia"/>
                <w:color w:val="000000"/>
                <w:kern w:val="0"/>
                <w:sz w:val="16"/>
                <w:szCs w:val="16"/>
              </w:rPr>
              <w:t>卫生健康支出</w:t>
            </w:r>
          </w:p>
        </w:tc>
        <w:tc>
          <w:tcPr>
            <w:tcW w:w="927"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46.35</w:t>
            </w:r>
          </w:p>
        </w:tc>
        <w:tc>
          <w:tcPr>
            <w:tcW w:w="1161"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46.35</w:t>
            </w:r>
          </w:p>
        </w:tc>
        <w:tc>
          <w:tcPr>
            <w:tcW w:w="1161"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8"/>
                <w:szCs w:val="18"/>
              </w:rPr>
            </w:pPr>
          </w:p>
        </w:tc>
        <w:tc>
          <w:tcPr>
            <w:tcW w:w="1161"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r>
      <w:tr>
        <w:trPr>
          <w:trHeight w:val="323"/>
        </w:trPr>
        <w:tc>
          <w:tcPr>
            <w:tcW w:w="1105"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21011</w:t>
            </w:r>
          </w:p>
        </w:tc>
        <w:tc>
          <w:tcPr>
            <w:tcW w:w="1593" w:type="dxa"/>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hint="eastAsia"/>
                <w:color w:val="000000"/>
                <w:kern w:val="0"/>
                <w:sz w:val="16"/>
                <w:szCs w:val="16"/>
              </w:rPr>
              <w:t>行政事业单位医疗</w:t>
            </w:r>
          </w:p>
        </w:tc>
        <w:tc>
          <w:tcPr>
            <w:tcW w:w="927"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46.35</w:t>
            </w:r>
          </w:p>
        </w:tc>
        <w:tc>
          <w:tcPr>
            <w:tcW w:w="1161"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46.35</w:t>
            </w:r>
          </w:p>
        </w:tc>
        <w:tc>
          <w:tcPr>
            <w:tcW w:w="1161"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8"/>
                <w:szCs w:val="18"/>
              </w:rPr>
            </w:pPr>
          </w:p>
        </w:tc>
        <w:tc>
          <w:tcPr>
            <w:tcW w:w="1161"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r>
      <w:tr>
        <w:trPr>
          <w:trHeight w:val="323"/>
        </w:trPr>
        <w:tc>
          <w:tcPr>
            <w:tcW w:w="1105"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2101101</w:t>
            </w:r>
          </w:p>
        </w:tc>
        <w:tc>
          <w:tcPr>
            <w:tcW w:w="1593" w:type="dxa"/>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行政单位医疗</w:t>
            </w:r>
          </w:p>
        </w:tc>
        <w:tc>
          <w:tcPr>
            <w:tcW w:w="927"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46.35</w:t>
            </w:r>
          </w:p>
        </w:tc>
        <w:tc>
          <w:tcPr>
            <w:tcW w:w="1161"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46.35</w:t>
            </w:r>
          </w:p>
        </w:tc>
        <w:tc>
          <w:tcPr>
            <w:tcW w:w="1161"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8"/>
                <w:szCs w:val="18"/>
              </w:rPr>
            </w:pPr>
          </w:p>
        </w:tc>
        <w:tc>
          <w:tcPr>
            <w:tcW w:w="1161"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r>
      <w:tr>
        <w:trPr>
          <w:trHeight w:val="323"/>
        </w:trPr>
        <w:tc>
          <w:tcPr>
            <w:tcW w:w="1105"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221</w:t>
            </w:r>
          </w:p>
        </w:tc>
        <w:tc>
          <w:tcPr>
            <w:tcW w:w="1593" w:type="dxa"/>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hint="eastAsia"/>
                <w:color w:val="000000"/>
                <w:kern w:val="0"/>
                <w:sz w:val="16"/>
                <w:szCs w:val="16"/>
              </w:rPr>
              <w:t>住房保障支出</w:t>
            </w:r>
          </w:p>
        </w:tc>
        <w:tc>
          <w:tcPr>
            <w:tcW w:w="927"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77.70</w:t>
            </w:r>
          </w:p>
        </w:tc>
        <w:tc>
          <w:tcPr>
            <w:tcW w:w="1161"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77.70</w:t>
            </w:r>
          </w:p>
        </w:tc>
        <w:tc>
          <w:tcPr>
            <w:tcW w:w="1161"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8"/>
                <w:szCs w:val="18"/>
              </w:rPr>
            </w:pPr>
          </w:p>
        </w:tc>
        <w:tc>
          <w:tcPr>
            <w:tcW w:w="1161"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r>
      <w:tr>
        <w:trPr>
          <w:trHeight w:val="323"/>
        </w:trPr>
        <w:tc>
          <w:tcPr>
            <w:tcW w:w="1105"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22102</w:t>
            </w:r>
          </w:p>
        </w:tc>
        <w:tc>
          <w:tcPr>
            <w:tcW w:w="1593" w:type="dxa"/>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hint="eastAsia"/>
                <w:color w:val="000000"/>
                <w:kern w:val="0"/>
                <w:sz w:val="16"/>
                <w:szCs w:val="16"/>
              </w:rPr>
              <w:t>住房改革支出</w:t>
            </w:r>
          </w:p>
        </w:tc>
        <w:tc>
          <w:tcPr>
            <w:tcW w:w="927"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77.70</w:t>
            </w:r>
          </w:p>
        </w:tc>
        <w:tc>
          <w:tcPr>
            <w:tcW w:w="1161"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77.70</w:t>
            </w:r>
          </w:p>
        </w:tc>
        <w:tc>
          <w:tcPr>
            <w:tcW w:w="1161"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8"/>
                <w:szCs w:val="18"/>
              </w:rPr>
            </w:pPr>
          </w:p>
        </w:tc>
        <w:tc>
          <w:tcPr>
            <w:tcW w:w="1161"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r>
      <w:tr>
        <w:trPr>
          <w:trHeight w:val="323"/>
        </w:trPr>
        <w:tc>
          <w:tcPr>
            <w:tcW w:w="1105"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2210201</w:t>
            </w:r>
          </w:p>
        </w:tc>
        <w:tc>
          <w:tcPr>
            <w:tcW w:w="1593" w:type="dxa"/>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住房公积金</w:t>
            </w:r>
          </w:p>
        </w:tc>
        <w:tc>
          <w:tcPr>
            <w:tcW w:w="927"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77.70</w:t>
            </w:r>
          </w:p>
        </w:tc>
        <w:tc>
          <w:tcPr>
            <w:tcW w:w="1161"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77.70</w:t>
            </w:r>
          </w:p>
        </w:tc>
        <w:tc>
          <w:tcPr>
            <w:tcW w:w="1161"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8"/>
                <w:szCs w:val="18"/>
              </w:rPr>
            </w:pPr>
          </w:p>
        </w:tc>
        <w:tc>
          <w:tcPr>
            <w:tcW w:w="1161"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r>
      <w:tr>
        <w:trPr>
          <w:trHeight w:val="323"/>
        </w:trPr>
        <w:tc>
          <w:tcPr>
            <w:tcW w:w="9680" w:type="dxa"/>
            <w:gridSpan w:val="10"/>
            <w:tcBorders>
              <w:top w:val="nil"/>
              <w:left w:val="nil"/>
              <w:bottom w:val="nil"/>
              <w:right w:val="nil"/>
            </w:tcBorders>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注：本表反映部门本年度各项支出情况。</w:t>
            </w:r>
          </w:p>
        </w:tc>
      </w:tr>
    </w:tbl>
    <w:p>
      <w:pPr>
        <w:rPr>
          <w:color w:val="000000"/>
        </w:rPr>
      </w:pPr>
      <w:r>
        <w:rPr>
          <w:color w:val="000000"/>
        </w:rPr>
        <w:br w:type="page"/>
      </w:r>
    </w:p>
    <w:tbl>
      <w:tblPr>
        <w:jc w:val="center"/>
        <w:tblW w:w="9989"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780"/>
        <w:gridCol w:w="62"/>
        <w:gridCol w:w="62"/>
        <w:gridCol w:w="1684"/>
        <w:gridCol w:w="334"/>
        <w:gridCol w:w="176"/>
        <w:gridCol w:w="249"/>
        <w:gridCol w:w="471"/>
        <w:gridCol w:w="277"/>
        <w:gridCol w:w="1470"/>
        <w:gridCol w:w="1043"/>
        <w:gridCol w:w="347"/>
        <w:gridCol w:w="178"/>
        <w:gridCol w:w="329"/>
        <w:gridCol w:w="204"/>
        <w:gridCol w:w="210"/>
        <w:gridCol w:w="855"/>
        <w:gridCol w:w="789"/>
        <w:gridCol w:w="469"/>
      </w:tblGrid>
      <w:tr>
        <w:trPr>
          <w:trHeight w:val="406"/>
          <w:gridAfter w:val="1"/>
          <w:wAfter w:w="469" w:type="dxa"/>
        </w:trPr>
        <w:tc>
          <w:tcPr>
            <w:tcW w:w="9520" w:type="dxa"/>
            <w:gridSpan w:val="18"/>
            <w:tcBorders>
              <w:top w:val="nil"/>
              <w:left w:val="nil"/>
              <w:bottom w:val="nil"/>
              <w:right w:val="nil"/>
            </w:tcBorders>
            <w:tcMar>
              <w:top w:w="15" w:type="dxa"/>
              <w:left w:w="15" w:type="dxa"/>
              <w:right w:w="15" w:type="dxa"/>
            </w:tcMar>
            <w:vAlign w:val="bottom"/>
          </w:tcPr>
          <w:p>
            <w:pPr>
              <w:jc w:val="center"/>
              <w:rPr>
                <w:rFonts w:ascii="黑体" w:eastAsia="黑体" w:cs="黑体"/>
                <w:color w:val="000000"/>
                <w:sz w:val="32"/>
                <w:szCs w:val="32"/>
              </w:rPr>
            </w:pPr>
            <w:r>
              <w:rPr>
                <w:rFonts w:ascii="黑体" w:eastAsia="黑体" w:cs="黑体" w:hint="eastAsia"/>
                <w:color w:val="000000"/>
                <w:kern w:val="0"/>
                <w:sz w:val="32"/>
                <w:szCs w:val="32"/>
              </w:rPr>
              <w:t>财政拨款收入支出决算总表</w:t>
            </w:r>
          </w:p>
        </w:tc>
      </w:tr>
      <w:tr>
        <w:trPr>
          <w:trHeight w:val="90"/>
          <w:gridAfter w:val="1"/>
          <w:wAfter w:w="469" w:type="dxa"/>
        </w:trPr>
        <w:tc>
          <w:tcPr>
            <w:tcW w:w="2922" w:type="dxa"/>
            <w:gridSpan w:val="5"/>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425" w:type="dxa"/>
            <w:gridSpan w:val="2"/>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471" w:type="dxa"/>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3137" w:type="dxa"/>
            <w:gridSpan w:val="4"/>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507" w:type="dxa"/>
            <w:gridSpan w:val="2"/>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2058" w:type="dxa"/>
            <w:gridSpan w:val="4"/>
            <w:tcBorders>
              <w:top w:val="nil"/>
              <w:left w:val="nil"/>
              <w:bottom w:val="nil"/>
              <w:right w:val="nil"/>
            </w:tcBorders>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04</w:t>
            </w:r>
            <w:r>
              <w:rPr>
                <w:rFonts w:ascii="宋体" w:eastAsia="宋体" w:cs="宋体" w:hint="eastAsia"/>
                <w:color w:val="000000"/>
                <w:kern w:val="0"/>
                <w:sz w:val="20"/>
                <w:szCs w:val="20"/>
              </w:rPr>
              <w:t>表</w:t>
            </w:r>
          </w:p>
        </w:tc>
      </w:tr>
      <w:tr>
        <w:trPr>
          <w:trHeight w:val="90"/>
          <w:gridAfter w:val="1"/>
          <w:wAfter w:w="469" w:type="dxa"/>
        </w:trPr>
        <w:tc>
          <w:tcPr>
            <w:tcW w:w="2922" w:type="dxa"/>
            <w:gridSpan w:val="5"/>
            <w:tcBorders>
              <w:top w:val="nil"/>
              <w:left w:val="nil"/>
              <w:bottom w:val="nil"/>
              <w:right w:val="nil"/>
            </w:tcBorders>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425" w:type="dxa"/>
            <w:gridSpan w:val="2"/>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471" w:type="dxa"/>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3137" w:type="dxa"/>
            <w:gridSpan w:val="4"/>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507" w:type="dxa"/>
            <w:gridSpan w:val="2"/>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2058" w:type="dxa"/>
            <w:gridSpan w:val="4"/>
            <w:tcBorders>
              <w:top w:val="nil"/>
              <w:left w:val="nil"/>
              <w:bottom w:val="nil"/>
              <w:right w:val="nil"/>
            </w:tcBorders>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trPr>
          <w:trHeight w:val="90"/>
          <w:gridAfter w:val="1"/>
          <w:wAfter w:w="469" w:type="dxa"/>
        </w:trPr>
        <w:tc>
          <w:tcPr>
            <w:tcW w:w="3818"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收</w:t>
            </w:r>
            <w:r>
              <w:rPr>
                <w:rFonts w:ascii="宋体" w:eastAsia="宋体" w:cs="宋体"/>
                <w:color w:val="000000"/>
                <w:kern w:val="0"/>
                <w:sz w:val="22"/>
              </w:rPr>
              <w:t xml:space="preserve">     </w:t>
            </w:r>
            <w:r>
              <w:rPr>
                <w:rFonts w:ascii="宋体" w:eastAsia="宋体" w:cs="宋体" w:hint="eastAsia"/>
                <w:color w:val="000000"/>
                <w:kern w:val="0"/>
                <w:sz w:val="22"/>
              </w:rPr>
              <w:t>入</w:t>
            </w:r>
          </w:p>
        </w:tc>
        <w:tc>
          <w:tcPr>
            <w:tcW w:w="5702" w:type="dxa"/>
            <w:gridSpan w:val="10"/>
            <w:tcBorders>
              <w:top w:val="single" w:sz="4" w:space="0" w:color="000000"/>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支</w:t>
            </w:r>
            <w:r>
              <w:rPr>
                <w:rFonts w:ascii="宋体" w:eastAsia="宋体" w:cs="宋体"/>
                <w:color w:val="000000"/>
                <w:kern w:val="0"/>
                <w:sz w:val="22"/>
              </w:rPr>
              <w:t xml:space="preserve">     </w:t>
            </w:r>
            <w:r>
              <w:rPr>
                <w:rFonts w:ascii="宋体" w:eastAsia="宋体" w:cs="宋体" w:hint="eastAsia"/>
                <w:color w:val="000000"/>
                <w:kern w:val="0"/>
                <w:sz w:val="22"/>
              </w:rPr>
              <w:t>出</w:t>
            </w:r>
          </w:p>
        </w:tc>
      </w:tr>
      <w:tr>
        <w:trPr>
          <w:trHeight w:val="312"/>
          <w:gridAfter w:val="1"/>
          <w:wAfter w:w="469" w:type="dxa"/>
        </w:trPr>
        <w:tc>
          <w:tcPr>
            <w:tcW w:w="2588" w:type="dxa"/>
            <w:gridSpan w:val="4"/>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510" w:type="dxa"/>
            <w:gridSpan w:val="2"/>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720" w:type="dxa"/>
            <w:gridSpan w:val="2"/>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c>
          <w:tcPr>
            <w:tcW w:w="2790" w:type="dxa"/>
            <w:gridSpan w:val="3"/>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525" w:type="dxa"/>
            <w:gridSpan w:val="2"/>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743" w:type="dxa"/>
            <w:gridSpan w:val="3"/>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855" w:type="dxa"/>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一般公共预算财政拨款</w:t>
            </w:r>
          </w:p>
        </w:tc>
        <w:tc>
          <w:tcPr>
            <w:tcW w:w="789" w:type="dxa"/>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政府性基金预算财政拨款</w:t>
            </w:r>
          </w:p>
        </w:tc>
      </w:tr>
      <w:tr>
        <w:trPr>
          <w:trHeight w:val="624"/>
          <w:gridAfter w:val="1"/>
          <w:wAfter w:w="469" w:type="dxa"/>
        </w:trPr>
        <w:tc>
          <w:tcPr>
            <w:tcW w:w="2588" w:type="dxa"/>
            <w:gridSpan w:val="4"/>
            <w:vMerge/>
            <w:tcBorders>
              <w:top w:val="nil"/>
              <w:left w:val="single" w:sz="4" w:space="0" w:color="000000"/>
              <w:bottom w:val="single" w:sz="4" w:space="0" w:color="000000"/>
              <w:right w:val="single" w:sz="4" w:space="0" w:color="000000"/>
            </w:tcBorders>
            <w:tcMar>
              <w:top w:w="15" w:type="dxa"/>
              <w:left w:w="15" w:type="dxa"/>
              <w:right w:w="15" w:type="dxa"/>
            </w:tcMar>
            <w:vAlign w:val="center"/>
          </w:tcPr>
          <w:p/>
        </w:tc>
        <w:tc>
          <w:tcPr>
            <w:tcW w:w="510" w:type="dxa"/>
            <w:gridSpan w:val="2"/>
            <w:vMerge/>
            <w:tcBorders>
              <w:top w:val="nil"/>
              <w:left w:val="nil"/>
              <w:bottom w:val="single" w:sz="4" w:space="0" w:color="000000"/>
              <w:right w:val="single" w:sz="4" w:space="0" w:color="000000"/>
            </w:tcBorders>
            <w:tcMar>
              <w:top w:w="15" w:type="dxa"/>
              <w:left w:w="15" w:type="dxa"/>
              <w:right w:w="15" w:type="dxa"/>
            </w:tcMar>
            <w:vAlign w:val="center"/>
          </w:tcPr>
          <w:p/>
        </w:tc>
        <w:tc>
          <w:tcPr>
            <w:tcW w:w="720" w:type="dxa"/>
            <w:gridSpan w:val="2"/>
            <w:vMerge/>
            <w:tcBorders>
              <w:top w:val="nil"/>
              <w:left w:val="nil"/>
              <w:bottom w:val="single" w:sz="4" w:space="0" w:color="000000"/>
              <w:right w:val="single" w:sz="4" w:space="0" w:color="000000"/>
            </w:tcBorders>
            <w:tcMar>
              <w:top w:w="15" w:type="dxa"/>
              <w:left w:w="15" w:type="dxa"/>
              <w:right w:w="15" w:type="dxa"/>
            </w:tcMar>
            <w:vAlign w:val="center"/>
          </w:tcPr>
          <w:p/>
        </w:tc>
        <w:tc>
          <w:tcPr>
            <w:tcW w:w="2790" w:type="dxa"/>
            <w:gridSpan w:val="3"/>
            <w:vMerge/>
            <w:tcBorders>
              <w:top w:val="nil"/>
              <w:left w:val="nil"/>
              <w:bottom w:val="single" w:sz="4" w:space="0" w:color="000000"/>
              <w:right w:val="single" w:sz="4" w:space="0" w:color="000000"/>
            </w:tcBorders>
            <w:tcMar>
              <w:top w:w="15" w:type="dxa"/>
              <w:left w:w="15" w:type="dxa"/>
              <w:right w:w="15" w:type="dxa"/>
            </w:tcMar>
            <w:vAlign w:val="center"/>
          </w:tcPr>
          <w:p/>
        </w:tc>
        <w:tc>
          <w:tcPr>
            <w:tcW w:w="525" w:type="dxa"/>
            <w:gridSpan w:val="2"/>
            <w:vMerge/>
            <w:tcBorders>
              <w:top w:val="nil"/>
              <w:left w:val="nil"/>
              <w:bottom w:val="single" w:sz="4" w:space="0" w:color="000000"/>
              <w:right w:val="single" w:sz="4" w:space="0" w:color="000000"/>
            </w:tcBorders>
            <w:tcMar>
              <w:top w:w="15" w:type="dxa"/>
              <w:left w:w="15" w:type="dxa"/>
              <w:right w:w="15" w:type="dxa"/>
            </w:tcMar>
            <w:vAlign w:val="center"/>
          </w:tcPr>
          <w:p/>
        </w:tc>
        <w:tc>
          <w:tcPr>
            <w:tcW w:w="743" w:type="dxa"/>
            <w:gridSpan w:val="3"/>
            <w:vMerge/>
            <w:tcBorders>
              <w:top w:val="nil"/>
              <w:left w:val="nil"/>
              <w:bottom w:val="single" w:sz="4" w:space="0" w:color="000000"/>
              <w:right w:val="single" w:sz="4" w:space="0" w:color="000000"/>
            </w:tcBorders>
            <w:tcMar>
              <w:top w:w="15" w:type="dxa"/>
              <w:left w:w="15" w:type="dxa"/>
              <w:right w:w="15" w:type="dxa"/>
            </w:tcMar>
            <w:vAlign w:val="center"/>
          </w:tcPr>
          <w:p/>
        </w:tc>
        <w:tc>
          <w:tcPr>
            <w:tcW w:w="855" w:type="dxa"/>
            <w:vMerge/>
            <w:tcBorders>
              <w:top w:val="nil"/>
              <w:left w:val="nil"/>
              <w:bottom w:val="single" w:sz="4" w:space="0" w:color="000000"/>
              <w:right w:val="single" w:sz="4" w:space="0" w:color="000000"/>
            </w:tcBorders>
            <w:tcMar>
              <w:top w:w="15" w:type="dxa"/>
              <w:left w:w="15" w:type="dxa"/>
              <w:right w:w="15" w:type="dxa"/>
            </w:tcMar>
            <w:vAlign w:val="center"/>
          </w:tcPr>
          <w:p/>
        </w:tc>
        <w:tc>
          <w:tcPr>
            <w:tcW w:w="789" w:type="dxa"/>
            <w:vMerge/>
            <w:tcBorders>
              <w:top w:val="nil"/>
              <w:left w:val="nil"/>
              <w:bottom w:val="single" w:sz="4" w:space="0" w:color="000000"/>
              <w:right w:val="single" w:sz="4" w:space="0" w:color="000000"/>
            </w:tcBorders>
            <w:tcMar>
              <w:top w:w="15" w:type="dxa"/>
              <w:left w:w="15" w:type="dxa"/>
              <w:right w:w="15" w:type="dxa"/>
            </w:tcMar>
            <w:vAlign w:val="center"/>
          </w:tcPr>
          <w:p/>
        </w:tc>
      </w:tr>
      <w:tr>
        <w:trPr>
          <w:trHeight w:val="90"/>
          <w:gridAfter w:val="1"/>
          <w:wAfter w:w="469" w:type="dxa"/>
        </w:trPr>
        <w:tc>
          <w:tcPr>
            <w:tcW w:w="258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510" w:type="dxa"/>
            <w:gridSpan w:val="2"/>
            <w:tcBorders>
              <w:top w:val="nil"/>
              <w:left w:val="nil"/>
              <w:bottom w:val="single" w:sz="4" w:space="0" w:color="000000"/>
              <w:right w:val="single" w:sz="4" w:space="0" w:color="000000"/>
            </w:tcBorders>
            <w:tcMar>
              <w:top w:w="15" w:type="dxa"/>
              <w:left w:w="15" w:type="dxa"/>
              <w:right w:w="15" w:type="dxa"/>
            </w:tcMar>
            <w:vAlign w:val="center"/>
          </w:tcPr>
          <w:p>
            <w:pPr>
              <w:jc w:val="center"/>
              <w:rPr>
                <w:rFonts w:ascii="宋体" w:eastAsia="宋体" w:cs="宋体"/>
                <w:color w:val="000000"/>
                <w:sz w:val="22"/>
              </w:rPr>
            </w:pPr>
          </w:p>
        </w:tc>
        <w:tc>
          <w:tcPr>
            <w:tcW w:w="720"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2790"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栏次</w:t>
            </w:r>
          </w:p>
        </w:tc>
        <w:tc>
          <w:tcPr>
            <w:tcW w:w="525" w:type="dxa"/>
            <w:gridSpan w:val="2"/>
            <w:tcBorders>
              <w:top w:val="nil"/>
              <w:left w:val="nil"/>
              <w:bottom w:val="single" w:sz="4" w:space="0" w:color="000000"/>
              <w:right w:val="single" w:sz="4" w:space="0" w:color="000000"/>
            </w:tcBorders>
            <w:tcMar>
              <w:top w:w="15" w:type="dxa"/>
              <w:left w:w="15" w:type="dxa"/>
              <w:right w:w="15" w:type="dxa"/>
            </w:tcMar>
            <w:vAlign w:val="center"/>
          </w:tcPr>
          <w:p>
            <w:pPr>
              <w:jc w:val="center"/>
              <w:rPr>
                <w:rFonts w:ascii="宋体" w:eastAsia="宋体" w:cs="宋体"/>
                <w:color w:val="000000"/>
                <w:sz w:val="22"/>
              </w:rPr>
            </w:pPr>
          </w:p>
        </w:tc>
        <w:tc>
          <w:tcPr>
            <w:tcW w:w="743"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855"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789"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w:t>
            </w:r>
          </w:p>
        </w:tc>
      </w:tr>
      <w:tr>
        <w:trPr>
          <w:trHeight w:val="90"/>
          <w:gridAfter w:val="1"/>
          <w:wAfter w:w="469" w:type="dxa"/>
        </w:trPr>
        <w:tc>
          <w:tcPr>
            <w:tcW w:w="258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一、一般公共预算财政拨款</w:t>
            </w:r>
          </w:p>
        </w:tc>
        <w:tc>
          <w:tcPr>
            <w:tcW w:w="510"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720"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2,141.92</w:t>
            </w:r>
          </w:p>
        </w:tc>
        <w:tc>
          <w:tcPr>
            <w:tcW w:w="2790"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一、一般公共服务支出</w:t>
            </w:r>
          </w:p>
        </w:tc>
        <w:tc>
          <w:tcPr>
            <w:tcW w:w="525"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30</w:t>
            </w:r>
          </w:p>
        </w:tc>
        <w:tc>
          <w:tcPr>
            <w:tcW w:w="743"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1,667.25</w:t>
            </w:r>
          </w:p>
        </w:tc>
        <w:tc>
          <w:tcPr>
            <w:tcW w:w="855"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1,667.25</w:t>
            </w:r>
          </w:p>
        </w:tc>
        <w:tc>
          <w:tcPr>
            <w:tcW w:w="789"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r>
      <w:tr>
        <w:trPr>
          <w:trHeight w:val="90"/>
          <w:gridAfter w:val="1"/>
          <w:wAfter w:w="469" w:type="dxa"/>
        </w:trPr>
        <w:tc>
          <w:tcPr>
            <w:tcW w:w="258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二、政府性基金预算财政拨款</w:t>
            </w:r>
          </w:p>
        </w:tc>
        <w:tc>
          <w:tcPr>
            <w:tcW w:w="510"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720"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c>
          <w:tcPr>
            <w:tcW w:w="2790"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二、外交支出</w:t>
            </w:r>
          </w:p>
        </w:tc>
        <w:tc>
          <w:tcPr>
            <w:tcW w:w="525"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31</w:t>
            </w:r>
          </w:p>
        </w:tc>
        <w:tc>
          <w:tcPr>
            <w:tcW w:w="743"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c>
          <w:tcPr>
            <w:tcW w:w="855"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c>
          <w:tcPr>
            <w:tcW w:w="789"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r>
      <w:tr>
        <w:trPr>
          <w:trHeight w:val="90"/>
          <w:gridAfter w:val="1"/>
          <w:wAfter w:w="469" w:type="dxa"/>
        </w:trPr>
        <w:tc>
          <w:tcPr>
            <w:tcW w:w="258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pPr>
              <w:jc w:val="left"/>
              <w:rPr>
                <w:rFonts w:ascii="宋体" w:eastAsia="宋体" w:cs="宋体"/>
                <w:color w:val="000000"/>
                <w:sz w:val="20"/>
                <w:szCs w:val="20"/>
              </w:rPr>
            </w:pPr>
          </w:p>
        </w:tc>
        <w:tc>
          <w:tcPr>
            <w:tcW w:w="510"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720" w:type="dxa"/>
            <w:gridSpan w:val="2"/>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16"/>
                <w:szCs w:val="16"/>
              </w:rPr>
            </w:pPr>
          </w:p>
        </w:tc>
        <w:tc>
          <w:tcPr>
            <w:tcW w:w="2790"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三、国防支出</w:t>
            </w:r>
          </w:p>
        </w:tc>
        <w:tc>
          <w:tcPr>
            <w:tcW w:w="525"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32</w:t>
            </w:r>
          </w:p>
        </w:tc>
        <w:tc>
          <w:tcPr>
            <w:tcW w:w="743"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c>
          <w:tcPr>
            <w:tcW w:w="855"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c>
          <w:tcPr>
            <w:tcW w:w="789"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r>
      <w:tr>
        <w:trPr>
          <w:trHeight w:val="90"/>
          <w:gridAfter w:val="1"/>
          <w:wAfter w:w="469" w:type="dxa"/>
        </w:trPr>
        <w:tc>
          <w:tcPr>
            <w:tcW w:w="258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pPr>
              <w:jc w:val="left"/>
              <w:rPr>
                <w:rFonts w:ascii="宋体" w:eastAsia="宋体" w:cs="宋体"/>
                <w:color w:val="000000"/>
                <w:sz w:val="20"/>
                <w:szCs w:val="20"/>
              </w:rPr>
            </w:pPr>
          </w:p>
        </w:tc>
        <w:tc>
          <w:tcPr>
            <w:tcW w:w="510"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720" w:type="dxa"/>
            <w:gridSpan w:val="2"/>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16"/>
                <w:szCs w:val="16"/>
              </w:rPr>
            </w:pPr>
          </w:p>
        </w:tc>
        <w:tc>
          <w:tcPr>
            <w:tcW w:w="2790"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四、公共安全支出</w:t>
            </w:r>
          </w:p>
        </w:tc>
        <w:tc>
          <w:tcPr>
            <w:tcW w:w="525"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33</w:t>
            </w:r>
          </w:p>
        </w:tc>
        <w:tc>
          <w:tcPr>
            <w:tcW w:w="743"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c>
          <w:tcPr>
            <w:tcW w:w="855"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c>
          <w:tcPr>
            <w:tcW w:w="789"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r>
      <w:tr>
        <w:trPr>
          <w:trHeight w:val="90"/>
          <w:gridAfter w:val="1"/>
          <w:wAfter w:w="469" w:type="dxa"/>
        </w:trPr>
        <w:tc>
          <w:tcPr>
            <w:tcW w:w="258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pPr>
              <w:jc w:val="left"/>
              <w:rPr>
                <w:rFonts w:ascii="宋体" w:eastAsia="宋体" w:cs="宋体"/>
                <w:color w:val="000000"/>
                <w:sz w:val="20"/>
                <w:szCs w:val="20"/>
              </w:rPr>
            </w:pPr>
          </w:p>
        </w:tc>
        <w:tc>
          <w:tcPr>
            <w:tcW w:w="510"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720" w:type="dxa"/>
            <w:gridSpan w:val="2"/>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16"/>
                <w:szCs w:val="16"/>
              </w:rPr>
            </w:pPr>
          </w:p>
        </w:tc>
        <w:tc>
          <w:tcPr>
            <w:tcW w:w="2790"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五、教育支出</w:t>
            </w:r>
          </w:p>
        </w:tc>
        <w:tc>
          <w:tcPr>
            <w:tcW w:w="525"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34</w:t>
            </w:r>
          </w:p>
        </w:tc>
        <w:tc>
          <w:tcPr>
            <w:tcW w:w="743"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c>
          <w:tcPr>
            <w:tcW w:w="855"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c>
          <w:tcPr>
            <w:tcW w:w="789"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r>
      <w:tr>
        <w:trPr>
          <w:trHeight w:val="90"/>
          <w:gridAfter w:val="1"/>
          <w:wAfter w:w="469" w:type="dxa"/>
        </w:trPr>
        <w:tc>
          <w:tcPr>
            <w:tcW w:w="258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pPr>
              <w:jc w:val="left"/>
              <w:rPr>
                <w:rFonts w:ascii="宋体" w:eastAsia="宋体" w:cs="宋体"/>
                <w:color w:val="000000"/>
                <w:sz w:val="20"/>
                <w:szCs w:val="20"/>
              </w:rPr>
            </w:pPr>
          </w:p>
        </w:tc>
        <w:tc>
          <w:tcPr>
            <w:tcW w:w="510"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6</w:t>
            </w:r>
          </w:p>
        </w:tc>
        <w:tc>
          <w:tcPr>
            <w:tcW w:w="720" w:type="dxa"/>
            <w:gridSpan w:val="2"/>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16"/>
                <w:szCs w:val="16"/>
              </w:rPr>
            </w:pPr>
          </w:p>
        </w:tc>
        <w:tc>
          <w:tcPr>
            <w:tcW w:w="2790"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六、科学技术支出</w:t>
            </w:r>
          </w:p>
        </w:tc>
        <w:tc>
          <w:tcPr>
            <w:tcW w:w="525"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35</w:t>
            </w:r>
          </w:p>
        </w:tc>
        <w:tc>
          <w:tcPr>
            <w:tcW w:w="743"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c>
          <w:tcPr>
            <w:tcW w:w="855"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c>
          <w:tcPr>
            <w:tcW w:w="789"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r>
      <w:tr>
        <w:trPr>
          <w:trHeight w:val="90"/>
          <w:gridAfter w:val="1"/>
          <w:wAfter w:w="469" w:type="dxa"/>
        </w:trPr>
        <w:tc>
          <w:tcPr>
            <w:tcW w:w="258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pPr>
              <w:jc w:val="left"/>
              <w:rPr>
                <w:rFonts w:ascii="宋体" w:eastAsia="宋体" w:cs="宋体"/>
                <w:color w:val="000000"/>
                <w:sz w:val="20"/>
                <w:szCs w:val="20"/>
              </w:rPr>
            </w:pPr>
          </w:p>
        </w:tc>
        <w:tc>
          <w:tcPr>
            <w:tcW w:w="510"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7</w:t>
            </w:r>
          </w:p>
        </w:tc>
        <w:tc>
          <w:tcPr>
            <w:tcW w:w="720" w:type="dxa"/>
            <w:gridSpan w:val="2"/>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16"/>
                <w:szCs w:val="16"/>
              </w:rPr>
            </w:pPr>
          </w:p>
        </w:tc>
        <w:tc>
          <w:tcPr>
            <w:tcW w:w="2790"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七、文化旅游体育与传媒支出</w:t>
            </w:r>
          </w:p>
        </w:tc>
        <w:tc>
          <w:tcPr>
            <w:tcW w:w="525"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36</w:t>
            </w:r>
          </w:p>
        </w:tc>
        <w:tc>
          <w:tcPr>
            <w:tcW w:w="743"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c>
          <w:tcPr>
            <w:tcW w:w="855"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c>
          <w:tcPr>
            <w:tcW w:w="789"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r>
      <w:tr>
        <w:trPr>
          <w:trHeight w:val="90"/>
          <w:gridAfter w:val="1"/>
          <w:wAfter w:w="469" w:type="dxa"/>
        </w:trPr>
        <w:tc>
          <w:tcPr>
            <w:tcW w:w="258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pPr>
              <w:jc w:val="left"/>
              <w:rPr>
                <w:rFonts w:ascii="宋体" w:eastAsia="宋体" w:cs="宋体"/>
                <w:color w:val="000000"/>
                <w:sz w:val="20"/>
                <w:szCs w:val="20"/>
              </w:rPr>
            </w:pPr>
          </w:p>
        </w:tc>
        <w:tc>
          <w:tcPr>
            <w:tcW w:w="510"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8</w:t>
            </w:r>
          </w:p>
        </w:tc>
        <w:tc>
          <w:tcPr>
            <w:tcW w:w="720" w:type="dxa"/>
            <w:gridSpan w:val="2"/>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16"/>
                <w:szCs w:val="16"/>
              </w:rPr>
            </w:pPr>
          </w:p>
        </w:tc>
        <w:tc>
          <w:tcPr>
            <w:tcW w:w="2790"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八、社会保障和就业支出</w:t>
            </w:r>
          </w:p>
        </w:tc>
        <w:tc>
          <w:tcPr>
            <w:tcW w:w="525"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37</w:t>
            </w:r>
          </w:p>
        </w:tc>
        <w:tc>
          <w:tcPr>
            <w:tcW w:w="743"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336.07</w:t>
            </w:r>
          </w:p>
        </w:tc>
        <w:tc>
          <w:tcPr>
            <w:tcW w:w="855"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336.07</w:t>
            </w:r>
          </w:p>
        </w:tc>
        <w:tc>
          <w:tcPr>
            <w:tcW w:w="789"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r>
      <w:tr>
        <w:trPr>
          <w:trHeight w:val="90"/>
          <w:gridAfter w:val="1"/>
          <w:wAfter w:w="469" w:type="dxa"/>
        </w:trPr>
        <w:tc>
          <w:tcPr>
            <w:tcW w:w="258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pPr>
              <w:jc w:val="left"/>
              <w:rPr>
                <w:rFonts w:ascii="宋体" w:eastAsia="宋体" w:cs="宋体"/>
                <w:color w:val="000000"/>
                <w:sz w:val="20"/>
                <w:szCs w:val="20"/>
              </w:rPr>
            </w:pPr>
          </w:p>
        </w:tc>
        <w:tc>
          <w:tcPr>
            <w:tcW w:w="510"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9</w:t>
            </w:r>
          </w:p>
        </w:tc>
        <w:tc>
          <w:tcPr>
            <w:tcW w:w="720" w:type="dxa"/>
            <w:gridSpan w:val="2"/>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16"/>
                <w:szCs w:val="16"/>
              </w:rPr>
            </w:pPr>
          </w:p>
        </w:tc>
        <w:tc>
          <w:tcPr>
            <w:tcW w:w="2790"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九、卫生健康支出</w:t>
            </w:r>
          </w:p>
        </w:tc>
        <w:tc>
          <w:tcPr>
            <w:tcW w:w="525"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38</w:t>
            </w:r>
          </w:p>
        </w:tc>
        <w:tc>
          <w:tcPr>
            <w:tcW w:w="743"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46.35</w:t>
            </w:r>
          </w:p>
        </w:tc>
        <w:tc>
          <w:tcPr>
            <w:tcW w:w="855"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46.35</w:t>
            </w:r>
          </w:p>
        </w:tc>
        <w:tc>
          <w:tcPr>
            <w:tcW w:w="789"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r>
      <w:tr>
        <w:trPr>
          <w:trHeight w:val="90"/>
          <w:gridAfter w:val="1"/>
          <w:wAfter w:w="469" w:type="dxa"/>
        </w:trPr>
        <w:tc>
          <w:tcPr>
            <w:tcW w:w="258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pPr>
              <w:jc w:val="left"/>
              <w:rPr>
                <w:rFonts w:ascii="宋体" w:eastAsia="宋体" w:cs="宋体"/>
                <w:color w:val="000000"/>
                <w:sz w:val="20"/>
                <w:szCs w:val="20"/>
              </w:rPr>
            </w:pPr>
          </w:p>
        </w:tc>
        <w:tc>
          <w:tcPr>
            <w:tcW w:w="510"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10</w:t>
            </w:r>
          </w:p>
        </w:tc>
        <w:tc>
          <w:tcPr>
            <w:tcW w:w="720" w:type="dxa"/>
            <w:gridSpan w:val="2"/>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16"/>
                <w:szCs w:val="16"/>
              </w:rPr>
            </w:pPr>
          </w:p>
        </w:tc>
        <w:tc>
          <w:tcPr>
            <w:tcW w:w="2790"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十、节能环保支出</w:t>
            </w:r>
          </w:p>
        </w:tc>
        <w:tc>
          <w:tcPr>
            <w:tcW w:w="525"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39</w:t>
            </w:r>
          </w:p>
        </w:tc>
        <w:tc>
          <w:tcPr>
            <w:tcW w:w="743"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c>
          <w:tcPr>
            <w:tcW w:w="855"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c>
          <w:tcPr>
            <w:tcW w:w="789"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r>
      <w:tr>
        <w:trPr>
          <w:trHeight w:val="90"/>
          <w:gridAfter w:val="1"/>
          <w:wAfter w:w="469" w:type="dxa"/>
        </w:trPr>
        <w:tc>
          <w:tcPr>
            <w:tcW w:w="258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pPr>
              <w:jc w:val="left"/>
              <w:rPr>
                <w:rFonts w:ascii="宋体" w:eastAsia="宋体" w:cs="宋体"/>
                <w:color w:val="000000"/>
                <w:sz w:val="20"/>
                <w:szCs w:val="20"/>
              </w:rPr>
            </w:pPr>
          </w:p>
        </w:tc>
        <w:tc>
          <w:tcPr>
            <w:tcW w:w="510"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11</w:t>
            </w:r>
          </w:p>
        </w:tc>
        <w:tc>
          <w:tcPr>
            <w:tcW w:w="720" w:type="dxa"/>
            <w:gridSpan w:val="2"/>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16"/>
                <w:szCs w:val="16"/>
              </w:rPr>
            </w:pPr>
          </w:p>
        </w:tc>
        <w:tc>
          <w:tcPr>
            <w:tcW w:w="2790"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十一、城乡社区支出</w:t>
            </w:r>
          </w:p>
        </w:tc>
        <w:tc>
          <w:tcPr>
            <w:tcW w:w="525"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40</w:t>
            </w:r>
          </w:p>
        </w:tc>
        <w:tc>
          <w:tcPr>
            <w:tcW w:w="743"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c>
          <w:tcPr>
            <w:tcW w:w="855"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c>
          <w:tcPr>
            <w:tcW w:w="789"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r>
      <w:tr>
        <w:trPr>
          <w:trHeight w:val="90"/>
          <w:gridAfter w:val="1"/>
          <w:wAfter w:w="469" w:type="dxa"/>
        </w:trPr>
        <w:tc>
          <w:tcPr>
            <w:tcW w:w="258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pPr>
              <w:jc w:val="left"/>
              <w:rPr>
                <w:rFonts w:ascii="宋体" w:eastAsia="宋体" w:cs="宋体"/>
                <w:color w:val="000000"/>
                <w:sz w:val="20"/>
                <w:szCs w:val="20"/>
              </w:rPr>
            </w:pPr>
          </w:p>
        </w:tc>
        <w:tc>
          <w:tcPr>
            <w:tcW w:w="510"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12</w:t>
            </w:r>
          </w:p>
        </w:tc>
        <w:tc>
          <w:tcPr>
            <w:tcW w:w="720" w:type="dxa"/>
            <w:gridSpan w:val="2"/>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16"/>
                <w:szCs w:val="16"/>
              </w:rPr>
            </w:pPr>
          </w:p>
        </w:tc>
        <w:tc>
          <w:tcPr>
            <w:tcW w:w="2790"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十二、农林水支出</w:t>
            </w:r>
          </w:p>
        </w:tc>
        <w:tc>
          <w:tcPr>
            <w:tcW w:w="525"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41</w:t>
            </w:r>
          </w:p>
        </w:tc>
        <w:tc>
          <w:tcPr>
            <w:tcW w:w="743"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c>
          <w:tcPr>
            <w:tcW w:w="855"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c>
          <w:tcPr>
            <w:tcW w:w="789"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r>
      <w:tr>
        <w:trPr>
          <w:trHeight w:val="90"/>
          <w:gridAfter w:val="1"/>
          <w:wAfter w:w="469" w:type="dxa"/>
        </w:trPr>
        <w:tc>
          <w:tcPr>
            <w:tcW w:w="258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pPr>
              <w:jc w:val="left"/>
              <w:rPr>
                <w:rFonts w:ascii="宋体" w:eastAsia="宋体" w:cs="宋体"/>
                <w:color w:val="000000"/>
                <w:sz w:val="20"/>
                <w:szCs w:val="20"/>
              </w:rPr>
            </w:pPr>
          </w:p>
        </w:tc>
        <w:tc>
          <w:tcPr>
            <w:tcW w:w="510"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13</w:t>
            </w:r>
          </w:p>
        </w:tc>
        <w:tc>
          <w:tcPr>
            <w:tcW w:w="720" w:type="dxa"/>
            <w:gridSpan w:val="2"/>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16"/>
                <w:szCs w:val="16"/>
              </w:rPr>
            </w:pPr>
          </w:p>
        </w:tc>
        <w:tc>
          <w:tcPr>
            <w:tcW w:w="2790"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十三、交通运输支出</w:t>
            </w:r>
          </w:p>
        </w:tc>
        <w:tc>
          <w:tcPr>
            <w:tcW w:w="525"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42</w:t>
            </w:r>
          </w:p>
        </w:tc>
        <w:tc>
          <w:tcPr>
            <w:tcW w:w="743"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c>
          <w:tcPr>
            <w:tcW w:w="855"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c>
          <w:tcPr>
            <w:tcW w:w="789"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r>
      <w:tr>
        <w:trPr>
          <w:trHeight w:val="90"/>
          <w:gridAfter w:val="1"/>
          <w:wAfter w:w="469" w:type="dxa"/>
        </w:trPr>
        <w:tc>
          <w:tcPr>
            <w:tcW w:w="258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pPr>
              <w:jc w:val="left"/>
              <w:rPr>
                <w:rFonts w:ascii="宋体" w:eastAsia="宋体" w:cs="宋体"/>
                <w:color w:val="000000"/>
                <w:sz w:val="20"/>
                <w:szCs w:val="20"/>
              </w:rPr>
            </w:pPr>
          </w:p>
        </w:tc>
        <w:tc>
          <w:tcPr>
            <w:tcW w:w="510"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14</w:t>
            </w:r>
          </w:p>
        </w:tc>
        <w:tc>
          <w:tcPr>
            <w:tcW w:w="720" w:type="dxa"/>
            <w:gridSpan w:val="2"/>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16"/>
                <w:szCs w:val="16"/>
              </w:rPr>
            </w:pPr>
          </w:p>
        </w:tc>
        <w:tc>
          <w:tcPr>
            <w:tcW w:w="2790"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十四、资源勘探信息等支出</w:t>
            </w:r>
          </w:p>
        </w:tc>
        <w:tc>
          <w:tcPr>
            <w:tcW w:w="525"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43</w:t>
            </w:r>
          </w:p>
        </w:tc>
        <w:tc>
          <w:tcPr>
            <w:tcW w:w="743"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c>
          <w:tcPr>
            <w:tcW w:w="855"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c>
          <w:tcPr>
            <w:tcW w:w="789"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r>
      <w:tr>
        <w:trPr>
          <w:trHeight w:val="90"/>
          <w:gridAfter w:val="1"/>
          <w:wAfter w:w="469" w:type="dxa"/>
        </w:trPr>
        <w:tc>
          <w:tcPr>
            <w:tcW w:w="258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pPr>
              <w:jc w:val="left"/>
              <w:rPr>
                <w:rFonts w:ascii="宋体" w:eastAsia="宋体" w:cs="宋体"/>
                <w:color w:val="000000"/>
                <w:sz w:val="20"/>
                <w:szCs w:val="20"/>
              </w:rPr>
            </w:pPr>
          </w:p>
        </w:tc>
        <w:tc>
          <w:tcPr>
            <w:tcW w:w="510"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15</w:t>
            </w:r>
          </w:p>
        </w:tc>
        <w:tc>
          <w:tcPr>
            <w:tcW w:w="720" w:type="dxa"/>
            <w:gridSpan w:val="2"/>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16"/>
                <w:szCs w:val="16"/>
              </w:rPr>
            </w:pPr>
          </w:p>
        </w:tc>
        <w:tc>
          <w:tcPr>
            <w:tcW w:w="2790"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十五、商业服务业等支出</w:t>
            </w:r>
          </w:p>
        </w:tc>
        <w:tc>
          <w:tcPr>
            <w:tcW w:w="525"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44</w:t>
            </w:r>
          </w:p>
        </w:tc>
        <w:tc>
          <w:tcPr>
            <w:tcW w:w="743"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c>
          <w:tcPr>
            <w:tcW w:w="855"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c>
          <w:tcPr>
            <w:tcW w:w="789"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r>
      <w:tr>
        <w:trPr>
          <w:trHeight w:val="90"/>
          <w:gridAfter w:val="1"/>
          <w:wAfter w:w="469" w:type="dxa"/>
        </w:trPr>
        <w:tc>
          <w:tcPr>
            <w:tcW w:w="258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pPr>
              <w:jc w:val="left"/>
              <w:rPr>
                <w:rFonts w:ascii="宋体" w:eastAsia="宋体" w:cs="宋体"/>
                <w:color w:val="000000"/>
                <w:sz w:val="20"/>
                <w:szCs w:val="20"/>
              </w:rPr>
            </w:pPr>
          </w:p>
        </w:tc>
        <w:tc>
          <w:tcPr>
            <w:tcW w:w="510"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16</w:t>
            </w:r>
          </w:p>
        </w:tc>
        <w:tc>
          <w:tcPr>
            <w:tcW w:w="720" w:type="dxa"/>
            <w:gridSpan w:val="2"/>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16"/>
                <w:szCs w:val="16"/>
              </w:rPr>
            </w:pPr>
          </w:p>
        </w:tc>
        <w:tc>
          <w:tcPr>
            <w:tcW w:w="2790"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十六、金融支出</w:t>
            </w:r>
          </w:p>
        </w:tc>
        <w:tc>
          <w:tcPr>
            <w:tcW w:w="525"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45</w:t>
            </w:r>
          </w:p>
        </w:tc>
        <w:tc>
          <w:tcPr>
            <w:tcW w:w="743"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c>
          <w:tcPr>
            <w:tcW w:w="855"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c>
          <w:tcPr>
            <w:tcW w:w="789"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r>
      <w:tr>
        <w:trPr>
          <w:trHeight w:val="90"/>
          <w:gridAfter w:val="1"/>
          <w:wAfter w:w="469" w:type="dxa"/>
        </w:trPr>
        <w:tc>
          <w:tcPr>
            <w:tcW w:w="258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pPr>
              <w:jc w:val="left"/>
              <w:rPr>
                <w:rFonts w:ascii="宋体" w:eastAsia="宋体" w:cs="宋体"/>
                <w:color w:val="000000"/>
                <w:sz w:val="20"/>
                <w:szCs w:val="20"/>
              </w:rPr>
            </w:pPr>
          </w:p>
        </w:tc>
        <w:tc>
          <w:tcPr>
            <w:tcW w:w="510"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17</w:t>
            </w:r>
          </w:p>
        </w:tc>
        <w:tc>
          <w:tcPr>
            <w:tcW w:w="720" w:type="dxa"/>
            <w:gridSpan w:val="2"/>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16"/>
                <w:szCs w:val="16"/>
              </w:rPr>
            </w:pPr>
          </w:p>
        </w:tc>
        <w:tc>
          <w:tcPr>
            <w:tcW w:w="2790"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十七、援助其他地区支出</w:t>
            </w:r>
          </w:p>
        </w:tc>
        <w:tc>
          <w:tcPr>
            <w:tcW w:w="525"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46</w:t>
            </w:r>
          </w:p>
        </w:tc>
        <w:tc>
          <w:tcPr>
            <w:tcW w:w="743"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c>
          <w:tcPr>
            <w:tcW w:w="855"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c>
          <w:tcPr>
            <w:tcW w:w="789"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r>
      <w:tr>
        <w:trPr>
          <w:trHeight w:val="90"/>
          <w:gridAfter w:val="1"/>
          <w:wAfter w:w="469" w:type="dxa"/>
        </w:trPr>
        <w:tc>
          <w:tcPr>
            <w:tcW w:w="258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pPr>
              <w:jc w:val="left"/>
              <w:rPr>
                <w:rFonts w:ascii="宋体" w:eastAsia="宋体" w:cs="宋体"/>
                <w:color w:val="000000"/>
                <w:sz w:val="20"/>
                <w:szCs w:val="20"/>
              </w:rPr>
            </w:pPr>
          </w:p>
        </w:tc>
        <w:tc>
          <w:tcPr>
            <w:tcW w:w="510"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18</w:t>
            </w:r>
          </w:p>
        </w:tc>
        <w:tc>
          <w:tcPr>
            <w:tcW w:w="720" w:type="dxa"/>
            <w:gridSpan w:val="2"/>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16"/>
                <w:szCs w:val="16"/>
              </w:rPr>
            </w:pPr>
          </w:p>
        </w:tc>
        <w:tc>
          <w:tcPr>
            <w:tcW w:w="2790"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十八、自然资源海洋气象等支出</w:t>
            </w:r>
          </w:p>
        </w:tc>
        <w:tc>
          <w:tcPr>
            <w:tcW w:w="525"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47</w:t>
            </w:r>
          </w:p>
        </w:tc>
        <w:tc>
          <w:tcPr>
            <w:tcW w:w="743"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c>
          <w:tcPr>
            <w:tcW w:w="855"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c>
          <w:tcPr>
            <w:tcW w:w="789"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r>
      <w:tr>
        <w:trPr>
          <w:trHeight w:val="90"/>
          <w:gridAfter w:val="1"/>
          <w:wAfter w:w="469" w:type="dxa"/>
        </w:trPr>
        <w:tc>
          <w:tcPr>
            <w:tcW w:w="258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pPr>
              <w:jc w:val="left"/>
              <w:rPr>
                <w:rFonts w:ascii="宋体" w:eastAsia="宋体" w:cs="宋体"/>
                <w:color w:val="000000"/>
                <w:sz w:val="20"/>
                <w:szCs w:val="20"/>
              </w:rPr>
            </w:pPr>
          </w:p>
        </w:tc>
        <w:tc>
          <w:tcPr>
            <w:tcW w:w="510"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19</w:t>
            </w:r>
          </w:p>
        </w:tc>
        <w:tc>
          <w:tcPr>
            <w:tcW w:w="720" w:type="dxa"/>
            <w:gridSpan w:val="2"/>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16"/>
                <w:szCs w:val="16"/>
              </w:rPr>
            </w:pPr>
          </w:p>
        </w:tc>
        <w:tc>
          <w:tcPr>
            <w:tcW w:w="2790"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十九、住房保障支出</w:t>
            </w:r>
          </w:p>
        </w:tc>
        <w:tc>
          <w:tcPr>
            <w:tcW w:w="525"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48</w:t>
            </w:r>
          </w:p>
        </w:tc>
        <w:tc>
          <w:tcPr>
            <w:tcW w:w="743"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77.70</w:t>
            </w:r>
          </w:p>
        </w:tc>
        <w:tc>
          <w:tcPr>
            <w:tcW w:w="855"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77.70</w:t>
            </w:r>
          </w:p>
        </w:tc>
        <w:tc>
          <w:tcPr>
            <w:tcW w:w="789"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r>
      <w:tr>
        <w:trPr>
          <w:trHeight w:val="90"/>
          <w:gridAfter w:val="1"/>
          <w:wAfter w:w="469" w:type="dxa"/>
        </w:trPr>
        <w:tc>
          <w:tcPr>
            <w:tcW w:w="258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pPr>
              <w:jc w:val="left"/>
              <w:rPr>
                <w:rFonts w:ascii="宋体" w:eastAsia="宋体" w:cs="宋体"/>
                <w:color w:val="000000"/>
                <w:sz w:val="20"/>
                <w:szCs w:val="20"/>
              </w:rPr>
            </w:pPr>
          </w:p>
        </w:tc>
        <w:tc>
          <w:tcPr>
            <w:tcW w:w="510"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20</w:t>
            </w:r>
          </w:p>
        </w:tc>
        <w:tc>
          <w:tcPr>
            <w:tcW w:w="720" w:type="dxa"/>
            <w:gridSpan w:val="2"/>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16"/>
                <w:szCs w:val="16"/>
              </w:rPr>
            </w:pPr>
          </w:p>
        </w:tc>
        <w:tc>
          <w:tcPr>
            <w:tcW w:w="2790"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二十、粮油物资储备支出</w:t>
            </w:r>
          </w:p>
        </w:tc>
        <w:tc>
          <w:tcPr>
            <w:tcW w:w="525"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49</w:t>
            </w:r>
          </w:p>
        </w:tc>
        <w:tc>
          <w:tcPr>
            <w:tcW w:w="743"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c>
          <w:tcPr>
            <w:tcW w:w="855"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c>
          <w:tcPr>
            <w:tcW w:w="789"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r>
      <w:tr>
        <w:trPr>
          <w:trHeight w:val="90"/>
          <w:gridAfter w:val="1"/>
          <w:wAfter w:w="469" w:type="dxa"/>
        </w:trPr>
        <w:tc>
          <w:tcPr>
            <w:tcW w:w="258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pPr>
              <w:jc w:val="left"/>
              <w:rPr>
                <w:rFonts w:ascii="宋体" w:eastAsia="宋体" w:cs="宋体"/>
                <w:color w:val="000000"/>
                <w:sz w:val="20"/>
                <w:szCs w:val="20"/>
              </w:rPr>
            </w:pPr>
          </w:p>
        </w:tc>
        <w:tc>
          <w:tcPr>
            <w:tcW w:w="510"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21</w:t>
            </w:r>
          </w:p>
        </w:tc>
        <w:tc>
          <w:tcPr>
            <w:tcW w:w="720" w:type="dxa"/>
            <w:gridSpan w:val="2"/>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16"/>
                <w:szCs w:val="16"/>
              </w:rPr>
            </w:pPr>
          </w:p>
        </w:tc>
        <w:tc>
          <w:tcPr>
            <w:tcW w:w="2790"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二十一、灾害防治及应急管理支出</w:t>
            </w:r>
          </w:p>
        </w:tc>
        <w:tc>
          <w:tcPr>
            <w:tcW w:w="525"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50</w:t>
            </w:r>
          </w:p>
        </w:tc>
        <w:tc>
          <w:tcPr>
            <w:tcW w:w="743"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c>
          <w:tcPr>
            <w:tcW w:w="855"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c>
          <w:tcPr>
            <w:tcW w:w="789"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r>
      <w:tr>
        <w:trPr>
          <w:trHeight w:val="90"/>
          <w:gridAfter w:val="1"/>
          <w:wAfter w:w="469" w:type="dxa"/>
        </w:trPr>
        <w:tc>
          <w:tcPr>
            <w:tcW w:w="258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pPr>
              <w:jc w:val="left"/>
              <w:rPr>
                <w:rFonts w:ascii="宋体" w:eastAsia="宋体" w:cs="宋体"/>
                <w:color w:val="000000"/>
                <w:sz w:val="20"/>
                <w:szCs w:val="20"/>
              </w:rPr>
            </w:pPr>
          </w:p>
        </w:tc>
        <w:tc>
          <w:tcPr>
            <w:tcW w:w="510"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22</w:t>
            </w:r>
          </w:p>
        </w:tc>
        <w:tc>
          <w:tcPr>
            <w:tcW w:w="720" w:type="dxa"/>
            <w:gridSpan w:val="2"/>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16"/>
                <w:szCs w:val="16"/>
              </w:rPr>
            </w:pPr>
          </w:p>
        </w:tc>
        <w:tc>
          <w:tcPr>
            <w:tcW w:w="2790"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二十二、其他支出</w:t>
            </w:r>
          </w:p>
        </w:tc>
        <w:tc>
          <w:tcPr>
            <w:tcW w:w="525"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51</w:t>
            </w:r>
          </w:p>
        </w:tc>
        <w:tc>
          <w:tcPr>
            <w:tcW w:w="743"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c>
          <w:tcPr>
            <w:tcW w:w="855"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c>
          <w:tcPr>
            <w:tcW w:w="789"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r>
      <w:tr>
        <w:trPr>
          <w:trHeight w:val="90"/>
          <w:gridAfter w:val="1"/>
          <w:wAfter w:w="469" w:type="dxa"/>
        </w:trPr>
        <w:tc>
          <w:tcPr>
            <w:tcW w:w="258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pPr>
              <w:jc w:val="left"/>
              <w:rPr>
                <w:rFonts w:ascii="宋体" w:eastAsia="宋体" w:cs="宋体"/>
                <w:color w:val="000000"/>
                <w:sz w:val="20"/>
                <w:szCs w:val="20"/>
              </w:rPr>
            </w:pPr>
          </w:p>
        </w:tc>
        <w:tc>
          <w:tcPr>
            <w:tcW w:w="510"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23</w:t>
            </w:r>
          </w:p>
        </w:tc>
        <w:tc>
          <w:tcPr>
            <w:tcW w:w="720" w:type="dxa"/>
            <w:gridSpan w:val="2"/>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16"/>
                <w:szCs w:val="16"/>
              </w:rPr>
            </w:pPr>
          </w:p>
        </w:tc>
        <w:tc>
          <w:tcPr>
            <w:tcW w:w="2790"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二十四、债务付息支出</w:t>
            </w:r>
          </w:p>
        </w:tc>
        <w:tc>
          <w:tcPr>
            <w:tcW w:w="525"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52</w:t>
            </w:r>
          </w:p>
        </w:tc>
        <w:tc>
          <w:tcPr>
            <w:tcW w:w="743"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c>
          <w:tcPr>
            <w:tcW w:w="855"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c>
          <w:tcPr>
            <w:tcW w:w="789"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r>
      <w:tr>
        <w:trPr>
          <w:trHeight w:val="90"/>
          <w:gridAfter w:val="1"/>
          <w:wAfter w:w="469" w:type="dxa"/>
        </w:trPr>
        <w:tc>
          <w:tcPr>
            <w:tcW w:w="258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b/>
                <w:color w:val="000000"/>
                <w:sz w:val="20"/>
                <w:szCs w:val="20"/>
              </w:rPr>
            </w:pPr>
            <w:r>
              <w:rPr>
                <w:rFonts w:ascii="宋体" w:eastAsia="宋体" w:cs="宋体" w:hint="eastAsia"/>
                <w:b/>
                <w:color w:val="000000"/>
                <w:kern w:val="0"/>
                <w:sz w:val="20"/>
                <w:szCs w:val="20"/>
              </w:rPr>
              <w:t>本年收入合计</w:t>
            </w:r>
          </w:p>
        </w:tc>
        <w:tc>
          <w:tcPr>
            <w:tcW w:w="510"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24</w:t>
            </w:r>
          </w:p>
        </w:tc>
        <w:tc>
          <w:tcPr>
            <w:tcW w:w="720"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2,141.92</w:t>
            </w:r>
          </w:p>
        </w:tc>
        <w:tc>
          <w:tcPr>
            <w:tcW w:w="2790"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b/>
                <w:color w:val="000000"/>
                <w:sz w:val="20"/>
                <w:szCs w:val="20"/>
              </w:rPr>
            </w:pPr>
            <w:r>
              <w:rPr>
                <w:rFonts w:ascii="宋体" w:eastAsia="宋体" w:cs="宋体" w:hint="eastAsia"/>
                <w:b/>
                <w:color w:val="000000"/>
                <w:kern w:val="0"/>
                <w:sz w:val="20"/>
                <w:szCs w:val="20"/>
              </w:rPr>
              <w:t>本年支出合计</w:t>
            </w:r>
          </w:p>
        </w:tc>
        <w:tc>
          <w:tcPr>
            <w:tcW w:w="525"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53</w:t>
            </w:r>
          </w:p>
        </w:tc>
        <w:tc>
          <w:tcPr>
            <w:tcW w:w="743"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2,127.37</w:t>
            </w:r>
          </w:p>
        </w:tc>
        <w:tc>
          <w:tcPr>
            <w:tcW w:w="855"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2,127.37</w:t>
            </w:r>
          </w:p>
        </w:tc>
        <w:tc>
          <w:tcPr>
            <w:tcW w:w="789"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r>
      <w:tr>
        <w:trPr>
          <w:trHeight w:val="90"/>
          <w:gridAfter w:val="1"/>
          <w:wAfter w:w="469" w:type="dxa"/>
        </w:trPr>
        <w:tc>
          <w:tcPr>
            <w:tcW w:w="258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年初财政拨款结转和结余</w:t>
            </w:r>
          </w:p>
        </w:tc>
        <w:tc>
          <w:tcPr>
            <w:tcW w:w="510"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25</w:t>
            </w:r>
          </w:p>
        </w:tc>
        <w:tc>
          <w:tcPr>
            <w:tcW w:w="720"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5.98</w:t>
            </w:r>
          </w:p>
        </w:tc>
        <w:tc>
          <w:tcPr>
            <w:tcW w:w="2790"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年末财政拨款结转和结余</w:t>
            </w:r>
          </w:p>
        </w:tc>
        <w:tc>
          <w:tcPr>
            <w:tcW w:w="525"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54</w:t>
            </w:r>
          </w:p>
        </w:tc>
        <w:tc>
          <w:tcPr>
            <w:tcW w:w="743"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20.53</w:t>
            </w:r>
          </w:p>
        </w:tc>
        <w:tc>
          <w:tcPr>
            <w:tcW w:w="855"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20.53</w:t>
            </w:r>
          </w:p>
        </w:tc>
        <w:tc>
          <w:tcPr>
            <w:tcW w:w="789"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r>
      <w:tr>
        <w:trPr>
          <w:trHeight w:val="90"/>
          <w:gridAfter w:val="1"/>
          <w:wAfter w:w="469" w:type="dxa"/>
        </w:trPr>
        <w:tc>
          <w:tcPr>
            <w:tcW w:w="258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一、一般公共预算财政拨款</w:t>
            </w:r>
          </w:p>
        </w:tc>
        <w:tc>
          <w:tcPr>
            <w:tcW w:w="510"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26</w:t>
            </w:r>
          </w:p>
        </w:tc>
        <w:tc>
          <w:tcPr>
            <w:tcW w:w="720"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5.98</w:t>
            </w:r>
          </w:p>
        </w:tc>
        <w:tc>
          <w:tcPr>
            <w:tcW w:w="2790" w:type="dxa"/>
            <w:gridSpan w:val="3"/>
            <w:tcBorders>
              <w:top w:val="nil"/>
              <w:left w:val="nil"/>
              <w:bottom w:val="single" w:sz="4" w:space="0" w:color="000000"/>
              <w:right w:val="single" w:sz="4" w:space="0" w:color="000000"/>
            </w:tcBorders>
            <w:tcMar>
              <w:top w:w="15" w:type="dxa"/>
              <w:left w:w="15" w:type="dxa"/>
              <w:right w:w="15" w:type="dxa"/>
            </w:tcMar>
            <w:vAlign w:val="center"/>
          </w:tcPr>
          <w:p>
            <w:pPr>
              <w:jc w:val="left"/>
              <w:rPr>
                <w:rFonts w:ascii="宋体" w:eastAsia="宋体" w:cs="宋体"/>
                <w:color w:val="000000"/>
                <w:sz w:val="20"/>
                <w:szCs w:val="20"/>
              </w:rPr>
            </w:pPr>
          </w:p>
        </w:tc>
        <w:tc>
          <w:tcPr>
            <w:tcW w:w="525"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55</w:t>
            </w:r>
          </w:p>
        </w:tc>
        <w:tc>
          <w:tcPr>
            <w:tcW w:w="743" w:type="dxa"/>
            <w:gridSpan w:val="3"/>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16"/>
                <w:szCs w:val="16"/>
              </w:rPr>
            </w:pPr>
          </w:p>
        </w:tc>
        <w:tc>
          <w:tcPr>
            <w:tcW w:w="855"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16"/>
                <w:szCs w:val="16"/>
              </w:rPr>
            </w:pPr>
          </w:p>
        </w:tc>
        <w:tc>
          <w:tcPr>
            <w:tcW w:w="789"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r>
      <w:tr>
        <w:trPr>
          <w:trHeight w:val="90"/>
          <w:gridAfter w:val="1"/>
          <w:wAfter w:w="469" w:type="dxa"/>
        </w:trPr>
        <w:tc>
          <w:tcPr>
            <w:tcW w:w="258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二、政府性基金预算财政拨款</w:t>
            </w:r>
          </w:p>
        </w:tc>
        <w:tc>
          <w:tcPr>
            <w:tcW w:w="510"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27</w:t>
            </w:r>
          </w:p>
        </w:tc>
        <w:tc>
          <w:tcPr>
            <w:tcW w:w="720"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c>
          <w:tcPr>
            <w:tcW w:w="2790" w:type="dxa"/>
            <w:gridSpan w:val="3"/>
            <w:tcBorders>
              <w:top w:val="nil"/>
              <w:left w:val="nil"/>
              <w:bottom w:val="single" w:sz="4" w:space="0" w:color="000000"/>
              <w:right w:val="single" w:sz="4" w:space="0" w:color="000000"/>
            </w:tcBorders>
            <w:tcMar>
              <w:top w:w="15" w:type="dxa"/>
              <w:left w:w="15" w:type="dxa"/>
              <w:right w:w="15" w:type="dxa"/>
            </w:tcMar>
            <w:vAlign w:val="center"/>
          </w:tcPr>
          <w:p>
            <w:pPr>
              <w:jc w:val="left"/>
              <w:rPr>
                <w:rFonts w:ascii="宋体" w:eastAsia="宋体" w:cs="宋体"/>
                <w:color w:val="000000"/>
                <w:sz w:val="20"/>
                <w:szCs w:val="20"/>
              </w:rPr>
            </w:pPr>
          </w:p>
        </w:tc>
        <w:tc>
          <w:tcPr>
            <w:tcW w:w="525"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56</w:t>
            </w:r>
          </w:p>
        </w:tc>
        <w:tc>
          <w:tcPr>
            <w:tcW w:w="743" w:type="dxa"/>
            <w:gridSpan w:val="3"/>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16"/>
                <w:szCs w:val="16"/>
              </w:rPr>
            </w:pPr>
          </w:p>
        </w:tc>
        <w:tc>
          <w:tcPr>
            <w:tcW w:w="855"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16"/>
                <w:szCs w:val="16"/>
              </w:rPr>
            </w:pPr>
          </w:p>
        </w:tc>
        <w:tc>
          <w:tcPr>
            <w:tcW w:w="789"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r>
      <w:tr>
        <w:trPr>
          <w:trHeight w:val="90"/>
          <w:gridAfter w:val="1"/>
          <w:wAfter w:w="469" w:type="dxa"/>
        </w:trPr>
        <w:tc>
          <w:tcPr>
            <w:tcW w:w="258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pPr>
              <w:jc w:val="left"/>
              <w:rPr>
                <w:rFonts w:ascii="宋体" w:eastAsia="宋体" w:cs="宋体"/>
                <w:color w:val="000000"/>
                <w:sz w:val="20"/>
                <w:szCs w:val="20"/>
              </w:rPr>
            </w:pPr>
          </w:p>
        </w:tc>
        <w:tc>
          <w:tcPr>
            <w:tcW w:w="510"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28</w:t>
            </w:r>
          </w:p>
        </w:tc>
        <w:tc>
          <w:tcPr>
            <w:tcW w:w="720" w:type="dxa"/>
            <w:gridSpan w:val="2"/>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16"/>
                <w:szCs w:val="16"/>
              </w:rPr>
            </w:pPr>
          </w:p>
        </w:tc>
        <w:tc>
          <w:tcPr>
            <w:tcW w:w="2790" w:type="dxa"/>
            <w:gridSpan w:val="3"/>
            <w:tcBorders>
              <w:top w:val="nil"/>
              <w:left w:val="nil"/>
              <w:bottom w:val="single" w:sz="4" w:space="0" w:color="000000"/>
              <w:right w:val="single" w:sz="4" w:space="0" w:color="000000"/>
            </w:tcBorders>
            <w:tcMar>
              <w:top w:w="15" w:type="dxa"/>
              <w:left w:w="15" w:type="dxa"/>
              <w:right w:w="15" w:type="dxa"/>
            </w:tcMar>
            <w:vAlign w:val="center"/>
          </w:tcPr>
          <w:p>
            <w:pPr>
              <w:jc w:val="left"/>
              <w:rPr>
                <w:rFonts w:ascii="宋体" w:eastAsia="宋体" w:cs="宋体"/>
                <w:color w:val="000000"/>
                <w:sz w:val="20"/>
                <w:szCs w:val="20"/>
              </w:rPr>
            </w:pPr>
          </w:p>
        </w:tc>
        <w:tc>
          <w:tcPr>
            <w:tcW w:w="525"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57</w:t>
            </w:r>
          </w:p>
        </w:tc>
        <w:tc>
          <w:tcPr>
            <w:tcW w:w="743" w:type="dxa"/>
            <w:gridSpan w:val="3"/>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16"/>
                <w:szCs w:val="16"/>
              </w:rPr>
            </w:pPr>
          </w:p>
        </w:tc>
        <w:tc>
          <w:tcPr>
            <w:tcW w:w="855"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16"/>
                <w:szCs w:val="16"/>
              </w:rPr>
            </w:pPr>
          </w:p>
        </w:tc>
        <w:tc>
          <w:tcPr>
            <w:tcW w:w="789"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r>
      <w:tr>
        <w:trPr>
          <w:trHeight w:val="90"/>
          <w:gridAfter w:val="1"/>
          <w:wAfter w:w="469" w:type="dxa"/>
        </w:trPr>
        <w:tc>
          <w:tcPr>
            <w:tcW w:w="258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b/>
                <w:color w:val="000000"/>
                <w:sz w:val="20"/>
                <w:szCs w:val="20"/>
              </w:rPr>
            </w:pPr>
            <w:r>
              <w:rPr>
                <w:rFonts w:ascii="宋体" w:eastAsia="宋体" w:cs="宋体" w:hint="eastAsia"/>
                <w:b/>
                <w:color w:val="000000"/>
                <w:kern w:val="0"/>
                <w:sz w:val="20"/>
                <w:szCs w:val="20"/>
              </w:rPr>
              <w:t>总计</w:t>
            </w:r>
          </w:p>
        </w:tc>
        <w:tc>
          <w:tcPr>
            <w:tcW w:w="510"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29</w:t>
            </w:r>
          </w:p>
        </w:tc>
        <w:tc>
          <w:tcPr>
            <w:tcW w:w="720"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2,147.90</w:t>
            </w:r>
          </w:p>
        </w:tc>
        <w:tc>
          <w:tcPr>
            <w:tcW w:w="2790"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b/>
                <w:color w:val="000000"/>
                <w:sz w:val="20"/>
                <w:szCs w:val="20"/>
              </w:rPr>
            </w:pPr>
            <w:r>
              <w:rPr>
                <w:rFonts w:ascii="宋体" w:eastAsia="宋体" w:cs="宋体" w:hint="eastAsia"/>
                <w:b/>
                <w:color w:val="000000"/>
                <w:kern w:val="0"/>
                <w:sz w:val="20"/>
                <w:szCs w:val="20"/>
              </w:rPr>
              <w:t>总计</w:t>
            </w:r>
          </w:p>
        </w:tc>
        <w:tc>
          <w:tcPr>
            <w:tcW w:w="525"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58</w:t>
            </w:r>
          </w:p>
        </w:tc>
        <w:tc>
          <w:tcPr>
            <w:tcW w:w="743"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2,147.90</w:t>
            </w:r>
          </w:p>
        </w:tc>
        <w:tc>
          <w:tcPr>
            <w:tcW w:w="855"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2,147.90</w:t>
            </w:r>
          </w:p>
        </w:tc>
        <w:tc>
          <w:tcPr>
            <w:tcW w:w="789"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r>
      <w:tr>
        <w:trPr>
          <w:trHeight w:val="90"/>
          <w:gridAfter w:val="1"/>
          <w:wAfter w:w="469" w:type="dxa"/>
        </w:trPr>
        <w:tc>
          <w:tcPr>
            <w:tcW w:w="9520" w:type="dxa"/>
            <w:gridSpan w:val="18"/>
            <w:tcBorders>
              <w:top w:val="nil"/>
              <w:left w:val="nil"/>
              <w:bottom w:val="nil"/>
              <w:right w:val="nil"/>
            </w:tcBorders>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注：本表反映部门本年度一般公共预算财政拨款和政府性基金预算财政拨款的总收支和年末结转结余情况。</w:t>
            </w:r>
          </w:p>
        </w:tc>
      </w:tr>
      <w:tr>
        <w:trPr>
          <w:trHeight w:val="600"/>
        </w:trPr>
        <w:tc>
          <w:tcPr>
            <w:tcW w:w="9989" w:type="dxa"/>
            <w:gridSpan w:val="19"/>
            <w:tcBorders>
              <w:top w:val="nil"/>
              <w:left w:val="nil"/>
              <w:bottom w:val="nil"/>
              <w:right w:val="nil"/>
            </w:tcBorders>
            <w:tcMar>
              <w:top w:w="15" w:type="dxa"/>
              <w:left w:w="15" w:type="dxa"/>
              <w:right w:w="15" w:type="dxa"/>
            </w:tcMar>
            <w:vAlign w:val="center"/>
          </w:tcPr>
          <w:p>
            <w:pPr>
              <w:widowControl/>
              <w:jc w:val="center"/>
              <w:textAlignment w:val="center"/>
              <w:rPr>
                <w:rFonts w:ascii="黑体" w:eastAsia="黑体" w:cs="黑体"/>
                <w:color w:val="000000"/>
                <w:kern w:val="0"/>
                <w:sz w:val="32"/>
                <w:szCs w:val="32"/>
              </w:rPr>
            </w:pPr>
            <w:r>
              <w:rPr>
                <w:color w:val="000000"/>
              </w:rPr>
              <w:br w:type="page"/>
            </w:r>
          </w:p>
          <w:p>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一般公共预算财政拨款支出决算表</w:t>
            </w:r>
          </w:p>
        </w:tc>
      </w:tr>
      <w:tr>
        <w:trPr>
          <w:trHeight w:val="255"/>
        </w:trPr>
        <w:tc>
          <w:tcPr>
            <w:tcW w:w="780" w:type="dxa"/>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62" w:type="dxa"/>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62" w:type="dxa"/>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3191" w:type="dxa"/>
            <w:gridSpan w:val="6"/>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1470" w:type="dxa"/>
            <w:tcBorders>
              <w:top w:val="nil"/>
              <w:left w:val="nil"/>
              <w:bottom w:val="nil"/>
              <w:right w:val="nil"/>
            </w:tcBorders>
            <w:vAlign w:val="bottom"/>
          </w:tcPr>
          <w:p>
            <w:pPr>
              <w:rPr>
                <w:rFonts w:ascii="Arial" w:hAnsi="Arial"/>
                <w:color w:val="000000"/>
                <w:sz w:val="20"/>
                <w:szCs w:val="20"/>
              </w:rPr>
            </w:pPr>
          </w:p>
        </w:tc>
        <w:tc>
          <w:tcPr>
            <w:tcW w:w="4424" w:type="dxa"/>
            <w:gridSpan w:val="9"/>
            <w:tcBorders>
              <w:top w:val="nil"/>
              <w:left w:val="nil"/>
              <w:bottom w:val="nil"/>
              <w:right w:val="nil"/>
            </w:tcBorders>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05</w:t>
            </w:r>
            <w:r>
              <w:rPr>
                <w:rFonts w:ascii="宋体" w:eastAsia="宋体" w:cs="宋体" w:hint="eastAsia"/>
                <w:color w:val="000000"/>
                <w:kern w:val="0"/>
                <w:sz w:val="20"/>
                <w:szCs w:val="20"/>
              </w:rPr>
              <w:t>表</w:t>
            </w:r>
          </w:p>
        </w:tc>
      </w:tr>
      <w:tr>
        <w:trPr>
          <w:trHeight w:val="255"/>
        </w:trPr>
        <w:tc>
          <w:tcPr>
            <w:tcW w:w="780" w:type="dxa"/>
            <w:tcBorders>
              <w:top w:val="nil"/>
              <w:left w:val="nil"/>
              <w:bottom w:val="nil"/>
              <w:right w:val="nil"/>
            </w:tcBorders>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62" w:type="dxa"/>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62" w:type="dxa"/>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3191" w:type="dxa"/>
            <w:gridSpan w:val="6"/>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1470" w:type="dxa"/>
            <w:tcBorders>
              <w:top w:val="nil"/>
              <w:left w:val="nil"/>
              <w:bottom w:val="nil"/>
              <w:right w:val="nil"/>
            </w:tcBorders>
            <w:vAlign w:val="bottom"/>
          </w:tcPr>
          <w:p>
            <w:pPr>
              <w:rPr>
                <w:rFonts w:ascii="Arial" w:hAnsi="Arial"/>
                <w:color w:val="000000"/>
                <w:sz w:val="20"/>
                <w:szCs w:val="20"/>
              </w:rPr>
            </w:pPr>
          </w:p>
        </w:tc>
        <w:tc>
          <w:tcPr>
            <w:tcW w:w="4424" w:type="dxa"/>
            <w:gridSpan w:val="9"/>
            <w:tcBorders>
              <w:top w:val="nil"/>
              <w:left w:val="nil"/>
              <w:bottom w:val="nil"/>
              <w:right w:val="nil"/>
            </w:tcBorders>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trPr>
          <w:trHeight w:val="308"/>
        </w:trPr>
        <w:tc>
          <w:tcPr>
            <w:tcW w:w="4095" w:type="dxa"/>
            <w:gridSpan w:val="9"/>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5894" w:type="dxa"/>
            <w:gridSpan w:val="10"/>
            <w:tcBorders>
              <w:top w:val="single" w:sz="4" w:space="0" w:color="000000"/>
              <w:left w:val="nil"/>
              <w:bottom w:val="single" w:sz="4" w:space="0" w:color="000000"/>
              <w:right w:val="single" w:sz="4" w:space="0" w:color="000000"/>
            </w:tcBorders>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r>
      <w:tr>
        <w:trPr>
          <w:trHeight w:val="312"/>
        </w:trPr>
        <w:tc>
          <w:tcPr>
            <w:tcW w:w="904" w:type="dxa"/>
            <w:gridSpan w:val="3"/>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3191" w:type="dxa"/>
            <w:gridSpan w:val="6"/>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470" w:type="dxa"/>
            <w:vMerge w:val="restart"/>
            <w:tcBorders>
              <w:top w:val="nil"/>
              <w:left w:val="nil"/>
              <w:bottom w:val="single" w:sz="4" w:space="0" w:color="000000"/>
              <w:right w:val="single" w:sz="4" w:space="0" w:color="000000"/>
            </w:tcBorders>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2101" w:type="dxa"/>
            <w:gridSpan w:val="5"/>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2323" w:type="dxa"/>
            <w:gridSpan w:val="4"/>
            <w:vMerge w:val="restart"/>
            <w:tcBorders>
              <w:top w:val="nil"/>
              <w:left w:val="nil"/>
              <w:bottom w:val="single" w:sz="4" w:space="0" w:color="000000"/>
              <w:right w:val="single" w:sz="4" w:space="0" w:color="000000"/>
            </w:tcBorders>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r>
      <w:tr>
        <w:trPr>
          <w:trHeight w:val="624"/>
        </w:trPr>
        <w:tc>
          <w:tcPr>
            <w:tcW w:w="904"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tc>
        <w:tc>
          <w:tcPr>
            <w:tcW w:w="3191" w:type="dxa"/>
            <w:gridSpan w:val="6"/>
            <w:vMerge/>
            <w:tcBorders>
              <w:top w:val="nil"/>
              <w:left w:val="nil"/>
              <w:bottom w:val="single" w:sz="4" w:space="0" w:color="000000"/>
              <w:right w:val="single" w:sz="4" w:space="0" w:color="000000"/>
            </w:tcBorders>
            <w:tcMar>
              <w:top w:w="15" w:type="dxa"/>
              <w:left w:w="15" w:type="dxa"/>
              <w:right w:w="15" w:type="dxa"/>
            </w:tcMar>
            <w:vAlign w:val="center"/>
          </w:tcPr>
          <w:p/>
        </w:tc>
        <w:tc>
          <w:tcPr>
            <w:tcW w:w="1470" w:type="dxa"/>
            <w:vMerge/>
            <w:tcBorders>
              <w:top w:val="nil"/>
              <w:left w:val="nil"/>
              <w:bottom w:val="single" w:sz="4" w:space="0" w:color="000000"/>
              <w:right w:val="single" w:sz="4" w:space="0" w:color="000000"/>
            </w:tcBorders>
            <w:vAlign w:val="center"/>
          </w:tcPr>
          <w:p/>
        </w:tc>
        <w:tc>
          <w:tcPr>
            <w:tcW w:w="2101" w:type="dxa"/>
            <w:gridSpan w:val="5"/>
            <w:vMerge/>
            <w:tcBorders>
              <w:top w:val="nil"/>
              <w:left w:val="nil"/>
              <w:bottom w:val="single" w:sz="4" w:space="0" w:color="000000"/>
              <w:right w:val="single" w:sz="4" w:space="0" w:color="000000"/>
            </w:tcBorders>
            <w:tcMar>
              <w:top w:w="15" w:type="dxa"/>
              <w:left w:w="15" w:type="dxa"/>
              <w:right w:w="15" w:type="dxa"/>
            </w:tcMar>
            <w:vAlign w:val="center"/>
          </w:tcPr>
          <w:p/>
        </w:tc>
        <w:tc>
          <w:tcPr>
            <w:tcW w:w="2323" w:type="dxa"/>
            <w:gridSpan w:val="4"/>
            <w:vMerge/>
            <w:tcBorders>
              <w:top w:val="nil"/>
              <w:left w:val="nil"/>
              <w:bottom w:val="single" w:sz="4" w:space="0" w:color="000000"/>
              <w:right w:val="single" w:sz="4" w:space="0" w:color="000000"/>
            </w:tcBorders>
            <w:vAlign w:val="center"/>
          </w:tcPr>
          <w:p/>
        </w:tc>
      </w:tr>
      <w:tr>
        <w:trPr>
          <w:trHeight w:val="624"/>
        </w:trPr>
        <w:tc>
          <w:tcPr>
            <w:tcW w:w="904"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tc>
        <w:tc>
          <w:tcPr>
            <w:tcW w:w="3191" w:type="dxa"/>
            <w:gridSpan w:val="6"/>
            <w:vMerge/>
            <w:tcBorders>
              <w:top w:val="nil"/>
              <w:left w:val="nil"/>
              <w:bottom w:val="single" w:sz="4" w:space="0" w:color="000000"/>
              <w:right w:val="single" w:sz="4" w:space="0" w:color="000000"/>
            </w:tcBorders>
            <w:tcMar>
              <w:top w:w="15" w:type="dxa"/>
              <w:left w:w="15" w:type="dxa"/>
              <w:right w:w="15" w:type="dxa"/>
            </w:tcMar>
            <w:vAlign w:val="center"/>
          </w:tcPr>
          <w:p/>
        </w:tc>
        <w:tc>
          <w:tcPr>
            <w:tcW w:w="1470" w:type="dxa"/>
            <w:vMerge/>
            <w:tcBorders>
              <w:top w:val="nil"/>
              <w:left w:val="nil"/>
              <w:bottom w:val="single" w:sz="4" w:space="0" w:color="000000"/>
              <w:right w:val="single" w:sz="4" w:space="0" w:color="000000"/>
            </w:tcBorders>
            <w:vAlign w:val="center"/>
          </w:tcPr>
          <w:p/>
        </w:tc>
        <w:tc>
          <w:tcPr>
            <w:tcW w:w="2101" w:type="dxa"/>
            <w:gridSpan w:val="5"/>
            <w:vMerge/>
            <w:tcBorders>
              <w:top w:val="nil"/>
              <w:left w:val="nil"/>
              <w:bottom w:val="single" w:sz="4" w:space="0" w:color="000000"/>
              <w:right w:val="single" w:sz="4" w:space="0" w:color="000000"/>
            </w:tcBorders>
            <w:tcMar>
              <w:top w:w="15" w:type="dxa"/>
              <w:left w:w="15" w:type="dxa"/>
              <w:right w:w="15" w:type="dxa"/>
            </w:tcMar>
            <w:vAlign w:val="center"/>
          </w:tcPr>
          <w:p/>
        </w:tc>
        <w:tc>
          <w:tcPr>
            <w:tcW w:w="2323" w:type="dxa"/>
            <w:gridSpan w:val="4"/>
            <w:vMerge/>
            <w:tcBorders>
              <w:top w:val="nil"/>
              <w:left w:val="nil"/>
              <w:bottom w:val="single" w:sz="4" w:space="0" w:color="000000"/>
              <w:right w:val="single" w:sz="4" w:space="0" w:color="000000"/>
            </w:tcBorders>
            <w:vAlign w:val="center"/>
          </w:tcPr>
          <w:p/>
        </w:tc>
      </w:tr>
      <w:tr>
        <w:trPr>
          <w:trHeight w:val="308"/>
        </w:trPr>
        <w:tc>
          <w:tcPr>
            <w:tcW w:w="4095" w:type="dxa"/>
            <w:gridSpan w:val="9"/>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1470" w:type="dxa"/>
            <w:tcBorders>
              <w:top w:val="nil"/>
              <w:left w:val="nil"/>
              <w:bottom w:val="single" w:sz="4" w:space="0" w:color="000000"/>
              <w:right w:val="single" w:sz="4" w:space="0" w:color="000000"/>
            </w:tcBorders>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2101" w:type="dxa"/>
            <w:gridSpan w:val="5"/>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2323" w:type="dxa"/>
            <w:gridSpan w:val="4"/>
            <w:tcBorders>
              <w:top w:val="nil"/>
              <w:left w:val="nil"/>
              <w:bottom w:val="single" w:sz="4" w:space="0" w:color="000000"/>
              <w:right w:val="single" w:sz="4" w:space="0" w:color="000000"/>
            </w:tcBorders>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w:t>
            </w:r>
          </w:p>
        </w:tc>
      </w:tr>
      <w:tr>
        <w:trPr>
          <w:trHeight w:val="308"/>
        </w:trPr>
        <w:tc>
          <w:tcPr>
            <w:tcW w:w="4095" w:type="dxa"/>
            <w:gridSpan w:val="9"/>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470" w:type="dxa"/>
            <w:tcBorders>
              <w:top w:val="nil"/>
              <w:left w:val="nil"/>
              <w:bottom w:val="single" w:sz="4" w:space="0" w:color="000000"/>
              <w:right w:val="single" w:sz="4" w:space="0" w:color="000000"/>
            </w:tcBorders>
            <w:vAlign w:val="center"/>
          </w:tcPr>
          <w:p>
            <w:pPr>
              <w:widowControl/>
              <w:jc w:val="right"/>
              <w:textAlignment w:val="center"/>
              <w:rPr>
                <w:rFonts w:ascii="宋体" w:eastAsia="宋体" w:cs="宋体"/>
                <w:b/>
                <w:color w:val="000000"/>
                <w:sz w:val="18"/>
                <w:szCs w:val="18"/>
              </w:rPr>
            </w:pPr>
            <w:r>
              <w:rPr>
                <w:rFonts w:ascii="宋体" w:eastAsia="宋体" w:cs="宋体"/>
                <w:b/>
                <w:color w:val="000000"/>
                <w:kern w:val="0"/>
                <w:sz w:val="18"/>
                <w:szCs w:val="18"/>
              </w:rPr>
              <w:t>2,127.37</w:t>
            </w:r>
          </w:p>
        </w:tc>
        <w:tc>
          <w:tcPr>
            <w:tcW w:w="2101" w:type="dxa"/>
            <w:gridSpan w:val="5"/>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b/>
                <w:color w:val="000000"/>
                <w:sz w:val="18"/>
                <w:szCs w:val="18"/>
              </w:rPr>
            </w:pPr>
            <w:r>
              <w:rPr>
                <w:rFonts w:ascii="宋体" w:eastAsia="宋体" w:cs="宋体"/>
                <w:b/>
                <w:color w:val="000000"/>
                <w:kern w:val="0"/>
                <w:sz w:val="18"/>
                <w:szCs w:val="18"/>
              </w:rPr>
              <w:t>2,069.15</w:t>
            </w:r>
          </w:p>
        </w:tc>
        <w:tc>
          <w:tcPr>
            <w:tcW w:w="2323" w:type="dxa"/>
            <w:gridSpan w:val="4"/>
            <w:tcBorders>
              <w:top w:val="nil"/>
              <w:left w:val="nil"/>
              <w:bottom w:val="single" w:sz="4" w:space="0" w:color="000000"/>
              <w:right w:val="single" w:sz="4" w:space="0" w:color="000000"/>
            </w:tcBorders>
            <w:vAlign w:val="center"/>
          </w:tcPr>
          <w:p>
            <w:pPr>
              <w:widowControl/>
              <w:jc w:val="right"/>
              <w:textAlignment w:val="center"/>
              <w:rPr>
                <w:rFonts w:ascii="宋体" w:eastAsia="宋体" w:cs="宋体"/>
                <w:b/>
                <w:color w:val="000000"/>
                <w:sz w:val="18"/>
                <w:szCs w:val="18"/>
              </w:rPr>
            </w:pPr>
            <w:r>
              <w:rPr>
                <w:rFonts w:ascii="宋体" w:eastAsia="宋体" w:cs="宋体"/>
                <w:b/>
                <w:color w:val="000000"/>
                <w:kern w:val="0"/>
                <w:sz w:val="18"/>
                <w:szCs w:val="18"/>
              </w:rPr>
              <w:t>58.22</w:t>
            </w:r>
          </w:p>
        </w:tc>
      </w:tr>
      <w:tr>
        <w:trPr>
          <w:trHeight w:val="308"/>
        </w:trPr>
        <w:tc>
          <w:tcPr>
            <w:tcW w:w="904"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color w:val="000000"/>
                <w:kern w:val="0"/>
                <w:sz w:val="16"/>
                <w:szCs w:val="16"/>
              </w:rPr>
              <w:t>201</w:t>
            </w:r>
          </w:p>
        </w:tc>
        <w:tc>
          <w:tcPr>
            <w:tcW w:w="3191" w:type="dxa"/>
            <w:gridSpan w:val="6"/>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hint="eastAsia"/>
                <w:color w:val="000000"/>
                <w:kern w:val="0"/>
                <w:sz w:val="16"/>
                <w:szCs w:val="16"/>
              </w:rPr>
              <w:t>一般公共服务支出</w:t>
            </w:r>
          </w:p>
        </w:tc>
        <w:tc>
          <w:tcPr>
            <w:tcW w:w="1470" w:type="dxa"/>
            <w:tcBorders>
              <w:top w:val="nil"/>
              <w:left w:val="nil"/>
              <w:bottom w:val="single" w:sz="4" w:space="0" w:color="000000"/>
              <w:right w:val="single" w:sz="4" w:space="0" w:color="000000"/>
            </w:tcBorders>
            <w:vAlign w:val="center"/>
          </w:tcPr>
          <w:p>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1,667.26</w:t>
            </w:r>
          </w:p>
        </w:tc>
        <w:tc>
          <w:tcPr>
            <w:tcW w:w="2101" w:type="dxa"/>
            <w:gridSpan w:val="5"/>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1,609.03</w:t>
            </w:r>
          </w:p>
        </w:tc>
        <w:tc>
          <w:tcPr>
            <w:tcW w:w="2323" w:type="dxa"/>
            <w:gridSpan w:val="4"/>
            <w:tcBorders>
              <w:top w:val="nil"/>
              <w:left w:val="nil"/>
              <w:bottom w:val="single" w:sz="4" w:space="0" w:color="000000"/>
              <w:right w:val="single" w:sz="4" w:space="0" w:color="000000"/>
            </w:tcBorders>
            <w:vAlign w:val="center"/>
          </w:tcPr>
          <w:p>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58.22</w:t>
            </w:r>
          </w:p>
        </w:tc>
      </w:tr>
      <w:tr>
        <w:trPr>
          <w:trHeight w:val="308"/>
        </w:trPr>
        <w:tc>
          <w:tcPr>
            <w:tcW w:w="904"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color w:val="000000"/>
                <w:kern w:val="0"/>
                <w:sz w:val="16"/>
                <w:szCs w:val="16"/>
              </w:rPr>
              <w:t>20106</w:t>
            </w:r>
          </w:p>
        </w:tc>
        <w:tc>
          <w:tcPr>
            <w:tcW w:w="3191" w:type="dxa"/>
            <w:gridSpan w:val="6"/>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hint="eastAsia"/>
                <w:color w:val="000000"/>
                <w:kern w:val="0"/>
                <w:sz w:val="16"/>
                <w:szCs w:val="16"/>
              </w:rPr>
              <w:t>财政事务</w:t>
            </w:r>
          </w:p>
        </w:tc>
        <w:tc>
          <w:tcPr>
            <w:tcW w:w="1470" w:type="dxa"/>
            <w:tcBorders>
              <w:top w:val="nil"/>
              <w:left w:val="nil"/>
              <w:bottom w:val="single" w:sz="4" w:space="0" w:color="000000"/>
              <w:right w:val="single" w:sz="4" w:space="0" w:color="000000"/>
            </w:tcBorders>
            <w:vAlign w:val="center"/>
          </w:tcPr>
          <w:p>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1,667.26</w:t>
            </w:r>
          </w:p>
        </w:tc>
        <w:tc>
          <w:tcPr>
            <w:tcW w:w="2101" w:type="dxa"/>
            <w:gridSpan w:val="5"/>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1,609.03</w:t>
            </w:r>
          </w:p>
        </w:tc>
        <w:tc>
          <w:tcPr>
            <w:tcW w:w="2323" w:type="dxa"/>
            <w:gridSpan w:val="4"/>
            <w:tcBorders>
              <w:top w:val="nil"/>
              <w:left w:val="nil"/>
              <w:bottom w:val="single" w:sz="4" w:space="0" w:color="000000"/>
              <w:right w:val="single" w:sz="4" w:space="0" w:color="000000"/>
            </w:tcBorders>
            <w:vAlign w:val="center"/>
          </w:tcPr>
          <w:p>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58.22</w:t>
            </w:r>
          </w:p>
        </w:tc>
      </w:tr>
      <w:tr>
        <w:trPr>
          <w:trHeight w:val="308"/>
        </w:trPr>
        <w:tc>
          <w:tcPr>
            <w:tcW w:w="904"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color w:val="000000"/>
                <w:kern w:val="0"/>
                <w:sz w:val="16"/>
                <w:szCs w:val="16"/>
              </w:rPr>
              <w:t>2010601</w:t>
            </w:r>
          </w:p>
        </w:tc>
        <w:tc>
          <w:tcPr>
            <w:tcW w:w="3191" w:type="dxa"/>
            <w:gridSpan w:val="6"/>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行政运行</w:t>
            </w:r>
          </w:p>
        </w:tc>
        <w:tc>
          <w:tcPr>
            <w:tcW w:w="1470" w:type="dxa"/>
            <w:tcBorders>
              <w:top w:val="nil"/>
              <w:left w:val="nil"/>
              <w:bottom w:val="single" w:sz="4" w:space="0" w:color="000000"/>
              <w:right w:val="single" w:sz="4" w:space="0" w:color="000000"/>
            </w:tcBorders>
            <w:vAlign w:val="center"/>
          </w:tcPr>
          <w:p>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1,609.54</w:t>
            </w:r>
          </w:p>
        </w:tc>
        <w:tc>
          <w:tcPr>
            <w:tcW w:w="2101" w:type="dxa"/>
            <w:gridSpan w:val="5"/>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1,609.03</w:t>
            </w:r>
          </w:p>
        </w:tc>
        <w:tc>
          <w:tcPr>
            <w:tcW w:w="2323" w:type="dxa"/>
            <w:gridSpan w:val="4"/>
            <w:tcBorders>
              <w:top w:val="nil"/>
              <w:left w:val="nil"/>
              <w:bottom w:val="single" w:sz="4" w:space="0" w:color="000000"/>
              <w:right w:val="single" w:sz="4" w:space="0" w:color="000000"/>
            </w:tcBorders>
            <w:vAlign w:val="center"/>
          </w:tcPr>
          <w:p>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0.50</w:t>
            </w:r>
          </w:p>
        </w:tc>
      </w:tr>
      <w:tr>
        <w:trPr>
          <w:trHeight w:val="308"/>
        </w:trPr>
        <w:tc>
          <w:tcPr>
            <w:tcW w:w="904"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color w:val="000000"/>
                <w:kern w:val="0"/>
                <w:sz w:val="16"/>
                <w:szCs w:val="16"/>
              </w:rPr>
              <w:t>2010608</w:t>
            </w:r>
          </w:p>
        </w:tc>
        <w:tc>
          <w:tcPr>
            <w:tcW w:w="3191" w:type="dxa"/>
            <w:gridSpan w:val="6"/>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财政委托业务支出</w:t>
            </w:r>
          </w:p>
        </w:tc>
        <w:tc>
          <w:tcPr>
            <w:tcW w:w="1470" w:type="dxa"/>
            <w:tcBorders>
              <w:top w:val="nil"/>
              <w:left w:val="nil"/>
              <w:bottom w:val="single" w:sz="4" w:space="0" w:color="000000"/>
              <w:right w:val="single" w:sz="4" w:space="0" w:color="000000"/>
            </w:tcBorders>
            <w:vAlign w:val="center"/>
          </w:tcPr>
          <w:p>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57.72</w:t>
            </w:r>
          </w:p>
        </w:tc>
        <w:tc>
          <w:tcPr>
            <w:tcW w:w="2101" w:type="dxa"/>
            <w:gridSpan w:val="5"/>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8"/>
                <w:szCs w:val="18"/>
              </w:rPr>
            </w:pPr>
          </w:p>
        </w:tc>
        <w:tc>
          <w:tcPr>
            <w:tcW w:w="2323" w:type="dxa"/>
            <w:gridSpan w:val="4"/>
            <w:tcBorders>
              <w:top w:val="nil"/>
              <w:left w:val="nil"/>
              <w:bottom w:val="single" w:sz="4" w:space="0" w:color="000000"/>
              <w:right w:val="single" w:sz="4" w:space="0" w:color="000000"/>
            </w:tcBorders>
            <w:vAlign w:val="center"/>
          </w:tcPr>
          <w:p>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57.72</w:t>
            </w:r>
          </w:p>
        </w:tc>
      </w:tr>
      <w:tr>
        <w:trPr>
          <w:trHeight w:val="308"/>
        </w:trPr>
        <w:tc>
          <w:tcPr>
            <w:tcW w:w="904"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color w:val="000000"/>
                <w:kern w:val="0"/>
                <w:sz w:val="16"/>
                <w:szCs w:val="16"/>
              </w:rPr>
              <w:t>208</w:t>
            </w:r>
          </w:p>
        </w:tc>
        <w:tc>
          <w:tcPr>
            <w:tcW w:w="3191" w:type="dxa"/>
            <w:gridSpan w:val="6"/>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hint="eastAsia"/>
                <w:color w:val="000000"/>
                <w:kern w:val="0"/>
                <w:sz w:val="16"/>
                <w:szCs w:val="16"/>
              </w:rPr>
              <w:t>社会保障和就业支出</w:t>
            </w:r>
          </w:p>
        </w:tc>
        <w:tc>
          <w:tcPr>
            <w:tcW w:w="1470" w:type="dxa"/>
            <w:tcBorders>
              <w:top w:val="nil"/>
              <w:left w:val="nil"/>
              <w:bottom w:val="single" w:sz="4" w:space="0" w:color="000000"/>
              <w:right w:val="single" w:sz="4" w:space="0" w:color="000000"/>
            </w:tcBorders>
            <w:vAlign w:val="center"/>
          </w:tcPr>
          <w:p>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336.07</w:t>
            </w:r>
          </w:p>
        </w:tc>
        <w:tc>
          <w:tcPr>
            <w:tcW w:w="2101" w:type="dxa"/>
            <w:gridSpan w:val="5"/>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336.07</w:t>
            </w:r>
          </w:p>
        </w:tc>
        <w:tc>
          <w:tcPr>
            <w:tcW w:w="2323" w:type="dxa"/>
            <w:gridSpan w:val="4"/>
            <w:tcBorders>
              <w:top w:val="nil"/>
              <w:left w:val="nil"/>
              <w:bottom w:val="single" w:sz="4" w:space="0" w:color="000000"/>
              <w:right w:val="single" w:sz="4" w:space="0" w:color="000000"/>
            </w:tcBorders>
            <w:vAlign w:val="center"/>
          </w:tcPr>
          <w:p>
            <w:pPr>
              <w:widowControl/>
              <w:jc w:val="right"/>
              <w:textAlignment w:val="center"/>
              <w:rPr>
                <w:rFonts w:ascii="宋体" w:eastAsia="宋体" w:cs="宋体"/>
                <w:color w:val="000000"/>
                <w:sz w:val="18"/>
                <w:szCs w:val="18"/>
              </w:rPr>
            </w:pPr>
          </w:p>
        </w:tc>
      </w:tr>
      <w:tr>
        <w:trPr>
          <w:trHeight w:val="308"/>
        </w:trPr>
        <w:tc>
          <w:tcPr>
            <w:tcW w:w="904"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color w:val="000000"/>
                <w:kern w:val="0"/>
                <w:sz w:val="16"/>
                <w:szCs w:val="16"/>
              </w:rPr>
              <w:t>20805</w:t>
            </w:r>
          </w:p>
        </w:tc>
        <w:tc>
          <w:tcPr>
            <w:tcW w:w="3191" w:type="dxa"/>
            <w:gridSpan w:val="6"/>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hint="eastAsia"/>
                <w:color w:val="000000"/>
                <w:kern w:val="0"/>
                <w:sz w:val="16"/>
                <w:szCs w:val="16"/>
              </w:rPr>
              <w:t>行政事业单位离退休</w:t>
            </w:r>
          </w:p>
        </w:tc>
        <w:tc>
          <w:tcPr>
            <w:tcW w:w="1470" w:type="dxa"/>
            <w:tcBorders>
              <w:top w:val="nil"/>
              <w:left w:val="nil"/>
              <w:bottom w:val="single" w:sz="4" w:space="0" w:color="000000"/>
              <w:right w:val="single" w:sz="4" w:space="0" w:color="000000"/>
            </w:tcBorders>
            <w:vAlign w:val="center"/>
          </w:tcPr>
          <w:p>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336.07</w:t>
            </w:r>
          </w:p>
        </w:tc>
        <w:tc>
          <w:tcPr>
            <w:tcW w:w="2101" w:type="dxa"/>
            <w:gridSpan w:val="5"/>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336.07</w:t>
            </w:r>
          </w:p>
        </w:tc>
        <w:tc>
          <w:tcPr>
            <w:tcW w:w="2323" w:type="dxa"/>
            <w:gridSpan w:val="4"/>
            <w:tcBorders>
              <w:top w:val="nil"/>
              <w:left w:val="nil"/>
              <w:bottom w:val="single" w:sz="4" w:space="0" w:color="000000"/>
              <w:right w:val="single" w:sz="4" w:space="0" w:color="000000"/>
            </w:tcBorders>
            <w:vAlign w:val="center"/>
          </w:tcPr>
          <w:p>
            <w:pPr>
              <w:widowControl/>
              <w:jc w:val="right"/>
              <w:textAlignment w:val="center"/>
              <w:rPr>
                <w:rFonts w:ascii="宋体" w:eastAsia="宋体" w:cs="宋体"/>
                <w:color w:val="000000"/>
                <w:sz w:val="18"/>
                <w:szCs w:val="18"/>
              </w:rPr>
            </w:pPr>
          </w:p>
        </w:tc>
      </w:tr>
      <w:tr>
        <w:trPr>
          <w:trHeight w:val="308"/>
        </w:trPr>
        <w:tc>
          <w:tcPr>
            <w:tcW w:w="904"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color w:val="000000"/>
                <w:kern w:val="0"/>
                <w:sz w:val="16"/>
                <w:szCs w:val="16"/>
              </w:rPr>
              <w:t>2080501</w:t>
            </w:r>
          </w:p>
        </w:tc>
        <w:tc>
          <w:tcPr>
            <w:tcW w:w="3191" w:type="dxa"/>
            <w:gridSpan w:val="6"/>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归口管理的行政单位离退休</w:t>
            </w:r>
          </w:p>
        </w:tc>
        <w:tc>
          <w:tcPr>
            <w:tcW w:w="1470" w:type="dxa"/>
            <w:tcBorders>
              <w:top w:val="nil"/>
              <w:left w:val="nil"/>
              <w:bottom w:val="single" w:sz="4" w:space="0" w:color="000000"/>
              <w:right w:val="single" w:sz="4" w:space="0" w:color="000000"/>
            </w:tcBorders>
            <w:vAlign w:val="center"/>
          </w:tcPr>
          <w:p>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209.33</w:t>
            </w:r>
          </w:p>
        </w:tc>
        <w:tc>
          <w:tcPr>
            <w:tcW w:w="2101" w:type="dxa"/>
            <w:gridSpan w:val="5"/>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209.33</w:t>
            </w:r>
          </w:p>
        </w:tc>
        <w:tc>
          <w:tcPr>
            <w:tcW w:w="2323" w:type="dxa"/>
            <w:gridSpan w:val="4"/>
            <w:tcBorders>
              <w:top w:val="nil"/>
              <w:left w:val="nil"/>
              <w:bottom w:val="single" w:sz="4" w:space="0" w:color="000000"/>
              <w:right w:val="single" w:sz="4" w:space="0" w:color="000000"/>
            </w:tcBorders>
            <w:vAlign w:val="center"/>
          </w:tcPr>
          <w:p>
            <w:pPr>
              <w:widowControl/>
              <w:jc w:val="right"/>
              <w:textAlignment w:val="center"/>
              <w:rPr>
                <w:rFonts w:ascii="宋体" w:eastAsia="宋体" w:cs="宋体"/>
                <w:color w:val="000000"/>
                <w:sz w:val="18"/>
                <w:szCs w:val="18"/>
              </w:rPr>
            </w:pPr>
          </w:p>
        </w:tc>
      </w:tr>
      <w:tr>
        <w:trPr>
          <w:trHeight w:val="308"/>
        </w:trPr>
        <w:tc>
          <w:tcPr>
            <w:tcW w:w="904"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color w:val="000000"/>
                <w:kern w:val="0"/>
                <w:sz w:val="16"/>
                <w:szCs w:val="16"/>
              </w:rPr>
              <w:t>2080505</w:t>
            </w:r>
          </w:p>
        </w:tc>
        <w:tc>
          <w:tcPr>
            <w:tcW w:w="3191" w:type="dxa"/>
            <w:gridSpan w:val="6"/>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机关事业单位基本养老保险缴费支出</w:t>
            </w:r>
          </w:p>
        </w:tc>
        <w:tc>
          <w:tcPr>
            <w:tcW w:w="1470" w:type="dxa"/>
            <w:tcBorders>
              <w:top w:val="nil"/>
              <w:left w:val="nil"/>
              <w:bottom w:val="single" w:sz="4" w:space="0" w:color="000000"/>
              <w:right w:val="single" w:sz="4" w:space="0" w:color="000000"/>
            </w:tcBorders>
            <w:vAlign w:val="center"/>
          </w:tcPr>
          <w:p>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126.74</w:t>
            </w:r>
          </w:p>
        </w:tc>
        <w:tc>
          <w:tcPr>
            <w:tcW w:w="2101" w:type="dxa"/>
            <w:gridSpan w:val="5"/>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126.74</w:t>
            </w:r>
          </w:p>
        </w:tc>
        <w:tc>
          <w:tcPr>
            <w:tcW w:w="2323" w:type="dxa"/>
            <w:gridSpan w:val="4"/>
            <w:tcBorders>
              <w:top w:val="nil"/>
              <w:left w:val="nil"/>
              <w:bottom w:val="single" w:sz="4" w:space="0" w:color="000000"/>
              <w:right w:val="single" w:sz="4" w:space="0" w:color="000000"/>
            </w:tcBorders>
            <w:vAlign w:val="center"/>
          </w:tcPr>
          <w:p>
            <w:pPr>
              <w:widowControl/>
              <w:jc w:val="right"/>
              <w:textAlignment w:val="center"/>
              <w:rPr>
                <w:rFonts w:ascii="宋体" w:eastAsia="宋体" w:cs="宋体"/>
                <w:color w:val="000000"/>
                <w:sz w:val="18"/>
                <w:szCs w:val="18"/>
              </w:rPr>
            </w:pPr>
          </w:p>
        </w:tc>
      </w:tr>
      <w:tr>
        <w:trPr>
          <w:trHeight w:val="308"/>
        </w:trPr>
        <w:tc>
          <w:tcPr>
            <w:tcW w:w="904"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color w:val="000000"/>
                <w:kern w:val="0"/>
                <w:sz w:val="16"/>
                <w:szCs w:val="16"/>
              </w:rPr>
              <w:t>210</w:t>
            </w:r>
          </w:p>
        </w:tc>
        <w:tc>
          <w:tcPr>
            <w:tcW w:w="3191" w:type="dxa"/>
            <w:gridSpan w:val="6"/>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hint="eastAsia"/>
                <w:color w:val="000000"/>
                <w:kern w:val="0"/>
                <w:sz w:val="16"/>
                <w:szCs w:val="16"/>
              </w:rPr>
              <w:t>卫生健康支出</w:t>
            </w:r>
          </w:p>
        </w:tc>
        <w:tc>
          <w:tcPr>
            <w:tcW w:w="1470" w:type="dxa"/>
            <w:tcBorders>
              <w:top w:val="nil"/>
              <w:left w:val="nil"/>
              <w:bottom w:val="single" w:sz="4" w:space="0" w:color="000000"/>
              <w:right w:val="single" w:sz="4" w:space="0" w:color="000000"/>
            </w:tcBorders>
            <w:vAlign w:val="center"/>
          </w:tcPr>
          <w:p>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46.35</w:t>
            </w:r>
          </w:p>
        </w:tc>
        <w:tc>
          <w:tcPr>
            <w:tcW w:w="2101" w:type="dxa"/>
            <w:gridSpan w:val="5"/>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46.35</w:t>
            </w:r>
          </w:p>
        </w:tc>
        <w:tc>
          <w:tcPr>
            <w:tcW w:w="2323" w:type="dxa"/>
            <w:gridSpan w:val="4"/>
            <w:tcBorders>
              <w:top w:val="nil"/>
              <w:left w:val="nil"/>
              <w:bottom w:val="single" w:sz="4" w:space="0" w:color="000000"/>
              <w:right w:val="single" w:sz="4" w:space="0" w:color="000000"/>
            </w:tcBorders>
            <w:vAlign w:val="center"/>
          </w:tcPr>
          <w:p>
            <w:pPr>
              <w:widowControl/>
              <w:jc w:val="right"/>
              <w:textAlignment w:val="center"/>
              <w:rPr>
                <w:rFonts w:ascii="宋体" w:eastAsia="宋体" w:cs="宋体"/>
                <w:color w:val="000000"/>
                <w:sz w:val="18"/>
                <w:szCs w:val="18"/>
              </w:rPr>
            </w:pPr>
          </w:p>
        </w:tc>
      </w:tr>
      <w:tr>
        <w:trPr>
          <w:trHeight w:val="308"/>
        </w:trPr>
        <w:tc>
          <w:tcPr>
            <w:tcW w:w="904"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color w:val="000000"/>
                <w:kern w:val="0"/>
                <w:sz w:val="16"/>
                <w:szCs w:val="16"/>
              </w:rPr>
              <w:t>21011</w:t>
            </w:r>
          </w:p>
        </w:tc>
        <w:tc>
          <w:tcPr>
            <w:tcW w:w="3191" w:type="dxa"/>
            <w:gridSpan w:val="6"/>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hint="eastAsia"/>
                <w:color w:val="000000"/>
                <w:kern w:val="0"/>
                <w:sz w:val="16"/>
                <w:szCs w:val="16"/>
              </w:rPr>
              <w:t>行政事业单位医疗</w:t>
            </w:r>
          </w:p>
        </w:tc>
        <w:tc>
          <w:tcPr>
            <w:tcW w:w="1470" w:type="dxa"/>
            <w:tcBorders>
              <w:top w:val="nil"/>
              <w:left w:val="nil"/>
              <w:bottom w:val="single" w:sz="4" w:space="0" w:color="000000"/>
              <w:right w:val="single" w:sz="4" w:space="0" w:color="000000"/>
            </w:tcBorders>
            <w:vAlign w:val="center"/>
          </w:tcPr>
          <w:p>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46.35</w:t>
            </w:r>
          </w:p>
        </w:tc>
        <w:tc>
          <w:tcPr>
            <w:tcW w:w="2101" w:type="dxa"/>
            <w:gridSpan w:val="5"/>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46.35</w:t>
            </w:r>
          </w:p>
        </w:tc>
        <w:tc>
          <w:tcPr>
            <w:tcW w:w="2323" w:type="dxa"/>
            <w:gridSpan w:val="4"/>
            <w:tcBorders>
              <w:top w:val="nil"/>
              <w:left w:val="nil"/>
              <w:bottom w:val="single" w:sz="4" w:space="0" w:color="000000"/>
              <w:right w:val="single" w:sz="4" w:space="0" w:color="000000"/>
            </w:tcBorders>
            <w:vAlign w:val="center"/>
          </w:tcPr>
          <w:p>
            <w:pPr>
              <w:widowControl/>
              <w:jc w:val="right"/>
              <w:textAlignment w:val="center"/>
              <w:rPr>
                <w:rFonts w:ascii="宋体" w:eastAsia="宋体" w:cs="宋体"/>
                <w:color w:val="000000"/>
                <w:sz w:val="18"/>
                <w:szCs w:val="18"/>
              </w:rPr>
            </w:pPr>
          </w:p>
        </w:tc>
      </w:tr>
      <w:tr>
        <w:trPr>
          <w:trHeight w:val="308"/>
        </w:trPr>
        <w:tc>
          <w:tcPr>
            <w:tcW w:w="904"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color w:val="000000"/>
                <w:kern w:val="0"/>
                <w:sz w:val="16"/>
                <w:szCs w:val="16"/>
              </w:rPr>
              <w:t>2101101</w:t>
            </w:r>
          </w:p>
        </w:tc>
        <w:tc>
          <w:tcPr>
            <w:tcW w:w="3191" w:type="dxa"/>
            <w:gridSpan w:val="6"/>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行政单位医疗</w:t>
            </w:r>
          </w:p>
        </w:tc>
        <w:tc>
          <w:tcPr>
            <w:tcW w:w="1470" w:type="dxa"/>
            <w:tcBorders>
              <w:top w:val="nil"/>
              <w:left w:val="nil"/>
              <w:bottom w:val="single" w:sz="4" w:space="0" w:color="000000"/>
              <w:right w:val="single" w:sz="4" w:space="0" w:color="000000"/>
            </w:tcBorders>
            <w:vAlign w:val="center"/>
          </w:tcPr>
          <w:p>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46.35</w:t>
            </w:r>
          </w:p>
        </w:tc>
        <w:tc>
          <w:tcPr>
            <w:tcW w:w="2101" w:type="dxa"/>
            <w:gridSpan w:val="5"/>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46.35</w:t>
            </w:r>
          </w:p>
        </w:tc>
        <w:tc>
          <w:tcPr>
            <w:tcW w:w="2323" w:type="dxa"/>
            <w:gridSpan w:val="4"/>
            <w:tcBorders>
              <w:top w:val="nil"/>
              <w:left w:val="nil"/>
              <w:bottom w:val="single" w:sz="4" w:space="0" w:color="000000"/>
              <w:right w:val="single" w:sz="4" w:space="0" w:color="000000"/>
            </w:tcBorders>
            <w:vAlign w:val="center"/>
          </w:tcPr>
          <w:p>
            <w:pPr>
              <w:widowControl/>
              <w:jc w:val="right"/>
              <w:textAlignment w:val="center"/>
              <w:rPr>
                <w:rFonts w:ascii="宋体" w:eastAsia="宋体" w:cs="宋体"/>
                <w:color w:val="000000"/>
                <w:sz w:val="18"/>
                <w:szCs w:val="18"/>
              </w:rPr>
            </w:pPr>
          </w:p>
        </w:tc>
      </w:tr>
      <w:tr>
        <w:trPr>
          <w:trHeight w:val="308"/>
        </w:trPr>
        <w:tc>
          <w:tcPr>
            <w:tcW w:w="904"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color w:val="000000"/>
                <w:kern w:val="0"/>
                <w:sz w:val="16"/>
                <w:szCs w:val="16"/>
              </w:rPr>
              <w:t>221</w:t>
            </w:r>
          </w:p>
        </w:tc>
        <w:tc>
          <w:tcPr>
            <w:tcW w:w="3191" w:type="dxa"/>
            <w:gridSpan w:val="6"/>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hint="eastAsia"/>
                <w:color w:val="000000"/>
                <w:kern w:val="0"/>
                <w:sz w:val="16"/>
                <w:szCs w:val="16"/>
              </w:rPr>
              <w:t>住房保障支出</w:t>
            </w:r>
          </w:p>
        </w:tc>
        <w:tc>
          <w:tcPr>
            <w:tcW w:w="1470" w:type="dxa"/>
            <w:tcBorders>
              <w:top w:val="nil"/>
              <w:left w:val="nil"/>
              <w:bottom w:val="single" w:sz="4" w:space="0" w:color="000000"/>
              <w:right w:val="single" w:sz="4" w:space="0" w:color="000000"/>
            </w:tcBorders>
            <w:vAlign w:val="center"/>
          </w:tcPr>
          <w:p>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77.70</w:t>
            </w:r>
          </w:p>
        </w:tc>
        <w:tc>
          <w:tcPr>
            <w:tcW w:w="2101" w:type="dxa"/>
            <w:gridSpan w:val="5"/>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77.70</w:t>
            </w:r>
          </w:p>
        </w:tc>
        <w:tc>
          <w:tcPr>
            <w:tcW w:w="2323" w:type="dxa"/>
            <w:gridSpan w:val="4"/>
            <w:tcBorders>
              <w:top w:val="nil"/>
              <w:left w:val="nil"/>
              <w:bottom w:val="single" w:sz="4" w:space="0" w:color="000000"/>
              <w:right w:val="single" w:sz="4" w:space="0" w:color="000000"/>
            </w:tcBorders>
            <w:vAlign w:val="center"/>
          </w:tcPr>
          <w:p>
            <w:pPr>
              <w:widowControl/>
              <w:jc w:val="right"/>
              <w:textAlignment w:val="center"/>
              <w:rPr>
                <w:rFonts w:ascii="宋体" w:eastAsia="宋体" w:cs="宋体"/>
                <w:color w:val="000000"/>
                <w:sz w:val="18"/>
                <w:szCs w:val="18"/>
              </w:rPr>
            </w:pPr>
          </w:p>
        </w:tc>
      </w:tr>
      <w:tr>
        <w:trPr>
          <w:trHeight w:val="308"/>
        </w:trPr>
        <w:tc>
          <w:tcPr>
            <w:tcW w:w="904"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color w:val="000000"/>
                <w:kern w:val="0"/>
                <w:sz w:val="16"/>
                <w:szCs w:val="16"/>
              </w:rPr>
              <w:t>22102</w:t>
            </w:r>
          </w:p>
        </w:tc>
        <w:tc>
          <w:tcPr>
            <w:tcW w:w="3191" w:type="dxa"/>
            <w:gridSpan w:val="6"/>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hint="eastAsia"/>
                <w:color w:val="000000"/>
                <w:kern w:val="0"/>
                <w:sz w:val="16"/>
                <w:szCs w:val="16"/>
              </w:rPr>
              <w:t>住房改革支出</w:t>
            </w:r>
          </w:p>
        </w:tc>
        <w:tc>
          <w:tcPr>
            <w:tcW w:w="1470" w:type="dxa"/>
            <w:tcBorders>
              <w:top w:val="nil"/>
              <w:left w:val="nil"/>
              <w:bottom w:val="single" w:sz="4" w:space="0" w:color="000000"/>
              <w:right w:val="single" w:sz="4" w:space="0" w:color="000000"/>
            </w:tcBorders>
            <w:vAlign w:val="center"/>
          </w:tcPr>
          <w:p>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77.70</w:t>
            </w:r>
          </w:p>
        </w:tc>
        <w:tc>
          <w:tcPr>
            <w:tcW w:w="2101" w:type="dxa"/>
            <w:gridSpan w:val="5"/>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77.70</w:t>
            </w:r>
          </w:p>
        </w:tc>
        <w:tc>
          <w:tcPr>
            <w:tcW w:w="2323" w:type="dxa"/>
            <w:gridSpan w:val="4"/>
            <w:tcBorders>
              <w:top w:val="nil"/>
              <w:left w:val="nil"/>
              <w:bottom w:val="single" w:sz="4" w:space="0" w:color="000000"/>
              <w:right w:val="single" w:sz="4" w:space="0" w:color="000000"/>
            </w:tcBorders>
            <w:vAlign w:val="center"/>
          </w:tcPr>
          <w:p>
            <w:pPr>
              <w:widowControl/>
              <w:jc w:val="right"/>
              <w:textAlignment w:val="center"/>
              <w:rPr>
                <w:rFonts w:ascii="宋体" w:eastAsia="宋体" w:cs="宋体"/>
                <w:color w:val="000000"/>
                <w:sz w:val="18"/>
                <w:szCs w:val="18"/>
              </w:rPr>
            </w:pPr>
          </w:p>
        </w:tc>
      </w:tr>
      <w:tr>
        <w:trPr>
          <w:trHeight w:val="308"/>
        </w:trPr>
        <w:tc>
          <w:tcPr>
            <w:tcW w:w="904"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color w:val="000000"/>
                <w:kern w:val="0"/>
                <w:sz w:val="16"/>
                <w:szCs w:val="16"/>
              </w:rPr>
              <w:t>2210201</w:t>
            </w:r>
          </w:p>
        </w:tc>
        <w:tc>
          <w:tcPr>
            <w:tcW w:w="3191" w:type="dxa"/>
            <w:gridSpan w:val="6"/>
            <w:tcBorders>
              <w:top w:val="nil"/>
              <w:left w:val="nil"/>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住房公积金</w:t>
            </w:r>
          </w:p>
        </w:tc>
        <w:tc>
          <w:tcPr>
            <w:tcW w:w="1470" w:type="dxa"/>
            <w:tcBorders>
              <w:top w:val="nil"/>
              <w:left w:val="nil"/>
              <w:bottom w:val="single" w:sz="4" w:space="0" w:color="000000"/>
              <w:right w:val="single" w:sz="4" w:space="0" w:color="000000"/>
            </w:tcBorders>
            <w:vAlign w:val="center"/>
          </w:tcPr>
          <w:p>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77.70</w:t>
            </w:r>
          </w:p>
        </w:tc>
        <w:tc>
          <w:tcPr>
            <w:tcW w:w="2101" w:type="dxa"/>
            <w:gridSpan w:val="5"/>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77.70</w:t>
            </w:r>
          </w:p>
        </w:tc>
        <w:tc>
          <w:tcPr>
            <w:tcW w:w="2323" w:type="dxa"/>
            <w:gridSpan w:val="4"/>
            <w:tcBorders>
              <w:top w:val="nil"/>
              <w:left w:val="nil"/>
              <w:bottom w:val="single" w:sz="4" w:space="0" w:color="000000"/>
              <w:right w:val="single" w:sz="4" w:space="0" w:color="000000"/>
            </w:tcBorders>
            <w:vAlign w:val="center"/>
          </w:tcPr>
          <w:p>
            <w:pPr>
              <w:widowControl/>
              <w:jc w:val="right"/>
              <w:textAlignment w:val="center"/>
              <w:rPr>
                <w:rFonts w:ascii="宋体" w:eastAsia="宋体" w:cs="宋体"/>
                <w:color w:val="000000"/>
                <w:sz w:val="18"/>
                <w:szCs w:val="18"/>
              </w:rPr>
            </w:pPr>
          </w:p>
        </w:tc>
      </w:tr>
    </w:tbl>
    <w:p>
      <w:pPr>
        <w:rPr>
          <w:color w:val="000000"/>
        </w:rPr>
      </w:pPr>
      <w:r>
        <w:rPr>
          <w:color w:val="000000"/>
        </w:rPr>
        <w:br w:type="page"/>
      </w:r>
    </w:p>
    <w:tbl>
      <w:tblPr>
        <w:jc w:val="center"/>
        <w:tblW w:w="1000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896"/>
        <w:gridCol w:w="371"/>
        <w:gridCol w:w="1561"/>
        <w:gridCol w:w="125"/>
        <w:gridCol w:w="658"/>
        <w:gridCol w:w="655"/>
        <w:gridCol w:w="252"/>
        <w:gridCol w:w="1347"/>
        <w:gridCol w:w="218"/>
        <w:gridCol w:w="550"/>
        <w:gridCol w:w="744"/>
        <w:gridCol w:w="271"/>
        <w:gridCol w:w="1572"/>
        <w:gridCol w:w="48"/>
        <w:gridCol w:w="732"/>
      </w:tblGrid>
      <w:tr>
        <w:trPr>
          <w:trHeight w:val="662"/>
        </w:trPr>
        <w:tc>
          <w:tcPr>
            <w:tcW w:w="10000" w:type="dxa"/>
            <w:gridSpan w:val="15"/>
            <w:tcBorders>
              <w:top w:val="nil"/>
              <w:left w:val="nil"/>
              <w:bottom w:val="nil"/>
              <w:right w:val="nil"/>
            </w:tcBorders>
            <w:tcMar>
              <w:top w:w="15" w:type="dxa"/>
              <w:left w:w="15" w:type="dxa"/>
              <w:right w:w="15" w:type="dxa"/>
            </w:tcMar>
            <w:vAlign w:val="center"/>
          </w:tcPr>
          <w:p>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一般公共预算财政拨款基本支出决算表</w:t>
            </w:r>
          </w:p>
        </w:tc>
      </w:tr>
      <w:tr>
        <w:trPr>
          <w:trHeight w:val="339"/>
        </w:trPr>
        <w:tc>
          <w:tcPr>
            <w:tcW w:w="896" w:type="dxa"/>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1932" w:type="dxa"/>
            <w:gridSpan w:val="2"/>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783" w:type="dxa"/>
            <w:gridSpan w:val="2"/>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655" w:type="dxa"/>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1599" w:type="dxa"/>
            <w:gridSpan w:val="2"/>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768" w:type="dxa"/>
            <w:gridSpan w:val="2"/>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744" w:type="dxa"/>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2623" w:type="dxa"/>
            <w:gridSpan w:val="4"/>
            <w:tcBorders>
              <w:top w:val="nil"/>
              <w:left w:val="nil"/>
              <w:bottom w:val="nil"/>
              <w:right w:val="nil"/>
            </w:tcBorders>
            <w:tcMar>
              <w:top w:w="15" w:type="dxa"/>
              <w:left w:w="15" w:type="dxa"/>
              <w:right w:w="15" w:type="dxa"/>
            </w:tcMar>
            <w:vAlign w:val="bottom"/>
          </w:tcPr>
          <w:p>
            <w:pPr>
              <w:widowControl/>
              <w:jc w:val="right"/>
              <w:textAlignment w:val="bottom"/>
              <w:rPr>
                <w:rFonts w:ascii="宋体" w:eastAsia="宋体" w:cs="宋体"/>
                <w:color w:val="000000"/>
                <w:sz w:val="18"/>
                <w:szCs w:val="18"/>
              </w:rPr>
            </w:pPr>
            <w:r>
              <w:rPr>
                <w:rFonts w:ascii="宋体" w:eastAsia="宋体" w:cs="宋体" w:hint="eastAsia"/>
                <w:color w:val="000000"/>
                <w:kern w:val="0"/>
                <w:sz w:val="18"/>
                <w:szCs w:val="18"/>
              </w:rPr>
              <w:t>公开</w:t>
            </w:r>
            <w:r>
              <w:rPr>
                <w:rFonts w:ascii="宋体" w:eastAsia="宋体" w:cs="宋体"/>
                <w:color w:val="000000"/>
                <w:kern w:val="0"/>
                <w:sz w:val="18"/>
                <w:szCs w:val="18"/>
              </w:rPr>
              <w:t>06</w:t>
            </w:r>
            <w:r>
              <w:rPr>
                <w:rFonts w:ascii="宋体" w:eastAsia="宋体" w:cs="宋体" w:hint="eastAsia"/>
                <w:color w:val="000000"/>
                <w:kern w:val="0"/>
                <w:sz w:val="18"/>
                <w:szCs w:val="18"/>
              </w:rPr>
              <w:t>表</w:t>
            </w:r>
          </w:p>
        </w:tc>
      </w:tr>
      <w:tr>
        <w:trPr>
          <w:trHeight w:val="339"/>
        </w:trPr>
        <w:tc>
          <w:tcPr>
            <w:tcW w:w="896" w:type="dxa"/>
            <w:tcBorders>
              <w:top w:val="nil"/>
              <w:left w:val="nil"/>
              <w:bottom w:val="nil"/>
              <w:right w:val="nil"/>
            </w:tcBorders>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1932" w:type="dxa"/>
            <w:gridSpan w:val="2"/>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783" w:type="dxa"/>
            <w:gridSpan w:val="2"/>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655" w:type="dxa"/>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1599" w:type="dxa"/>
            <w:gridSpan w:val="2"/>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768" w:type="dxa"/>
            <w:gridSpan w:val="2"/>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744" w:type="dxa"/>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2623" w:type="dxa"/>
            <w:gridSpan w:val="4"/>
            <w:tcBorders>
              <w:top w:val="nil"/>
              <w:left w:val="nil"/>
              <w:bottom w:val="nil"/>
              <w:right w:val="nil"/>
            </w:tcBorders>
            <w:tcMar>
              <w:top w:w="15" w:type="dxa"/>
              <w:left w:w="15" w:type="dxa"/>
              <w:right w:w="15" w:type="dxa"/>
            </w:tcMar>
            <w:vAlign w:val="bottom"/>
          </w:tcPr>
          <w:p>
            <w:pPr>
              <w:widowControl/>
              <w:jc w:val="right"/>
              <w:textAlignment w:val="bottom"/>
              <w:rPr>
                <w:rFonts w:ascii="宋体" w:eastAsia="宋体" w:cs="宋体"/>
                <w:color w:val="000000"/>
                <w:sz w:val="18"/>
                <w:szCs w:val="18"/>
              </w:rPr>
            </w:pPr>
            <w:r>
              <w:rPr>
                <w:rFonts w:ascii="宋体" w:eastAsia="宋体" w:cs="宋体" w:hint="eastAsia"/>
                <w:color w:val="000000"/>
                <w:kern w:val="0"/>
                <w:sz w:val="18"/>
                <w:szCs w:val="18"/>
              </w:rPr>
              <w:t>金额单位：万元</w:t>
            </w:r>
          </w:p>
        </w:tc>
      </w:tr>
      <w:tr>
        <w:trPr>
          <w:trHeight w:val="362"/>
        </w:trPr>
        <w:tc>
          <w:tcPr>
            <w:tcW w:w="3611"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人员经费</w:t>
            </w:r>
          </w:p>
        </w:tc>
        <w:tc>
          <w:tcPr>
            <w:tcW w:w="6389" w:type="dxa"/>
            <w:gridSpan w:val="10"/>
            <w:tcBorders>
              <w:top w:val="single" w:sz="4" w:space="0" w:color="000000"/>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公用经费</w:t>
            </w:r>
          </w:p>
        </w:tc>
      </w:tr>
      <w:tr>
        <w:trPr>
          <w:trHeight w:val="362"/>
        </w:trPr>
        <w:tc>
          <w:tcPr>
            <w:tcW w:w="896"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科目</w:t>
            </w:r>
          </w:p>
          <w:p>
            <w:pPr>
              <w:widowControl/>
              <w:jc w:val="center"/>
              <w:textAlignment w:val="center"/>
              <w:rPr>
                <w:rFonts w:ascii="宋体" w:eastAsia="宋体" w:cs="宋体"/>
                <w:color w:val="000000"/>
                <w:sz w:val="22"/>
              </w:rPr>
            </w:pPr>
            <w:r>
              <w:rPr>
                <w:rFonts w:ascii="宋体" w:eastAsia="宋体" w:cs="宋体" w:hint="eastAsia"/>
                <w:color w:val="000000"/>
                <w:kern w:val="0"/>
                <w:sz w:val="22"/>
              </w:rPr>
              <w:t>编码</w:t>
            </w:r>
          </w:p>
        </w:tc>
        <w:tc>
          <w:tcPr>
            <w:tcW w:w="1932" w:type="dxa"/>
            <w:gridSpan w:val="2"/>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783" w:type="dxa"/>
            <w:gridSpan w:val="2"/>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c>
          <w:tcPr>
            <w:tcW w:w="655" w:type="dxa"/>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科目编码</w:t>
            </w:r>
          </w:p>
        </w:tc>
        <w:tc>
          <w:tcPr>
            <w:tcW w:w="1599" w:type="dxa"/>
            <w:gridSpan w:val="2"/>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768" w:type="dxa"/>
            <w:gridSpan w:val="2"/>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c>
          <w:tcPr>
            <w:tcW w:w="744" w:type="dxa"/>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科目</w:t>
            </w:r>
          </w:p>
          <w:p>
            <w:pPr>
              <w:widowControl/>
              <w:jc w:val="center"/>
              <w:textAlignment w:val="center"/>
              <w:rPr>
                <w:rFonts w:ascii="宋体" w:eastAsia="宋体" w:cs="宋体"/>
                <w:color w:val="000000"/>
                <w:sz w:val="22"/>
              </w:rPr>
            </w:pPr>
            <w:r>
              <w:rPr>
                <w:rFonts w:ascii="宋体" w:eastAsia="宋体" w:cs="宋体" w:hint="eastAsia"/>
                <w:color w:val="000000"/>
                <w:kern w:val="0"/>
                <w:sz w:val="22"/>
              </w:rPr>
              <w:t>编码</w:t>
            </w:r>
          </w:p>
        </w:tc>
        <w:tc>
          <w:tcPr>
            <w:tcW w:w="1891" w:type="dxa"/>
            <w:gridSpan w:val="3"/>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732" w:type="dxa"/>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r>
      <w:tr>
        <w:trPr>
          <w:trHeight w:val="624"/>
        </w:trPr>
        <w:tc>
          <w:tcPr>
            <w:tcW w:w="896"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tc>
        <w:tc>
          <w:tcPr>
            <w:tcW w:w="1932" w:type="dxa"/>
            <w:gridSpan w:val="2"/>
            <w:vMerge/>
            <w:tcBorders>
              <w:top w:val="nil"/>
              <w:left w:val="nil"/>
              <w:bottom w:val="single" w:sz="4" w:space="0" w:color="000000"/>
              <w:right w:val="single" w:sz="4" w:space="0" w:color="000000"/>
            </w:tcBorders>
            <w:tcMar>
              <w:top w:w="15" w:type="dxa"/>
              <w:left w:w="15" w:type="dxa"/>
              <w:right w:w="15" w:type="dxa"/>
            </w:tcMar>
            <w:vAlign w:val="center"/>
          </w:tcPr>
          <w:p/>
        </w:tc>
        <w:tc>
          <w:tcPr>
            <w:tcW w:w="783" w:type="dxa"/>
            <w:gridSpan w:val="2"/>
            <w:vMerge/>
            <w:tcBorders>
              <w:top w:val="nil"/>
              <w:left w:val="nil"/>
              <w:bottom w:val="single" w:sz="4" w:space="0" w:color="000000"/>
              <w:right w:val="single" w:sz="4" w:space="0" w:color="000000"/>
            </w:tcBorders>
            <w:tcMar>
              <w:top w:w="15" w:type="dxa"/>
              <w:left w:w="15" w:type="dxa"/>
              <w:right w:w="15" w:type="dxa"/>
            </w:tcMar>
            <w:vAlign w:val="center"/>
          </w:tcPr>
          <w:p/>
        </w:tc>
        <w:tc>
          <w:tcPr>
            <w:tcW w:w="655" w:type="dxa"/>
            <w:vMerge/>
            <w:tcBorders>
              <w:top w:val="nil"/>
              <w:left w:val="nil"/>
              <w:bottom w:val="single" w:sz="4" w:space="0" w:color="000000"/>
              <w:right w:val="single" w:sz="4" w:space="0" w:color="000000"/>
            </w:tcBorders>
            <w:tcMar>
              <w:top w:w="15" w:type="dxa"/>
              <w:left w:w="15" w:type="dxa"/>
              <w:right w:w="15" w:type="dxa"/>
            </w:tcMar>
            <w:vAlign w:val="center"/>
          </w:tcPr>
          <w:p/>
        </w:tc>
        <w:tc>
          <w:tcPr>
            <w:tcW w:w="1599" w:type="dxa"/>
            <w:gridSpan w:val="2"/>
            <w:vMerge/>
            <w:tcBorders>
              <w:top w:val="nil"/>
              <w:left w:val="nil"/>
              <w:bottom w:val="single" w:sz="4" w:space="0" w:color="000000"/>
              <w:right w:val="single" w:sz="4" w:space="0" w:color="000000"/>
            </w:tcBorders>
            <w:tcMar>
              <w:top w:w="15" w:type="dxa"/>
              <w:left w:w="15" w:type="dxa"/>
              <w:right w:w="15" w:type="dxa"/>
            </w:tcMar>
            <w:vAlign w:val="center"/>
          </w:tcPr>
          <w:p/>
        </w:tc>
        <w:tc>
          <w:tcPr>
            <w:tcW w:w="768" w:type="dxa"/>
            <w:gridSpan w:val="2"/>
            <w:vMerge/>
            <w:tcBorders>
              <w:top w:val="nil"/>
              <w:left w:val="nil"/>
              <w:bottom w:val="single" w:sz="4" w:space="0" w:color="000000"/>
              <w:right w:val="single" w:sz="4" w:space="0" w:color="000000"/>
            </w:tcBorders>
            <w:tcMar>
              <w:top w:w="15" w:type="dxa"/>
              <w:left w:w="15" w:type="dxa"/>
              <w:right w:w="15" w:type="dxa"/>
            </w:tcMar>
            <w:vAlign w:val="center"/>
          </w:tcPr>
          <w:p/>
        </w:tc>
        <w:tc>
          <w:tcPr>
            <w:tcW w:w="744" w:type="dxa"/>
            <w:vMerge/>
            <w:tcBorders>
              <w:top w:val="nil"/>
              <w:left w:val="nil"/>
              <w:bottom w:val="single" w:sz="4" w:space="0" w:color="000000"/>
              <w:right w:val="single" w:sz="4" w:space="0" w:color="000000"/>
            </w:tcBorders>
            <w:tcMar>
              <w:top w:w="15" w:type="dxa"/>
              <w:left w:w="15" w:type="dxa"/>
              <w:right w:w="15" w:type="dxa"/>
            </w:tcMar>
            <w:vAlign w:val="center"/>
          </w:tcPr>
          <w:p/>
        </w:tc>
        <w:tc>
          <w:tcPr>
            <w:tcW w:w="1891" w:type="dxa"/>
            <w:gridSpan w:val="3"/>
            <w:vMerge/>
            <w:tcBorders>
              <w:top w:val="nil"/>
              <w:left w:val="nil"/>
              <w:bottom w:val="single" w:sz="4" w:space="0" w:color="000000"/>
              <w:right w:val="single" w:sz="4" w:space="0" w:color="000000"/>
            </w:tcBorders>
            <w:tcMar>
              <w:top w:w="15" w:type="dxa"/>
              <w:left w:w="15" w:type="dxa"/>
              <w:right w:w="15" w:type="dxa"/>
            </w:tcMar>
            <w:vAlign w:val="center"/>
          </w:tcPr>
          <w:p/>
        </w:tc>
        <w:tc>
          <w:tcPr>
            <w:tcW w:w="732" w:type="dxa"/>
            <w:vMerge/>
            <w:tcBorders>
              <w:top w:val="nil"/>
              <w:left w:val="nil"/>
              <w:bottom w:val="single" w:sz="4" w:space="0" w:color="000000"/>
              <w:right w:val="single" w:sz="4" w:space="0" w:color="000000"/>
            </w:tcBorders>
            <w:tcMar>
              <w:top w:w="15" w:type="dxa"/>
              <w:left w:w="15" w:type="dxa"/>
              <w:right w:w="15" w:type="dxa"/>
            </w:tcMar>
            <w:vAlign w:val="center"/>
          </w:tcPr>
          <w:p/>
        </w:tc>
      </w:tr>
      <w:tr>
        <w:trPr>
          <w:trHeight w:val="328"/>
        </w:trPr>
        <w:tc>
          <w:tcPr>
            <w:tcW w:w="89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15"/>
                <w:szCs w:val="15"/>
              </w:rPr>
            </w:pPr>
            <w:r>
              <w:rPr>
                <w:rFonts w:ascii="宋体" w:eastAsia="宋体" w:cs="宋体" w:hint="eastAsia"/>
                <w:color w:val="000000"/>
                <w:kern w:val="0"/>
                <w:sz w:val="15"/>
                <w:szCs w:val="15"/>
              </w:rPr>
              <w:t>工资福利支出</w:t>
            </w:r>
          </w:p>
        </w:tc>
        <w:tc>
          <w:tcPr>
            <w:tcW w:w="783"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1,093.70</w:t>
            </w:r>
          </w:p>
        </w:tc>
        <w:tc>
          <w:tcPr>
            <w:tcW w:w="655" w:type="dxa"/>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15"/>
                <w:szCs w:val="15"/>
              </w:rPr>
            </w:pPr>
            <w:r>
              <w:rPr>
                <w:rFonts w:ascii="宋体" w:eastAsia="宋体" w:cs="宋体" w:hint="eastAsia"/>
                <w:color w:val="000000"/>
                <w:kern w:val="0"/>
                <w:sz w:val="15"/>
                <w:szCs w:val="15"/>
              </w:rPr>
              <w:t>商品和服务支出</w:t>
            </w:r>
          </w:p>
        </w:tc>
        <w:tc>
          <w:tcPr>
            <w:tcW w:w="768"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437.13</w:t>
            </w:r>
          </w:p>
        </w:tc>
        <w:tc>
          <w:tcPr>
            <w:tcW w:w="744" w:type="dxa"/>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307</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15"/>
                <w:szCs w:val="15"/>
              </w:rPr>
            </w:pPr>
            <w:r>
              <w:rPr>
                <w:rFonts w:ascii="宋体" w:eastAsia="宋体" w:cs="宋体" w:hint="eastAsia"/>
                <w:color w:val="000000"/>
                <w:kern w:val="0"/>
                <w:sz w:val="15"/>
                <w:szCs w:val="15"/>
              </w:rPr>
              <w:t>债务利息及费用支出</w:t>
            </w:r>
          </w:p>
        </w:tc>
        <w:tc>
          <w:tcPr>
            <w:tcW w:w="732"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r>
      <w:tr>
        <w:trPr>
          <w:trHeight w:val="282"/>
        </w:trPr>
        <w:tc>
          <w:tcPr>
            <w:tcW w:w="89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30101</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基本工资</w:t>
            </w:r>
          </w:p>
        </w:tc>
        <w:tc>
          <w:tcPr>
            <w:tcW w:w="783"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309.29</w:t>
            </w:r>
          </w:p>
        </w:tc>
        <w:tc>
          <w:tcPr>
            <w:tcW w:w="655" w:type="dxa"/>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30201</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办公费</w:t>
            </w:r>
          </w:p>
        </w:tc>
        <w:tc>
          <w:tcPr>
            <w:tcW w:w="768"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67.11</w:t>
            </w:r>
          </w:p>
        </w:tc>
        <w:tc>
          <w:tcPr>
            <w:tcW w:w="744" w:type="dxa"/>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30701</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国内债务付息</w:t>
            </w:r>
          </w:p>
        </w:tc>
        <w:tc>
          <w:tcPr>
            <w:tcW w:w="732"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r>
      <w:tr>
        <w:trPr>
          <w:trHeight w:val="282"/>
        </w:trPr>
        <w:tc>
          <w:tcPr>
            <w:tcW w:w="89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30102</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津贴补贴</w:t>
            </w:r>
          </w:p>
        </w:tc>
        <w:tc>
          <w:tcPr>
            <w:tcW w:w="783"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295.46</w:t>
            </w:r>
          </w:p>
        </w:tc>
        <w:tc>
          <w:tcPr>
            <w:tcW w:w="655" w:type="dxa"/>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30202</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印刷费</w:t>
            </w:r>
          </w:p>
        </w:tc>
        <w:tc>
          <w:tcPr>
            <w:tcW w:w="768"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36.47</w:t>
            </w:r>
          </w:p>
        </w:tc>
        <w:tc>
          <w:tcPr>
            <w:tcW w:w="744" w:type="dxa"/>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30702</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国外债务付息</w:t>
            </w:r>
          </w:p>
        </w:tc>
        <w:tc>
          <w:tcPr>
            <w:tcW w:w="732"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r>
      <w:tr>
        <w:trPr>
          <w:trHeight w:val="282"/>
        </w:trPr>
        <w:tc>
          <w:tcPr>
            <w:tcW w:w="89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30103</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奖金</w:t>
            </w:r>
          </w:p>
        </w:tc>
        <w:tc>
          <w:tcPr>
            <w:tcW w:w="783"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89.06</w:t>
            </w:r>
          </w:p>
        </w:tc>
        <w:tc>
          <w:tcPr>
            <w:tcW w:w="655" w:type="dxa"/>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30203</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咨询费</w:t>
            </w:r>
          </w:p>
        </w:tc>
        <w:tc>
          <w:tcPr>
            <w:tcW w:w="768"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c>
          <w:tcPr>
            <w:tcW w:w="744" w:type="dxa"/>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15"/>
                <w:szCs w:val="15"/>
              </w:rPr>
            </w:pPr>
            <w:r>
              <w:rPr>
                <w:rFonts w:ascii="宋体" w:eastAsia="宋体" w:cs="宋体" w:hint="eastAsia"/>
                <w:color w:val="000000"/>
                <w:kern w:val="0"/>
                <w:sz w:val="15"/>
                <w:szCs w:val="15"/>
              </w:rPr>
              <w:t>资本性支出</w:t>
            </w:r>
          </w:p>
        </w:tc>
        <w:tc>
          <w:tcPr>
            <w:tcW w:w="732"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6.20</w:t>
            </w:r>
          </w:p>
        </w:tc>
      </w:tr>
      <w:tr>
        <w:trPr>
          <w:trHeight w:val="282"/>
        </w:trPr>
        <w:tc>
          <w:tcPr>
            <w:tcW w:w="89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30106</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伙食补助费</w:t>
            </w:r>
          </w:p>
        </w:tc>
        <w:tc>
          <w:tcPr>
            <w:tcW w:w="783"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c>
          <w:tcPr>
            <w:tcW w:w="655" w:type="dxa"/>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30204</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手续费</w:t>
            </w:r>
          </w:p>
        </w:tc>
        <w:tc>
          <w:tcPr>
            <w:tcW w:w="768"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0.33</w:t>
            </w:r>
          </w:p>
        </w:tc>
        <w:tc>
          <w:tcPr>
            <w:tcW w:w="744" w:type="dxa"/>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31001</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房屋建筑物购建</w:t>
            </w:r>
          </w:p>
        </w:tc>
        <w:tc>
          <w:tcPr>
            <w:tcW w:w="732"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r>
      <w:tr>
        <w:trPr>
          <w:trHeight w:val="282"/>
        </w:trPr>
        <w:tc>
          <w:tcPr>
            <w:tcW w:w="89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30107</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绩效工资</w:t>
            </w:r>
          </w:p>
        </w:tc>
        <w:tc>
          <w:tcPr>
            <w:tcW w:w="783"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6.11</w:t>
            </w:r>
          </w:p>
        </w:tc>
        <w:tc>
          <w:tcPr>
            <w:tcW w:w="655" w:type="dxa"/>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30205</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水费</w:t>
            </w:r>
          </w:p>
        </w:tc>
        <w:tc>
          <w:tcPr>
            <w:tcW w:w="768"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2.33</w:t>
            </w:r>
          </w:p>
        </w:tc>
        <w:tc>
          <w:tcPr>
            <w:tcW w:w="744" w:type="dxa"/>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31002</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办公设备购置</w:t>
            </w:r>
          </w:p>
        </w:tc>
        <w:tc>
          <w:tcPr>
            <w:tcW w:w="732"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6.20</w:t>
            </w:r>
          </w:p>
        </w:tc>
      </w:tr>
      <w:tr>
        <w:trPr>
          <w:trHeight w:val="482"/>
        </w:trPr>
        <w:tc>
          <w:tcPr>
            <w:tcW w:w="89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30108</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机关事业单位基本养老保险缴费</w:t>
            </w:r>
          </w:p>
        </w:tc>
        <w:tc>
          <w:tcPr>
            <w:tcW w:w="783"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126.74</w:t>
            </w:r>
          </w:p>
        </w:tc>
        <w:tc>
          <w:tcPr>
            <w:tcW w:w="655" w:type="dxa"/>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30206</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电费</w:t>
            </w:r>
          </w:p>
        </w:tc>
        <w:tc>
          <w:tcPr>
            <w:tcW w:w="768"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12.97</w:t>
            </w:r>
          </w:p>
        </w:tc>
        <w:tc>
          <w:tcPr>
            <w:tcW w:w="744" w:type="dxa"/>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31003</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专用设备购置</w:t>
            </w:r>
          </w:p>
        </w:tc>
        <w:tc>
          <w:tcPr>
            <w:tcW w:w="732"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r>
      <w:tr>
        <w:trPr>
          <w:trHeight w:val="282"/>
        </w:trPr>
        <w:tc>
          <w:tcPr>
            <w:tcW w:w="89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30109</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职业年金缴费</w:t>
            </w:r>
          </w:p>
        </w:tc>
        <w:tc>
          <w:tcPr>
            <w:tcW w:w="783"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c>
          <w:tcPr>
            <w:tcW w:w="655" w:type="dxa"/>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30207</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邮电费</w:t>
            </w:r>
          </w:p>
        </w:tc>
        <w:tc>
          <w:tcPr>
            <w:tcW w:w="768"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53.41</w:t>
            </w:r>
          </w:p>
        </w:tc>
        <w:tc>
          <w:tcPr>
            <w:tcW w:w="744" w:type="dxa"/>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31005</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基础设施建设</w:t>
            </w:r>
          </w:p>
        </w:tc>
        <w:tc>
          <w:tcPr>
            <w:tcW w:w="732"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r>
      <w:tr>
        <w:trPr>
          <w:trHeight w:val="482"/>
        </w:trPr>
        <w:tc>
          <w:tcPr>
            <w:tcW w:w="89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30110</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职工基本医疗保险缴费</w:t>
            </w:r>
          </w:p>
        </w:tc>
        <w:tc>
          <w:tcPr>
            <w:tcW w:w="783"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46.35</w:t>
            </w:r>
          </w:p>
        </w:tc>
        <w:tc>
          <w:tcPr>
            <w:tcW w:w="655" w:type="dxa"/>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30208</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取暖费</w:t>
            </w:r>
          </w:p>
        </w:tc>
        <w:tc>
          <w:tcPr>
            <w:tcW w:w="768"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17.67</w:t>
            </w:r>
          </w:p>
        </w:tc>
        <w:tc>
          <w:tcPr>
            <w:tcW w:w="744" w:type="dxa"/>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31006</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大型修缮</w:t>
            </w:r>
          </w:p>
        </w:tc>
        <w:tc>
          <w:tcPr>
            <w:tcW w:w="732"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r>
      <w:tr>
        <w:trPr>
          <w:trHeight w:val="482"/>
        </w:trPr>
        <w:tc>
          <w:tcPr>
            <w:tcW w:w="89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30111</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公务员医疗补助缴费</w:t>
            </w:r>
          </w:p>
        </w:tc>
        <w:tc>
          <w:tcPr>
            <w:tcW w:w="783"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c>
          <w:tcPr>
            <w:tcW w:w="655" w:type="dxa"/>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30209</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物业管理费</w:t>
            </w:r>
          </w:p>
        </w:tc>
        <w:tc>
          <w:tcPr>
            <w:tcW w:w="768"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c>
          <w:tcPr>
            <w:tcW w:w="744" w:type="dxa"/>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31007</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信息网络及软件购置更新</w:t>
            </w:r>
          </w:p>
        </w:tc>
        <w:tc>
          <w:tcPr>
            <w:tcW w:w="732"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r>
      <w:tr>
        <w:trPr>
          <w:trHeight w:val="282"/>
        </w:trPr>
        <w:tc>
          <w:tcPr>
            <w:tcW w:w="89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30112</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其他社会保障缴费</w:t>
            </w:r>
          </w:p>
        </w:tc>
        <w:tc>
          <w:tcPr>
            <w:tcW w:w="783"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3.51</w:t>
            </w:r>
          </w:p>
        </w:tc>
        <w:tc>
          <w:tcPr>
            <w:tcW w:w="655" w:type="dxa"/>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30211</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差旅费</w:t>
            </w:r>
          </w:p>
        </w:tc>
        <w:tc>
          <w:tcPr>
            <w:tcW w:w="768"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10.15</w:t>
            </w:r>
          </w:p>
        </w:tc>
        <w:tc>
          <w:tcPr>
            <w:tcW w:w="744" w:type="dxa"/>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31008</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物资储备</w:t>
            </w:r>
          </w:p>
        </w:tc>
        <w:tc>
          <w:tcPr>
            <w:tcW w:w="732"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r>
      <w:tr>
        <w:trPr>
          <w:trHeight w:val="482"/>
        </w:trPr>
        <w:tc>
          <w:tcPr>
            <w:tcW w:w="89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30113</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住房公积金</w:t>
            </w:r>
          </w:p>
        </w:tc>
        <w:tc>
          <w:tcPr>
            <w:tcW w:w="783"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77.70</w:t>
            </w:r>
          </w:p>
        </w:tc>
        <w:tc>
          <w:tcPr>
            <w:tcW w:w="655" w:type="dxa"/>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30212</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因公出国（境）费用</w:t>
            </w:r>
          </w:p>
        </w:tc>
        <w:tc>
          <w:tcPr>
            <w:tcW w:w="768"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c>
          <w:tcPr>
            <w:tcW w:w="744" w:type="dxa"/>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31009</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土地补偿</w:t>
            </w:r>
          </w:p>
        </w:tc>
        <w:tc>
          <w:tcPr>
            <w:tcW w:w="732"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r>
      <w:tr>
        <w:trPr>
          <w:trHeight w:val="282"/>
        </w:trPr>
        <w:tc>
          <w:tcPr>
            <w:tcW w:w="89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30114</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医疗费</w:t>
            </w:r>
          </w:p>
        </w:tc>
        <w:tc>
          <w:tcPr>
            <w:tcW w:w="783"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87.33</w:t>
            </w:r>
          </w:p>
        </w:tc>
        <w:tc>
          <w:tcPr>
            <w:tcW w:w="655" w:type="dxa"/>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30213</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维修（护）费</w:t>
            </w:r>
          </w:p>
        </w:tc>
        <w:tc>
          <w:tcPr>
            <w:tcW w:w="768"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42.12</w:t>
            </w:r>
          </w:p>
        </w:tc>
        <w:tc>
          <w:tcPr>
            <w:tcW w:w="744" w:type="dxa"/>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31010</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安置补助</w:t>
            </w:r>
          </w:p>
        </w:tc>
        <w:tc>
          <w:tcPr>
            <w:tcW w:w="732"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r>
      <w:tr>
        <w:trPr>
          <w:trHeight w:val="482"/>
        </w:trPr>
        <w:tc>
          <w:tcPr>
            <w:tcW w:w="89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30199</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其他工资福利支出</w:t>
            </w:r>
          </w:p>
        </w:tc>
        <w:tc>
          <w:tcPr>
            <w:tcW w:w="783"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52.15</w:t>
            </w:r>
          </w:p>
        </w:tc>
        <w:tc>
          <w:tcPr>
            <w:tcW w:w="655" w:type="dxa"/>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30214</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租赁费</w:t>
            </w:r>
          </w:p>
        </w:tc>
        <w:tc>
          <w:tcPr>
            <w:tcW w:w="768"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c>
          <w:tcPr>
            <w:tcW w:w="744" w:type="dxa"/>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31011</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地上附着物和青苗补偿</w:t>
            </w:r>
          </w:p>
        </w:tc>
        <w:tc>
          <w:tcPr>
            <w:tcW w:w="732"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r>
      <w:tr>
        <w:trPr>
          <w:trHeight w:val="282"/>
        </w:trPr>
        <w:tc>
          <w:tcPr>
            <w:tcW w:w="89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15"/>
                <w:szCs w:val="15"/>
              </w:rPr>
            </w:pPr>
            <w:r>
              <w:rPr>
                <w:rFonts w:ascii="宋体" w:eastAsia="宋体" w:cs="宋体" w:hint="eastAsia"/>
                <w:color w:val="000000"/>
                <w:kern w:val="0"/>
                <w:sz w:val="15"/>
                <w:szCs w:val="15"/>
              </w:rPr>
              <w:t>对个人和家庭的补助</w:t>
            </w:r>
          </w:p>
        </w:tc>
        <w:tc>
          <w:tcPr>
            <w:tcW w:w="783"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532.12</w:t>
            </w:r>
          </w:p>
        </w:tc>
        <w:tc>
          <w:tcPr>
            <w:tcW w:w="655" w:type="dxa"/>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30215</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会议费</w:t>
            </w:r>
          </w:p>
        </w:tc>
        <w:tc>
          <w:tcPr>
            <w:tcW w:w="768"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c>
          <w:tcPr>
            <w:tcW w:w="744" w:type="dxa"/>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31012</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拆迁补偿</w:t>
            </w:r>
          </w:p>
        </w:tc>
        <w:tc>
          <w:tcPr>
            <w:tcW w:w="732"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r>
      <w:tr>
        <w:trPr>
          <w:trHeight w:val="282"/>
        </w:trPr>
        <w:tc>
          <w:tcPr>
            <w:tcW w:w="89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30301</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离休费</w:t>
            </w:r>
          </w:p>
        </w:tc>
        <w:tc>
          <w:tcPr>
            <w:tcW w:w="783"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13.44</w:t>
            </w:r>
          </w:p>
        </w:tc>
        <w:tc>
          <w:tcPr>
            <w:tcW w:w="655" w:type="dxa"/>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30216</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培训费</w:t>
            </w:r>
          </w:p>
        </w:tc>
        <w:tc>
          <w:tcPr>
            <w:tcW w:w="768"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c>
          <w:tcPr>
            <w:tcW w:w="744" w:type="dxa"/>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31013</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公务用车购置</w:t>
            </w:r>
          </w:p>
        </w:tc>
        <w:tc>
          <w:tcPr>
            <w:tcW w:w="732"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r>
      <w:tr>
        <w:trPr>
          <w:trHeight w:val="282"/>
        </w:trPr>
        <w:tc>
          <w:tcPr>
            <w:tcW w:w="89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30302</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退休费</w:t>
            </w:r>
          </w:p>
        </w:tc>
        <w:tc>
          <w:tcPr>
            <w:tcW w:w="783"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195.88</w:t>
            </w:r>
          </w:p>
        </w:tc>
        <w:tc>
          <w:tcPr>
            <w:tcW w:w="655" w:type="dxa"/>
            <w:tcBorders>
              <w:top w:val="nil"/>
              <w:left w:val="nil"/>
              <w:bottom w:val="single" w:sz="4" w:space="0" w:color="000000"/>
              <w:right w:val="single" w:sz="4" w:space="0" w:color="000000"/>
            </w:tcBorders>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公务接待费</w:t>
            </w:r>
          </w:p>
        </w:tc>
        <w:tc>
          <w:tcPr>
            <w:tcW w:w="768"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c>
          <w:tcPr>
            <w:tcW w:w="744" w:type="dxa"/>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31019</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其他交通工具购置</w:t>
            </w:r>
          </w:p>
        </w:tc>
        <w:tc>
          <w:tcPr>
            <w:tcW w:w="732"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r>
      <w:tr>
        <w:trPr>
          <w:trHeight w:val="282"/>
        </w:trPr>
        <w:tc>
          <w:tcPr>
            <w:tcW w:w="89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30303</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退职（役）费</w:t>
            </w:r>
          </w:p>
        </w:tc>
        <w:tc>
          <w:tcPr>
            <w:tcW w:w="783"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c>
          <w:tcPr>
            <w:tcW w:w="655" w:type="dxa"/>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30218</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专用材料费</w:t>
            </w:r>
          </w:p>
        </w:tc>
        <w:tc>
          <w:tcPr>
            <w:tcW w:w="768"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c>
          <w:tcPr>
            <w:tcW w:w="744" w:type="dxa"/>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31021</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文物和陈列品购置</w:t>
            </w:r>
          </w:p>
        </w:tc>
        <w:tc>
          <w:tcPr>
            <w:tcW w:w="732"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r>
      <w:tr>
        <w:trPr>
          <w:trHeight w:val="282"/>
        </w:trPr>
        <w:tc>
          <w:tcPr>
            <w:tcW w:w="89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30304</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抚恤金</w:t>
            </w:r>
          </w:p>
        </w:tc>
        <w:tc>
          <w:tcPr>
            <w:tcW w:w="783"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39.63</w:t>
            </w:r>
          </w:p>
        </w:tc>
        <w:tc>
          <w:tcPr>
            <w:tcW w:w="655" w:type="dxa"/>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30224</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被装购置费</w:t>
            </w:r>
          </w:p>
        </w:tc>
        <w:tc>
          <w:tcPr>
            <w:tcW w:w="768"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c>
          <w:tcPr>
            <w:tcW w:w="744" w:type="dxa"/>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31022</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无形资产购置</w:t>
            </w:r>
          </w:p>
        </w:tc>
        <w:tc>
          <w:tcPr>
            <w:tcW w:w="732"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r>
      <w:tr>
        <w:trPr>
          <w:trHeight w:val="282"/>
        </w:trPr>
        <w:tc>
          <w:tcPr>
            <w:tcW w:w="89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30305</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生活补助</w:t>
            </w:r>
          </w:p>
        </w:tc>
        <w:tc>
          <w:tcPr>
            <w:tcW w:w="783"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53.15</w:t>
            </w:r>
          </w:p>
        </w:tc>
        <w:tc>
          <w:tcPr>
            <w:tcW w:w="655" w:type="dxa"/>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30225</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专用燃料费</w:t>
            </w:r>
          </w:p>
        </w:tc>
        <w:tc>
          <w:tcPr>
            <w:tcW w:w="768"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c>
          <w:tcPr>
            <w:tcW w:w="744" w:type="dxa"/>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31099</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其他资本性支出</w:t>
            </w:r>
          </w:p>
        </w:tc>
        <w:tc>
          <w:tcPr>
            <w:tcW w:w="732"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r>
      <w:tr>
        <w:trPr>
          <w:trHeight w:val="282"/>
        </w:trPr>
        <w:tc>
          <w:tcPr>
            <w:tcW w:w="89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30306</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救济费</w:t>
            </w:r>
          </w:p>
        </w:tc>
        <w:tc>
          <w:tcPr>
            <w:tcW w:w="783"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c>
          <w:tcPr>
            <w:tcW w:w="655" w:type="dxa"/>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30226</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劳务费</w:t>
            </w:r>
          </w:p>
        </w:tc>
        <w:tc>
          <w:tcPr>
            <w:tcW w:w="768"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64.96</w:t>
            </w:r>
          </w:p>
        </w:tc>
        <w:tc>
          <w:tcPr>
            <w:tcW w:w="744" w:type="dxa"/>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399</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15"/>
                <w:szCs w:val="15"/>
              </w:rPr>
            </w:pPr>
            <w:r>
              <w:rPr>
                <w:rFonts w:ascii="宋体" w:eastAsia="宋体" w:cs="宋体" w:hint="eastAsia"/>
                <w:color w:val="000000"/>
                <w:kern w:val="0"/>
                <w:sz w:val="15"/>
                <w:szCs w:val="15"/>
              </w:rPr>
              <w:t>其他支出</w:t>
            </w:r>
          </w:p>
        </w:tc>
        <w:tc>
          <w:tcPr>
            <w:tcW w:w="732"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r>
      <w:tr>
        <w:trPr>
          <w:trHeight w:val="282"/>
        </w:trPr>
        <w:tc>
          <w:tcPr>
            <w:tcW w:w="89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30307</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医疗费补助</w:t>
            </w:r>
          </w:p>
        </w:tc>
        <w:tc>
          <w:tcPr>
            <w:tcW w:w="783"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c>
          <w:tcPr>
            <w:tcW w:w="655" w:type="dxa"/>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30227</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委托业务费</w:t>
            </w:r>
          </w:p>
        </w:tc>
        <w:tc>
          <w:tcPr>
            <w:tcW w:w="768"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21.40</w:t>
            </w:r>
          </w:p>
        </w:tc>
        <w:tc>
          <w:tcPr>
            <w:tcW w:w="744" w:type="dxa"/>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39906</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赠与</w:t>
            </w:r>
          </w:p>
        </w:tc>
        <w:tc>
          <w:tcPr>
            <w:tcW w:w="732"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r>
      <w:tr>
        <w:trPr>
          <w:trHeight w:val="282"/>
        </w:trPr>
        <w:tc>
          <w:tcPr>
            <w:tcW w:w="89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30308</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助学金</w:t>
            </w:r>
          </w:p>
        </w:tc>
        <w:tc>
          <w:tcPr>
            <w:tcW w:w="783"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c>
          <w:tcPr>
            <w:tcW w:w="655" w:type="dxa"/>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30228</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工会经费</w:t>
            </w:r>
          </w:p>
        </w:tc>
        <w:tc>
          <w:tcPr>
            <w:tcW w:w="768"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10.36</w:t>
            </w:r>
          </w:p>
        </w:tc>
        <w:tc>
          <w:tcPr>
            <w:tcW w:w="744" w:type="dxa"/>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39907</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国家赔偿费用支出</w:t>
            </w:r>
          </w:p>
        </w:tc>
        <w:tc>
          <w:tcPr>
            <w:tcW w:w="732"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r>
      <w:tr>
        <w:trPr>
          <w:trHeight w:val="482"/>
        </w:trPr>
        <w:tc>
          <w:tcPr>
            <w:tcW w:w="89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30309</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奖励金</w:t>
            </w:r>
          </w:p>
        </w:tc>
        <w:tc>
          <w:tcPr>
            <w:tcW w:w="783"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229.85</w:t>
            </w:r>
          </w:p>
        </w:tc>
        <w:tc>
          <w:tcPr>
            <w:tcW w:w="655" w:type="dxa"/>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30229</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福利费</w:t>
            </w:r>
          </w:p>
        </w:tc>
        <w:tc>
          <w:tcPr>
            <w:tcW w:w="768"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2.14</w:t>
            </w:r>
          </w:p>
        </w:tc>
        <w:tc>
          <w:tcPr>
            <w:tcW w:w="744" w:type="dxa"/>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39908</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对民间非营利组织和群众性自治组织补贴</w:t>
            </w:r>
          </w:p>
        </w:tc>
        <w:tc>
          <w:tcPr>
            <w:tcW w:w="732"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r>
      <w:tr>
        <w:trPr>
          <w:trHeight w:val="182"/>
        </w:trPr>
        <w:tc>
          <w:tcPr>
            <w:tcW w:w="89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30310</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个人农业生产补贴</w:t>
            </w:r>
          </w:p>
        </w:tc>
        <w:tc>
          <w:tcPr>
            <w:tcW w:w="783"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c>
          <w:tcPr>
            <w:tcW w:w="655" w:type="dxa"/>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30231</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公务用车运行维护费</w:t>
            </w:r>
          </w:p>
        </w:tc>
        <w:tc>
          <w:tcPr>
            <w:tcW w:w="768"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4.34</w:t>
            </w:r>
          </w:p>
        </w:tc>
        <w:tc>
          <w:tcPr>
            <w:tcW w:w="744" w:type="dxa"/>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39999</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其他支出</w:t>
            </w:r>
          </w:p>
        </w:tc>
        <w:tc>
          <w:tcPr>
            <w:tcW w:w="732"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r>
      <w:tr>
        <w:trPr>
          <w:trHeight w:val="377"/>
        </w:trPr>
        <w:tc>
          <w:tcPr>
            <w:tcW w:w="89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30399</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其他对个人和家庭的补助</w:t>
            </w:r>
          </w:p>
        </w:tc>
        <w:tc>
          <w:tcPr>
            <w:tcW w:w="783"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0.16</w:t>
            </w:r>
          </w:p>
        </w:tc>
        <w:tc>
          <w:tcPr>
            <w:tcW w:w="655" w:type="dxa"/>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30239</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其他交通费用</w:t>
            </w:r>
          </w:p>
        </w:tc>
        <w:tc>
          <w:tcPr>
            <w:tcW w:w="768"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50.32</w:t>
            </w:r>
          </w:p>
        </w:tc>
        <w:tc>
          <w:tcPr>
            <w:tcW w:w="744" w:type="dxa"/>
            <w:tcBorders>
              <w:top w:val="nil"/>
              <w:left w:val="nil"/>
              <w:bottom w:val="single" w:sz="4" w:space="0" w:color="000000"/>
              <w:right w:val="single" w:sz="4" w:space="0" w:color="000000"/>
            </w:tcBorders>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pPr>
              <w:spacing w:line="220" w:lineRule="exact"/>
              <w:jc w:val="left"/>
              <w:rPr>
                <w:rFonts w:ascii="宋体" w:eastAsia="宋体" w:cs="宋体"/>
                <w:color w:val="000000"/>
                <w:sz w:val="15"/>
                <w:szCs w:val="15"/>
              </w:rPr>
            </w:pPr>
          </w:p>
        </w:tc>
        <w:tc>
          <w:tcPr>
            <w:tcW w:w="732"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16"/>
                <w:szCs w:val="16"/>
              </w:rPr>
            </w:pPr>
          </w:p>
        </w:tc>
      </w:tr>
      <w:tr>
        <w:trPr>
          <w:trHeight w:val="332"/>
        </w:trPr>
        <w:tc>
          <w:tcPr>
            <w:tcW w:w="89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pPr>
              <w:spacing w:line="220" w:lineRule="exact"/>
              <w:jc w:val="left"/>
              <w:rPr>
                <w:rFonts w:ascii="宋体" w:eastAsia="宋体" w:cs="宋体"/>
                <w:color w:val="000000"/>
                <w:sz w:val="15"/>
                <w:szCs w:val="15"/>
              </w:rPr>
            </w:pPr>
          </w:p>
        </w:tc>
        <w:tc>
          <w:tcPr>
            <w:tcW w:w="783" w:type="dxa"/>
            <w:gridSpan w:val="2"/>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16"/>
                <w:szCs w:val="16"/>
              </w:rPr>
            </w:pPr>
          </w:p>
        </w:tc>
        <w:tc>
          <w:tcPr>
            <w:tcW w:w="655" w:type="dxa"/>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30240</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税金及附加费用</w:t>
            </w:r>
          </w:p>
        </w:tc>
        <w:tc>
          <w:tcPr>
            <w:tcW w:w="768"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p>
        </w:tc>
        <w:tc>
          <w:tcPr>
            <w:tcW w:w="744" w:type="dxa"/>
            <w:tcBorders>
              <w:top w:val="nil"/>
              <w:left w:val="nil"/>
              <w:bottom w:val="single" w:sz="4" w:space="0" w:color="000000"/>
              <w:right w:val="single" w:sz="4" w:space="0" w:color="000000"/>
            </w:tcBorders>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pPr>
              <w:spacing w:line="220" w:lineRule="exact"/>
              <w:jc w:val="left"/>
              <w:rPr>
                <w:rFonts w:ascii="宋体" w:eastAsia="宋体" w:cs="宋体"/>
                <w:color w:val="000000"/>
                <w:sz w:val="15"/>
                <w:szCs w:val="15"/>
              </w:rPr>
            </w:pPr>
          </w:p>
        </w:tc>
        <w:tc>
          <w:tcPr>
            <w:tcW w:w="732"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16"/>
                <w:szCs w:val="16"/>
              </w:rPr>
            </w:pPr>
          </w:p>
        </w:tc>
      </w:tr>
      <w:tr>
        <w:trPr>
          <w:trHeight w:val="302"/>
        </w:trPr>
        <w:tc>
          <w:tcPr>
            <w:tcW w:w="89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pPr>
              <w:spacing w:line="220" w:lineRule="exact"/>
              <w:jc w:val="left"/>
              <w:rPr>
                <w:rFonts w:ascii="宋体" w:eastAsia="宋体" w:cs="宋体"/>
                <w:color w:val="000000"/>
                <w:sz w:val="15"/>
                <w:szCs w:val="15"/>
              </w:rPr>
            </w:pPr>
          </w:p>
        </w:tc>
        <w:tc>
          <w:tcPr>
            <w:tcW w:w="783" w:type="dxa"/>
            <w:gridSpan w:val="2"/>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16"/>
                <w:szCs w:val="16"/>
              </w:rPr>
            </w:pPr>
          </w:p>
        </w:tc>
        <w:tc>
          <w:tcPr>
            <w:tcW w:w="655" w:type="dxa"/>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30299</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其他商品和服务支出</w:t>
            </w:r>
          </w:p>
        </w:tc>
        <w:tc>
          <w:tcPr>
            <w:tcW w:w="768"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41.06</w:t>
            </w:r>
          </w:p>
        </w:tc>
        <w:tc>
          <w:tcPr>
            <w:tcW w:w="744" w:type="dxa"/>
            <w:tcBorders>
              <w:top w:val="nil"/>
              <w:left w:val="nil"/>
              <w:bottom w:val="single" w:sz="4" w:space="0" w:color="000000"/>
              <w:right w:val="single" w:sz="4" w:space="0" w:color="000000"/>
            </w:tcBorders>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732"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16"/>
                <w:szCs w:val="16"/>
              </w:rPr>
            </w:pPr>
          </w:p>
        </w:tc>
      </w:tr>
      <w:tr>
        <w:trPr>
          <w:trHeight w:val="317"/>
        </w:trPr>
        <w:tc>
          <w:tcPr>
            <w:tcW w:w="2828"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20" w:lineRule="exact"/>
              <w:jc w:val="center"/>
              <w:textAlignment w:val="center"/>
              <w:rPr>
                <w:rFonts w:ascii="宋体" w:eastAsia="宋体" w:cs="宋体"/>
                <w:color w:val="000000"/>
                <w:sz w:val="20"/>
                <w:szCs w:val="20"/>
              </w:rPr>
            </w:pPr>
            <w:r>
              <w:rPr>
                <w:rFonts w:ascii="宋体" w:eastAsia="宋体" w:cs="宋体" w:hint="eastAsia"/>
                <w:color w:val="000000"/>
                <w:kern w:val="0"/>
                <w:sz w:val="20"/>
                <w:szCs w:val="20"/>
              </w:rPr>
              <w:t>人员经费合计</w:t>
            </w:r>
          </w:p>
        </w:tc>
        <w:tc>
          <w:tcPr>
            <w:tcW w:w="783"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1,625.82</w:t>
            </w:r>
          </w:p>
        </w:tc>
        <w:tc>
          <w:tcPr>
            <w:tcW w:w="5657" w:type="dxa"/>
            <w:gridSpan w:val="9"/>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center"/>
              <w:textAlignment w:val="center"/>
              <w:rPr>
                <w:rFonts w:ascii="宋体" w:eastAsia="宋体" w:cs="宋体"/>
                <w:color w:val="000000"/>
                <w:sz w:val="20"/>
                <w:szCs w:val="20"/>
              </w:rPr>
            </w:pPr>
            <w:r>
              <w:rPr>
                <w:rFonts w:ascii="宋体" w:eastAsia="宋体" w:cs="宋体" w:hint="eastAsia"/>
                <w:color w:val="000000"/>
                <w:kern w:val="0"/>
                <w:sz w:val="20"/>
                <w:szCs w:val="20"/>
              </w:rPr>
              <w:t>公用经费合计</w:t>
            </w:r>
          </w:p>
        </w:tc>
        <w:tc>
          <w:tcPr>
            <w:tcW w:w="732" w:type="dxa"/>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color w:val="000000"/>
                <w:kern w:val="0"/>
                <w:sz w:val="16"/>
                <w:szCs w:val="16"/>
              </w:rPr>
              <w:t>443.33</w:t>
            </w:r>
          </w:p>
        </w:tc>
      </w:tr>
      <w:tr>
        <w:trPr>
          <w:trHeight w:val="638"/>
          <w:gridAfter w:val="2"/>
          <w:wAfter w:w="780" w:type="dxa"/>
        </w:trPr>
        <w:tc>
          <w:tcPr>
            <w:tcW w:w="9220" w:type="dxa"/>
            <w:gridSpan w:val="13"/>
            <w:tcBorders>
              <w:top w:val="nil"/>
              <w:left w:val="nil"/>
              <w:bottom w:val="nil"/>
              <w:right w:val="nil"/>
            </w:tcBorders>
            <w:tcMar>
              <w:top w:w="15" w:type="dxa"/>
              <w:left w:w="15" w:type="dxa"/>
              <w:right w:w="15" w:type="dxa"/>
            </w:tcMar>
            <w:vAlign w:val="center"/>
          </w:tcPr>
          <w:p>
            <w:pPr>
              <w:widowControl/>
              <w:jc w:val="center"/>
              <w:textAlignment w:val="center"/>
              <w:rPr>
                <w:rFonts w:ascii="黑体" w:eastAsia="黑体" w:cs="黑体"/>
                <w:color w:val="000000"/>
                <w:kern w:val="0"/>
                <w:sz w:val="32"/>
                <w:szCs w:val="32"/>
              </w:rPr>
            </w:pPr>
            <w:r>
              <w:rPr>
                <w:color w:val="000000"/>
              </w:rPr>
              <w:br w:type="page"/>
            </w:r>
          </w:p>
          <w:p>
            <w:pPr>
              <w:widowControl/>
              <w:jc w:val="center"/>
              <w:textAlignment w:val="center"/>
              <w:rPr>
                <w:rFonts w:ascii="黑体" w:eastAsia="黑体" w:cs="黑体"/>
                <w:color w:val="000000"/>
                <w:kern w:val="0"/>
                <w:sz w:val="32"/>
                <w:szCs w:val="32"/>
              </w:rPr>
            </w:pPr>
          </w:p>
          <w:p>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一般公共预算财政拨款“三公”经费支出决算表</w:t>
            </w:r>
          </w:p>
        </w:tc>
      </w:tr>
      <w:tr>
        <w:trPr>
          <w:trHeight w:val="360"/>
          <w:gridAfter w:val="2"/>
          <w:wAfter w:w="780" w:type="dxa"/>
        </w:trPr>
        <w:tc>
          <w:tcPr>
            <w:tcW w:w="1267" w:type="dxa"/>
            <w:gridSpan w:val="2"/>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1686" w:type="dxa"/>
            <w:gridSpan w:val="2"/>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1565" w:type="dxa"/>
            <w:gridSpan w:val="3"/>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1565" w:type="dxa"/>
            <w:gridSpan w:val="2"/>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1565" w:type="dxa"/>
            <w:gridSpan w:val="3"/>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1572" w:type="dxa"/>
            <w:tcBorders>
              <w:top w:val="nil"/>
              <w:left w:val="nil"/>
              <w:bottom w:val="nil"/>
              <w:right w:val="nil"/>
            </w:tcBorders>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07</w:t>
            </w:r>
            <w:r>
              <w:rPr>
                <w:rFonts w:ascii="宋体" w:eastAsia="宋体" w:cs="宋体" w:hint="eastAsia"/>
                <w:color w:val="000000"/>
                <w:kern w:val="0"/>
                <w:sz w:val="20"/>
                <w:szCs w:val="20"/>
              </w:rPr>
              <w:t>表</w:t>
            </w:r>
          </w:p>
        </w:tc>
      </w:tr>
      <w:tr>
        <w:trPr>
          <w:trHeight w:val="360"/>
          <w:gridAfter w:val="2"/>
          <w:wAfter w:w="780" w:type="dxa"/>
        </w:trPr>
        <w:tc>
          <w:tcPr>
            <w:tcW w:w="1267" w:type="dxa"/>
            <w:gridSpan w:val="2"/>
            <w:tcBorders>
              <w:top w:val="nil"/>
              <w:left w:val="nil"/>
              <w:bottom w:val="nil"/>
              <w:right w:val="nil"/>
            </w:tcBorders>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1686" w:type="dxa"/>
            <w:gridSpan w:val="2"/>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1565" w:type="dxa"/>
            <w:gridSpan w:val="3"/>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1565" w:type="dxa"/>
            <w:gridSpan w:val="2"/>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1565" w:type="dxa"/>
            <w:gridSpan w:val="3"/>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1572" w:type="dxa"/>
            <w:tcBorders>
              <w:top w:val="nil"/>
              <w:left w:val="nil"/>
              <w:bottom w:val="nil"/>
              <w:right w:val="nil"/>
            </w:tcBorders>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trPr>
          <w:trHeight w:val="417"/>
          <w:gridAfter w:val="2"/>
          <w:wAfter w:w="780" w:type="dxa"/>
        </w:trPr>
        <w:tc>
          <w:tcPr>
            <w:tcW w:w="9220" w:type="dxa"/>
            <w:gridSpan w:val="13"/>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预算数</w:t>
            </w:r>
          </w:p>
        </w:tc>
      </w:tr>
      <w:tr>
        <w:trPr>
          <w:trHeight w:val="417"/>
          <w:gridAfter w:val="2"/>
          <w:wAfter w:w="780" w:type="dxa"/>
        </w:trPr>
        <w:tc>
          <w:tcPr>
            <w:tcW w:w="1267" w:type="dxa"/>
            <w:gridSpan w:val="2"/>
            <w:vMerge w:val="restart"/>
            <w:tcBorders>
              <w:top w:val="single" w:sz="4" w:space="0" w:color="auto"/>
              <w:left w:val="single" w:sz="4" w:space="0" w:color="auto"/>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686" w:type="dxa"/>
            <w:gridSpan w:val="2"/>
            <w:vMerge w:val="restart"/>
            <w:tcBorders>
              <w:top w:val="single" w:sz="4" w:space="0" w:color="auto"/>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因公出国（境）费</w:t>
            </w:r>
          </w:p>
        </w:tc>
        <w:tc>
          <w:tcPr>
            <w:tcW w:w="4695" w:type="dxa"/>
            <w:gridSpan w:val="8"/>
            <w:tcBorders>
              <w:top w:val="single" w:sz="4" w:space="0" w:color="auto"/>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公务用车购置及运行费</w:t>
            </w:r>
          </w:p>
        </w:tc>
        <w:tc>
          <w:tcPr>
            <w:tcW w:w="1572" w:type="dxa"/>
            <w:vMerge w:val="restart"/>
            <w:tcBorders>
              <w:top w:val="single" w:sz="4" w:space="0" w:color="auto"/>
              <w:left w:val="nil"/>
              <w:bottom w:val="single" w:sz="4" w:space="0" w:color="000000"/>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公务接待费</w:t>
            </w:r>
          </w:p>
        </w:tc>
      </w:tr>
      <w:tr>
        <w:trPr>
          <w:trHeight w:val="417"/>
          <w:gridAfter w:val="2"/>
          <w:wAfter w:w="780" w:type="dxa"/>
        </w:trPr>
        <w:tc>
          <w:tcPr>
            <w:tcW w:w="1267" w:type="dxa"/>
            <w:gridSpan w:val="2"/>
            <w:vMerge/>
            <w:tcBorders>
              <w:top w:val="nil"/>
              <w:left w:val="single" w:sz="4" w:space="0" w:color="auto"/>
              <w:bottom w:val="single" w:sz="4" w:space="0" w:color="000000"/>
              <w:right w:val="single" w:sz="4" w:space="0" w:color="000000"/>
            </w:tcBorders>
            <w:tcMar>
              <w:top w:w="15" w:type="dxa"/>
              <w:left w:w="15" w:type="dxa"/>
              <w:right w:w="15" w:type="dxa"/>
            </w:tcMar>
            <w:vAlign w:val="center"/>
          </w:tcPr>
          <w:p/>
        </w:tc>
        <w:tc>
          <w:tcPr>
            <w:tcW w:w="1686" w:type="dxa"/>
            <w:gridSpan w:val="2"/>
            <w:vMerge/>
            <w:tcBorders>
              <w:top w:val="nil"/>
              <w:left w:val="nil"/>
              <w:bottom w:val="single" w:sz="4" w:space="0" w:color="000000"/>
              <w:right w:val="single" w:sz="4" w:space="0" w:color="000000"/>
            </w:tcBorders>
            <w:tcMar>
              <w:top w:w="15" w:type="dxa"/>
              <w:left w:w="15" w:type="dxa"/>
              <w:right w:w="15" w:type="dxa"/>
            </w:tcMar>
            <w:vAlign w:val="center"/>
          </w:tcPr>
          <w:p/>
        </w:tc>
        <w:tc>
          <w:tcPr>
            <w:tcW w:w="1565"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565"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公务用车购置费</w:t>
            </w:r>
          </w:p>
        </w:tc>
        <w:tc>
          <w:tcPr>
            <w:tcW w:w="1565"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公务用车运行费</w:t>
            </w:r>
          </w:p>
        </w:tc>
        <w:tc>
          <w:tcPr>
            <w:tcW w:w="1572" w:type="dxa"/>
            <w:vMerge/>
            <w:tcBorders>
              <w:top w:val="nil"/>
              <w:left w:val="nil"/>
              <w:bottom w:val="single" w:sz="4" w:space="0" w:color="000000"/>
              <w:right w:val="single" w:sz="4" w:space="0" w:color="auto"/>
            </w:tcBorders>
            <w:tcMar>
              <w:top w:w="15" w:type="dxa"/>
              <w:left w:w="15" w:type="dxa"/>
              <w:right w:w="15" w:type="dxa"/>
            </w:tcMar>
            <w:vAlign w:val="center"/>
          </w:tcPr>
          <w:p/>
        </w:tc>
      </w:tr>
      <w:tr>
        <w:trPr>
          <w:trHeight w:val="417"/>
          <w:gridAfter w:val="2"/>
          <w:wAfter w:w="780" w:type="dxa"/>
        </w:trPr>
        <w:tc>
          <w:tcPr>
            <w:tcW w:w="1267" w:type="dxa"/>
            <w:gridSpan w:val="2"/>
            <w:tcBorders>
              <w:top w:val="nil"/>
              <w:left w:val="single" w:sz="4" w:space="0" w:color="auto"/>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1686"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1565"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1565"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1565"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1572" w:type="dxa"/>
            <w:tcBorders>
              <w:top w:val="nil"/>
              <w:left w:val="nil"/>
              <w:bottom w:val="single" w:sz="4" w:space="0" w:color="000000"/>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6</w:t>
            </w:r>
          </w:p>
        </w:tc>
      </w:tr>
      <w:tr>
        <w:trPr>
          <w:trHeight w:val="417"/>
          <w:gridAfter w:val="2"/>
          <w:wAfter w:w="780" w:type="dxa"/>
        </w:trPr>
        <w:tc>
          <w:tcPr>
            <w:tcW w:w="1267" w:type="dxa"/>
            <w:gridSpan w:val="2"/>
            <w:tcBorders>
              <w:top w:val="nil"/>
              <w:left w:val="single" w:sz="4" w:space="0" w:color="auto"/>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4.37</w:t>
            </w:r>
          </w:p>
        </w:tc>
        <w:tc>
          <w:tcPr>
            <w:tcW w:w="1686"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22"/>
              </w:rPr>
            </w:pPr>
          </w:p>
        </w:tc>
        <w:tc>
          <w:tcPr>
            <w:tcW w:w="1565"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4.37</w:t>
            </w:r>
          </w:p>
        </w:tc>
        <w:tc>
          <w:tcPr>
            <w:tcW w:w="1565"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22"/>
              </w:rPr>
            </w:pPr>
          </w:p>
        </w:tc>
        <w:tc>
          <w:tcPr>
            <w:tcW w:w="1565"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4.37</w:t>
            </w:r>
          </w:p>
        </w:tc>
        <w:tc>
          <w:tcPr>
            <w:tcW w:w="1572" w:type="dxa"/>
            <w:tcBorders>
              <w:top w:val="nil"/>
              <w:left w:val="nil"/>
              <w:bottom w:val="single" w:sz="4" w:space="0" w:color="000000"/>
              <w:right w:val="single" w:sz="4" w:space="0" w:color="auto"/>
            </w:tcBorders>
            <w:tcMar>
              <w:top w:w="15" w:type="dxa"/>
              <w:left w:w="15" w:type="dxa"/>
              <w:right w:w="15" w:type="dxa"/>
            </w:tcMar>
            <w:vAlign w:val="center"/>
          </w:tcPr>
          <w:p>
            <w:pPr>
              <w:widowControl/>
              <w:jc w:val="right"/>
              <w:textAlignment w:val="center"/>
              <w:rPr>
                <w:rFonts w:ascii="宋体" w:eastAsia="宋体" w:cs="宋体"/>
                <w:color w:val="000000"/>
                <w:sz w:val="22"/>
              </w:rPr>
            </w:pPr>
          </w:p>
        </w:tc>
      </w:tr>
      <w:tr>
        <w:trPr>
          <w:trHeight w:val="417"/>
          <w:gridAfter w:val="2"/>
          <w:wAfter w:w="780" w:type="dxa"/>
        </w:trPr>
        <w:tc>
          <w:tcPr>
            <w:tcW w:w="9220" w:type="dxa"/>
            <w:gridSpan w:val="13"/>
            <w:tcBorders>
              <w:top w:val="single" w:sz="4" w:space="0" w:color="000000"/>
              <w:left w:val="single" w:sz="4" w:space="0" w:color="auto"/>
              <w:bottom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r>
      <w:tr>
        <w:trPr>
          <w:trHeight w:val="417"/>
          <w:gridAfter w:val="2"/>
          <w:wAfter w:w="780" w:type="dxa"/>
        </w:trPr>
        <w:tc>
          <w:tcPr>
            <w:tcW w:w="1267" w:type="dxa"/>
            <w:gridSpan w:val="2"/>
            <w:vMerge w:val="restart"/>
            <w:tcBorders>
              <w:top w:val="single" w:sz="4" w:space="0" w:color="auto"/>
              <w:left w:val="single" w:sz="4" w:space="0" w:color="auto"/>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686" w:type="dxa"/>
            <w:gridSpan w:val="2"/>
            <w:vMerge w:val="restart"/>
            <w:tcBorders>
              <w:top w:val="single" w:sz="4" w:space="0" w:color="auto"/>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因公出国（境）费</w:t>
            </w:r>
          </w:p>
        </w:tc>
        <w:tc>
          <w:tcPr>
            <w:tcW w:w="4695" w:type="dxa"/>
            <w:gridSpan w:val="8"/>
            <w:tcBorders>
              <w:top w:val="single" w:sz="4" w:space="0" w:color="auto"/>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公务用车购置及运行费</w:t>
            </w:r>
          </w:p>
        </w:tc>
        <w:tc>
          <w:tcPr>
            <w:tcW w:w="1572" w:type="dxa"/>
            <w:vMerge w:val="restart"/>
            <w:tcBorders>
              <w:top w:val="single" w:sz="4" w:space="0" w:color="auto"/>
              <w:left w:val="nil"/>
              <w:bottom w:val="single" w:sz="4" w:space="0" w:color="000000"/>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公务接待费</w:t>
            </w:r>
          </w:p>
        </w:tc>
      </w:tr>
      <w:tr>
        <w:trPr>
          <w:trHeight w:val="417"/>
          <w:gridAfter w:val="2"/>
          <w:wAfter w:w="780" w:type="dxa"/>
        </w:trPr>
        <w:tc>
          <w:tcPr>
            <w:tcW w:w="1267" w:type="dxa"/>
            <w:gridSpan w:val="2"/>
            <w:vMerge/>
            <w:tcBorders>
              <w:top w:val="nil"/>
              <w:left w:val="single" w:sz="4" w:space="0" w:color="auto"/>
              <w:bottom w:val="single" w:sz="4" w:space="0" w:color="000000"/>
              <w:right w:val="single" w:sz="4" w:space="0" w:color="000000"/>
            </w:tcBorders>
            <w:tcMar>
              <w:top w:w="15" w:type="dxa"/>
              <w:left w:w="15" w:type="dxa"/>
              <w:right w:w="15" w:type="dxa"/>
            </w:tcMar>
            <w:vAlign w:val="center"/>
          </w:tcPr>
          <w:p/>
        </w:tc>
        <w:tc>
          <w:tcPr>
            <w:tcW w:w="1686" w:type="dxa"/>
            <w:gridSpan w:val="2"/>
            <w:vMerge/>
            <w:tcBorders>
              <w:top w:val="nil"/>
              <w:left w:val="nil"/>
              <w:bottom w:val="single" w:sz="4" w:space="0" w:color="000000"/>
              <w:right w:val="single" w:sz="4" w:space="0" w:color="000000"/>
            </w:tcBorders>
            <w:tcMar>
              <w:top w:w="15" w:type="dxa"/>
              <w:left w:w="15" w:type="dxa"/>
              <w:right w:w="15" w:type="dxa"/>
            </w:tcMar>
            <w:vAlign w:val="center"/>
          </w:tcPr>
          <w:p/>
        </w:tc>
        <w:tc>
          <w:tcPr>
            <w:tcW w:w="1565"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565"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公务用车购置费</w:t>
            </w:r>
          </w:p>
        </w:tc>
        <w:tc>
          <w:tcPr>
            <w:tcW w:w="1565"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公务用车运行费</w:t>
            </w:r>
          </w:p>
        </w:tc>
        <w:tc>
          <w:tcPr>
            <w:tcW w:w="1572" w:type="dxa"/>
            <w:vMerge/>
            <w:tcBorders>
              <w:top w:val="nil"/>
              <w:left w:val="nil"/>
              <w:bottom w:val="single" w:sz="4" w:space="0" w:color="000000"/>
              <w:right w:val="single" w:sz="4" w:space="0" w:color="auto"/>
            </w:tcBorders>
            <w:tcMar>
              <w:top w:w="15" w:type="dxa"/>
              <w:left w:w="15" w:type="dxa"/>
              <w:right w:w="15" w:type="dxa"/>
            </w:tcMar>
            <w:vAlign w:val="center"/>
          </w:tcPr>
          <w:p/>
        </w:tc>
      </w:tr>
      <w:tr>
        <w:trPr>
          <w:trHeight w:val="417"/>
          <w:gridAfter w:val="2"/>
          <w:wAfter w:w="780" w:type="dxa"/>
        </w:trPr>
        <w:tc>
          <w:tcPr>
            <w:tcW w:w="1267" w:type="dxa"/>
            <w:gridSpan w:val="2"/>
            <w:tcBorders>
              <w:top w:val="nil"/>
              <w:left w:val="single" w:sz="4" w:space="0" w:color="auto"/>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7</w:t>
            </w:r>
          </w:p>
        </w:tc>
        <w:tc>
          <w:tcPr>
            <w:tcW w:w="1686"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8</w:t>
            </w:r>
          </w:p>
        </w:tc>
        <w:tc>
          <w:tcPr>
            <w:tcW w:w="1565"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9</w:t>
            </w:r>
          </w:p>
        </w:tc>
        <w:tc>
          <w:tcPr>
            <w:tcW w:w="1565"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10</w:t>
            </w:r>
          </w:p>
        </w:tc>
        <w:tc>
          <w:tcPr>
            <w:tcW w:w="1565"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11</w:t>
            </w:r>
          </w:p>
        </w:tc>
        <w:tc>
          <w:tcPr>
            <w:tcW w:w="1572" w:type="dxa"/>
            <w:tcBorders>
              <w:top w:val="nil"/>
              <w:left w:val="nil"/>
              <w:bottom w:val="single" w:sz="4" w:space="0" w:color="000000"/>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12</w:t>
            </w:r>
          </w:p>
        </w:tc>
      </w:tr>
      <w:tr>
        <w:trPr>
          <w:trHeight w:val="447"/>
          <w:gridAfter w:val="2"/>
          <w:wAfter w:w="780" w:type="dxa"/>
        </w:trPr>
        <w:tc>
          <w:tcPr>
            <w:tcW w:w="1267" w:type="dxa"/>
            <w:gridSpan w:val="2"/>
            <w:tcBorders>
              <w:top w:val="nil"/>
              <w:left w:val="single" w:sz="4" w:space="0" w:color="auto"/>
              <w:bottom w:val="single" w:sz="4" w:space="0" w:color="auto"/>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4.34</w:t>
            </w:r>
          </w:p>
        </w:tc>
        <w:tc>
          <w:tcPr>
            <w:tcW w:w="1686" w:type="dxa"/>
            <w:gridSpan w:val="2"/>
            <w:tcBorders>
              <w:top w:val="nil"/>
              <w:left w:val="nil"/>
              <w:bottom w:val="single" w:sz="4" w:space="0" w:color="auto"/>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22"/>
              </w:rPr>
            </w:pPr>
          </w:p>
        </w:tc>
        <w:tc>
          <w:tcPr>
            <w:tcW w:w="1565" w:type="dxa"/>
            <w:gridSpan w:val="3"/>
            <w:tcBorders>
              <w:top w:val="nil"/>
              <w:left w:val="nil"/>
              <w:bottom w:val="single" w:sz="4" w:space="0" w:color="auto"/>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4.34</w:t>
            </w:r>
          </w:p>
        </w:tc>
        <w:tc>
          <w:tcPr>
            <w:tcW w:w="1565" w:type="dxa"/>
            <w:gridSpan w:val="2"/>
            <w:tcBorders>
              <w:top w:val="nil"/>
              <w:left w:val="nil"/>
              <w:bottom w:val="single" w:sz="4" w:space="0" w:color="auto"/>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22"/>
              </w:rPr>
            </w:pPr>
          </w:p>
        </w:tc>
        <w:tc>
          <w:tcPr>
            <w:tcW w:w="1565" w:type="dxa"/>
            <w:gridSpan w:val="3"/>
            <w:tcBorders>
              <w:top w:val="nil"/>
              <w:left w:val="nil"/>
              <w:bottom w:val="single" w:sz="4" w:space="0" w:color="auto"/>
              <w:right w:val="single" w:sz="4" w:space="0" w:color="000000"/>
            </w:tcBorders>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4.34</w:t>
            </w:r>
          </w:p>
        </w:tc>
        <w:tc>
          <w:tcPr>
            <w:tcW w:w="1572" w:type="dxa"/>
            <w:tcBorders>
              <w:top w:val="nil"/>
              <w:left w:val="nil"/>
              <w:bottom w:val="single" w:sz="4" w:space="0" w:color="auto"/>
              <w:right w:val="single" w:sz="4" w:space="0" w:color="auto"/>
            </w:tcBorders>
            <w:tcMar>
              <w:top w:w="15" w:type="dxa"/>
              <w:left w:w="15" w:type="dxa"/>
              <w:right w:w="15" w:type="dxa"/>
            </w:tcMar>
            <w:vAlign w:val="center"/>
          </w:tcPr>
          <w:p>
            <w:pPr>
              <w:widowControl/>
              <w:jc w:val="right"/>
              <w:textAlignment w:val="center"/>
              <w:rPr>
                <w:rFonts w:ascii="宋体" w:eastAsia="宋体" w:cs="宋体"/>
                <w:color w:val="000000"/>
                <w:sz w:val="22"/>
              </w:rPr>
            </w:pPr>
          </w:p>
        </w:tc>
      </w:tr>
    </w:tbl>
    <w:p>
      <w:pPr>
        <w:rPr>
          <w:color w:val="000000"/>
        </w:rPr>
      </w:pPr>
      <w:r>
        <w:rPr>
          <w:rFonts w:ascii="宋体" w:eastAsia="宋体" w:cs="宋体" w:hint="eastAsia"/>
          <w:color w:val="000000"/>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仿宋_GB2312" w:eastAsia="仿宋_GB2312" w:cs="仿宋_GB2312"/>
          <w:color w:val="000000"/>
        </w:rPr>
        <w:tab/>
      </w:r>
      <w:r>
        <w:rPr>
          <w:color w:val="000000"/>
        </w:rPr>
        <w:tab/>
        <w:tab/>
        <w:tab/>
        <w:tab/>
        <w:tab/>
        <w:tab/>
        <w:tab/>
        <w:tab/>
        <w:tab/>
        <w:tab/>
        <w:br w:type="page"/>
      </w:r>
    </w:p>
    <w:tbl>
      <w:tblPr>
        <w:jc w:val="center"/>
        <w:tblW w:w="9513"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777"/>
        <w:gridCol w:w="62"/>
        <w:gridCol w:w="62"/>
        <w:gridCol w:w="910"/>
        <w:gridCol w:w="1064"/>
        <w:gridCol w:w="1064"/>
        <w:gridCol w:w="1064"/>
        <w:gridCol w:w="1064"/>
        <w:gridCol w:w="1064"/>
        <w:gridCol w:w="2382"/>
      </w:tblGrid>
      <w:tr>
        <w:trPr>
          <w:trHeight w:val="780"/>
        </w:trPr>
        <w:tc>
          <w:tcPr>
            <w:tcW w:w="9513" w:type="dxa"/>
            <w:gridSpan w:val="10"/>
            <w:tcBorders>
              <w:top w:val="nil"/>
              <w:left w:val="nil"/>
              <w:bottom w:val="nil"/>
              <w:right w:val="nil"/>
            </w:tcBorders>
            <w:tcMar>
              <w:top w:w="15" w:type="dxa"/>
              <w:left w:w="15" w:type="dxa"/>
              <w:right w:w="15" w:type="dxa"/>
            </w:tcMar>
            <w:vAlign w:val="center"/>
          </w:tcPr>
          <w:p>
            <w:pPr>
              <w:widowControl/>
              <w:jc w:val="center"/>
              <w:textAlignment w:val="center"/>
              <w:rPr>
                <w:rFonts w:ascii="黑体" w:eastAsia="黑体" w:cs="黑体"/>
                <w:color w:val="000000"/>
                <w:kern w:val="0"/>
                <w:sz w:val="32"/>
                <w:szCs w:val="32"/>
              </w:rPr>
            </w:pPr>
          </w:p>
          <w:p>
            <w:pPr>
              <w:widowControl/>
              <w:jc w:val="center"/>
              <w:textAlignment w:val="center"/>
              <w:rPr>
                <w:rFonts w:ascii="黑体" w:eastAsia="黑体" w:cs="黑体"/>
                <w:color w:val="000000"/>
                <w:kern w:val="0"/>
                <w:sz w:val="32"/>
                <w:szCs w:val="32"/>
              </w:rPr>
            </w:pPr>
          </w:p>
          <w:p>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政府性基金预算财政拨款收入支出决算表</w:t>
            </w:r>
          </w:p>
        </w:tc>
      </w:tr>
      <w:tr>
        <w:trPr>
          <w:trHeight w:val="255"/>
        </w:trPr>
        <w:tc>
          <w:tcPr>
            <w:tcW w:w="777" w:type="dxa"/>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62" w:type="dxa"/>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62" w:type="dxa"/>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910" w:type="dxa"/>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1064" w:type="dxa"/>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1064" w:type="dxa"/>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1064" w:type="dxa"/>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1064" w:type="dxa"/>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3446" w:type="dxa"/>
            <w:gridSpan w:val="2"/>
            <w:tcBorders>
              <w:top w:val="nil"/>
              <w:left w:val="nil"/>
              <w:bottom w:val="nil"/>
              <w:right w:val="nil"/>
            </w:tcBorders>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08</w:t>
            </w:r>
            <w:r>
              <w:rPr>
                <w:rFonts w:ascii="宋体" w:eastAsia="宋体" w:cs="宋体" w:hint="eastAsia"/>
                <w:color w:val="000000"/>
                <w:kern w:val="0"/>
                <w:sz w:val="20"/>
                <w:szCs w:val="20"/>
              </w:rPr>
              <w:t>表</w:t>
            </w:r>
          </w:p>
        </w:tc>
      </w:tr>
      <w:tr>
        <w:trPr>
          <w:trHeight w:val="255"/>
        </w:trPr>
        <w:tc>
          <w:tcPr>
            <w:tcW w:w="777" w:type="dxa"/>
            <w:tcBorders>
              <w:top w:val="nil"/>
              <w:left w:val="nil"/>
              <w:bottom w:val="nil"/>
              <w:right w:val="nil"/>
            </w:tcBorders>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62" w:type="dxa"/>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62" w:type="dxa"/>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910" w:type="dxa"/>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1064" w:type="dxa"/>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1064" w:type="dxa"/>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1064" w:type="dxa"/>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1064" w:type="dxa"/>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3446" w:type="dxa"/>
            <w:gridSpan w:val="2"/>
            <w:tcBorders>
              <w:top w:val="nil"/>
              <w:left w:val="nil"/>
              <w:bottom w:val="nil"/>
              <w:right w:val="nil"/>
            </w:tcBorders>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trPr>
          <w:trHeight w:val="308"/>
        </w:trPr>
        <w:tc>
          <w:tcPr>
            <w:tcW w:w="1811"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1064"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年初结转和结余</w:t>
            </w:r>
          </w:p>
        </w:tc>
        <w:tc>
          <w:tcPr>
            <w:tcW w:w="1064"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本年收入</w:t>
            </w:r>
          </w:p>
        </w:tc>
        <w:tc>
          <w:tcPr>
            <w:tcW w:w="3192" w:type="dxa"/>
            <w:gridSpan w:val="3"/>
            <w:tcBorders>
              <w:top w:val="single" w:sz="4" w:space="0" w:color="000000"/>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c>
          <w:tcPr>
            <w:tcW w:w="238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年末结转和结余</w:t>
            </w:r>
          </w:p>
        </w:tc>
      </w:tr>
      <w:tr>
        <w:trPr>
          <w:trHeight w:val="312"/>
        </w:trPr>
        <w:tc>
          <w:tcPr>
            <w:tcW w:w="901" w:type="dxa"/>
            <w:gridSpan w:val="3"/>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910" w:type="dxa"/>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064"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064"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064" w:type="dxa"/>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064" w:type="dxa"/>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1064" w:type="dxa"/>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c>
          <w:tcPr>
            <w:tcW w:w="238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r>
      <w:tr>
        <w:trPr>
          <w:trHeight w:val="624"/>
        </w:trPr>
        <w:tc>
          <w:tcPr>
            <w:tcW w:w="901"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tc>
        <w:tc>
          <w:tcPr>
            <w:tcW w:w="910" w:type="dxa"/>
            <w:vMerge/>
            <w:tcBorders>
              <w:top w:val="nil"/>
              <w:left w:val="nil"/>
              <w:bottom w:val="single" w:sz="4" w:space="0" w:color="000000"/>
              <w:right w:val="single" w:sz="4" w:space="0" w:color="000000"/>
            </w:tcBorders>
            <w:tcMar>
              <w:top w:w="15" w:type="dxa"/>
              <w:left w:w="15" w:type="dxa"/>
              <w:right w:w="15" w:type="dxa"/>
            </w:tcMar>
            <w:vAlign w:val="center"/>
          </w:tcPr>
          <w:p/>
        </w:tc>
        <w:tc>
          <w:tcPr>
            <w:tcW w:w="1064"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064"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064" w:type="dxa"/>
            <w:vMerge/>
            <w:tcBorders>
              <w:top w:val="nil"/>
              <w:left w:val="nil"/>
              <w:bottom w:val="single" w:sz="4" w:space="0" w:color="000000"/>
              <w:right w:val="single" w:sz="4" w:space="0" w:color="000000"/>
            </w:tcBorders>
            <w:tcMar>
              <w:top w:w="15" w:type="dxa"/>
              <w:left w:w="15" w:type="dxa"/>
              <w:right w:w="15" w:type="dxa"/>
            </w:tcMar>
            <w:vAlign w:val="center"/>
          </w:tcPr>
          <w:p/>
        </w:tc>
        <w:tc>
          <w:tcPr>
            <w:tcW w:w="1064" w:type="dxa"/>
            <w:vMerge/>
            <w:tcBorders>
              <w:top w:val="nil"/>
              <w:left w:val="nil"/>
              <w:bottom w:val="single" w:sz="4" w:space="0" w:color="000000"/>
              <w:right w:val="single" w:sz="4" w:space="0" w:color="000000"/>
            </w:tcBorders>
            <w:tcMar>
              <w:top w:w="15" w:type="dxa"/>
              <w:left w:w="15" w:type="dxa"/>
              <w:right w:w="15" w:type="dxa"/>
            </w:tcMar>
            <w:vAlign w:val="center"/>
          </w:tcPr>
          <w:p/>
        </w:tc>
        <w:tc>
          <w:tcPr>
            <w:tcW w:w="1064" w:type="dxa"/>
            <w:vMerge/>
            <w:tcBorders>
              <w:top w:val="nil"/>
              <w:left w:val="nil"/>
              <w:bottom w:val="single" w:sz="4" w:space="0" w:color="000000"/>
              <w:right w:val="single" w:sz="4" w:space="0" w:color="000000"/>
            </w:tcBorders>
            <w:tcMar>
              <w:top w:w="15" w:type="dxa"/>
              <w:left w:w="15" w:type="dxa"/>
              <w:right w:w="15" w:type="dxa"/>
            </w:tcMar>
            <w:vAlign w:val="center"/>
          </w:tcPr>
          <w:p/>
        </w:tc>
        <w:tc>
          <w:tcPr>
            <w:tcW w:w="238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r>
      <w:tr>
        <w:trPr>
          <w:trHeight w:val="624"/>
        </w:trPr>
        <w:tc>
          <w:tcPr>
            <w:tcW w:w="901"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tc>
        <w:tc>
          <w:tcPr>
            <w:tcW w:w="910" w:type="dxa"/>
            <w:vMerge/>
            <w:tcBorders>
              <w:top w:val="nil"/>
              <w:left w:val="nil"/>
              <w:bottom w:val="single" w:sz="4" w:space="0" w:color="000000"/>
              <w:right w:val="single" w:sz="4" w:space="0" w:color="000000"/>
            </w:tcBorders>
            <w:tcMar>
              <w:top w:w="15" w:type="dxa"/>
              <w:left w:w="15" w:type="dxa"/>
              <w:right w:w="15" w:type="dxa"/>
            </w:tcMar>
            <w:vAlign w:val="center"/>
          </w:tcPr>
          <w:p/>
        </w:tc>
        <w:tc>
          <w:tcPr>
            <w:tcW w:w="1064"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064"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064" w:type="dxa"/>
            <w:vMerge/>
            <w:tcBorders>
              <w:top w:val="nil"/>
              <w:left w:val="nil"/>
              <w:bottom w:val="single" w:sz="4" w:space="0" w:color="000000"/>
              <w:right w:val="single" w:sz="4" w:space="0" w:color="000000"/>
            </w:tcBorders>
            <w:tcMar>
              <w:top w:w="15" w:type="dxa"/>
              <w:left w:w="15" w:type="dxa"/>
              <w:right w:w="15" w:type="dxa"/>
            </w:tcMar>
            <w:vAlign w:val="center"/>
          </w:tcPr>
          <w:p/>
        </w:tc>
        <w:tc>
          <w:tcPr>
            <w:tcW w:w="1064" w:type="dxa"/>
            <w:vMerge/>
            <w:tcBorders>
              <w:top w:val="nil"/>
              <w:left w:val="nil"/>
              <w:bottom w:val="single" w:sz="4" w:space="0" w:color="000000"/>
              <w:right w:val="single" w:sz="4" w:space="0" w:color="000000"/>
            </w:tcBorders>
            <w:tcMar>
              <w:top w:w="15" w:type="dxa"/>
              <w:left w:w="15" w:type="dxa"/>
              <w:right w:w="15" w:type="dxa"/>
            </w:tcMar>
            <w:vAlign w:val="center"/>
          </w:tcPr>
          <w:p/>
        </w:tc>
        <w:tc>
          <w:tcPr>
            <w:tcW w:w="1064" w:type="dxa"/>
            <w:vMerge/>
            <w:tcBorders>
              <w:top w:val="nil"/>
              <w:left w:val="nil"/>
              <w:bottom w:val="single" w:sz="4" w:space="0" w:color="000000"/>
              <w:right w:val="single" w:sz="4" w:space="0" w:color="000000"/>
            </w:tcBorders>
            <w:tcMar>
              <w:top w:w="15" w:type="dxa"/>
              <w:left w:w="15" w:type="dxa"/>
              <w:right w:w="15" w:type="dxa"/>
            </w:tcMar>
            <w:vAlign w:val="center"/>
          </w:tcPr>
          <w:p/>
        </w:tc>
        <w:tc>
          <w:tcPr>
            <w:tcW w:w="238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r>
      <w:tr>
        <w:trPr>
          <w:trHeight w:val="308"/>
        </w:trPr>
        <w:tc>
          <w:tcPr>
            <w:tcW w:w="1811"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1064"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1064"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1064"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1064"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1064"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2382"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6</w:t>
            </w:r>
          </w:p>
        </w:tc>
      </w:tr>
      <w:tr>
        <w:trPr>
          <w:trHeight w:val="308"/>
        </w:trPr>
        <w:tc>
          <w:tcPr>
            <w:tcW w:w="1811"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064"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b/>
                <w:color w:val="000000"/>
                <w:sz w:val="22"/>
              </w:rPr>
            </w:pPr>
          </w:p>
        </w:tc>
        <w:tc>
          <w:tcPr>
            <w:tcW w:w="1064"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b/>
                <w:color w:val="000000"/>
                <w:sz w:val="22"/>
              </w:rPr>
            </w:pPr>
          </w:p>
        </w:tc>
        <w:tc>
          <w:tcPr>
            <w:tcW w:w="1064"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b/>
                <w:color w:val="000000"/>
                <w:sz w:val="22"/>
              </w:rPr>
            </w:pPr>
          </w:p>
        </w:tc>
        <w:tc>
          <w:tcPr>
            <w:tcW w:w="1064"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b/>
                <w:color w:val="000000"/>
                <w:sz w:val="22"/>
              </w:rPr>
            </w:pPr>
          </w:p>
        </w:tc>
        <w:tc>
          <w:tcPr>
            <w:tcW w:w="1064"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b/>
                <w:color w:val="000000"/>
                <w:sz w:val="22"/>
              </w:rPr>
            </w:pPr>
          </w:p>
        </w:tc>
        <w:tc>
          <w:tcPr>
            <w:tcW w:w="2382"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b/>
                <w:color w:val="000000"/>
                <w:sz w:val="22"/>
              </w:rPr>
            </w:pPr>
          </w:p>
        </w:tc>
      </w:tr>
      <w:tr>
        <w:trPr>
          <w:trHeight w:val="308"/>
        </w:trPr>
        <w:tc>
          <w:tcPr>
            <w:tcW w:w="901"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pPr>
              <w:jc w:val="left"/>
              <w:rPr>
                <w:rFonts w:ascii="宋体" w:eastAsia="宋体" w:cs="宋体"/>
                <w:color w:val="000000"/>
                <w:sz w:val="22"/>
              </w:rPr>
            </w:pPr>
          </w:p>
        </w:tc>
        <w:tc>
          <w:tcPr>
            <w:tcW w:w="910" w:type="dxa"/>
            <w:tcBorders>
              <w:top w:val="nil"/>
              <w:left w:val="nil"/>
              <w:bottom w:val="single" w:sz="4" w:space="0" w:color="000000"/>
              <w:right w:val="single" w:sz="4" w:space="0" w:color="000000"/>
            </w:tcBorders>
            <w:tcMar>
              <w:top w:w="15" w:type="dxa"/>
              <w:left w:w="15" w:type="dxa"/>
              <w:right w:w="15" w:type="dxa"/>
            </w:tcMar>
            <w:vAlign w:val="center"/>
          </w:tcPr>
          <w:p>
            <w:pPr>
              <w:jc w:val="left"/>
              <w:rPr>
                <w:rFonts w:ascii="宋体" w:eastAsia="宋体" w:cs="宋体"/>
                <w:color w:val="000000"/>
                <w:sz w:val="22"/>
              </w:rPr>
            </w:pPr>
          </w:p>
        </w:tc>
        <w:tc>
          <w:tcPr>
            <w:tcW w:w="1064"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1064"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1064"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1064"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1064"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2382"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r>
      <w:tr>
        <w:trPr>
          <w:trHeight w:val="308"/>
        </w:trPr>
        <w:tc>
          <w:tcPr>
            <w:tcW w:w="901"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pPr>
              <w:jc w:val="left"/>
              <w:rPr>
                <w:rFonts w:ascii="宋体" w:eastAsia="宋体" w:cs="宋体"/>
                <w:color w:val="000000"/>
                <w:sz w:val="22"/>
              </w:rPr>
            </w:pPr>
          </w:p>
        </w:tc>
        <w:tc>
          <w:tcPr>
            <w:tcW w:w="910" w:type="dxa"/>
            <w:tcBorders>
              <w:top w:val="nil"/>
              <w:left w:val="nil"/>
              <w:bottom w:val="single" w:sz="4" w:space="0" w:color="000000"/>
              <w:right w:val="single" w:sz="4" w:space="0" w:color="000000"/>
            </w:tcBorders>
            <w:tcMar>
              <w:top w:w="15" w:type="dxa"/>
              <w:left w:w="15" w:type="dxa"/>
              <w:right w:w="15" w:type="dxa"/>
            </w:tcMar>
            <w:vAlign w:val="center"/>
          </w:tcPr>
          <w:p>
            <w:pPr>
              <w:jc w:val="left"/>
              <w:rPr>
                <w:rFonts w:ascii="宋体" w:eastAsia="宋体" w:cs="宋体"/>
                <w:color w:val="000000"/>
                <w:sz w:val="22"/>
              </w:rPr>
            </w:pPr>
          </w:p>
        </w:tc>
        <w:tc>
          <w:tcPr>
            <w:tcW w:w="1064"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1064"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1064"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1064"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1064"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2382"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r>
      <w:tr>
        <w:trPr>
          <w:trHeight w:val="308"/>
        </w:trPr>
        <w:tc>
          <w:tcPr>
            <w:tcW w:w="901"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pPr>
              <w:jc w:val="left"/>
              <w:rPr>
                <w:rFonts w:ascii="宋体" w:eastAsia="宋体" w:cs="宋体"/>
                <w:color w:val="000000"/>
                <w:sz w:val="22"/>
              </w:rPr>
            </w:pPr>
          </w:p>
        </w:tc>
        <w:tc>
          <w:tcPr>
            <w:tcW w:w="910" w:type="dxa"/>
            <w:tcBorders>
              <w:top w:val="nil"/>
              <w:left w:val="nil"/>
              <w:bottom w:val="single" w:sz="4" w:space="0" w:color="000000"/>
              <w:right w:val="single" w:sz="4" w:space="0" w:color="000000"/>
            </w:tcBorders>
            <w:tcMar>
              <w:top w:w="15" w:type="dxa"/>
              <w:left w:w="15" w:type="dxa"/>
              <w:right w:w="15" w:type="dxa"/>
            </w:tcMar>
            <w:vAlign w:val="center"/>
          </w:tcPr>
          <w:p>
            <w:pPr>
              <w:jc w:val="left"/>
              <w:rPr>
                <w:rFonts w:ascii="宋体" w:eastAsia="宋体" w:cs="宋体"/>
                <w:color w:val="000000"/>
                <w:sz w:val="22"/>
              </w:rPr>
            </w:pPr>
          </w:p>
        </w:tc>
        <w:tc>
          <w:tcPr>
            <w:tcW w:w="1064"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1064"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1064"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1064"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1064"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2382"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r>
      <w:tr>
        <w:trPr>
          <w:trHeight w:val="308"/>
        </w:trPr>
        <w:tc>
          <w:tcPr>
            <w:tcW w:w="901"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pPr>
              <w:jc w:val="left"/>
              <w:rPr>
                <w:rFonts w:ascii="宋体" w:eastAsia="宋体" w:cs="宋体"/>
                <w:color w:val="000000"/>
                <w:sz w:val="22"/>
              </w:rPr>
            </w:pPr>
          </w:p>
        </w:tc>
        <w:tc>
          <w:tcPr>
            <w:tcW w:w="910" w:type="dxa"/>
            <w:tcBorders>
              <w:top w:val="nil"/>
              <w:left w:val="nil"/>
              <w:bottom w:val="single" w:sz="4" w:space="0" w:color="000000"/>
              <w:right w:val="single" w:sz="4" w:space="0" w:color="000000"/>
            </w:tcBorders>
            <w:tcMar>
              <w:top w:w="15" w:type="dxa"/>
              <w:left w:w="15" w:type="dxa"/>
              <w:right w:w="15" w:type="dxa"/>
            </w:tcMar>
            <w:vAlign w:val="center"/>
          </w:tcPr>
          <w:p>
            <w:pPr>
              <w:jc w:val="left"/>
              <w:rPr>
                <w:rFonts w:ascii="宋体" w:eastAsia="宋体" w:cs="宋体"/>
                <w:color w:val="000000"/>
                <w:sz w:val="22"/>
              </w:rPr>
            </w:pPr>
          </w:p>
        </w:tc>
        <w:tc>
          <w:tcPr>
            <w:tcW w:w="1064"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1064"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1064"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1064"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1064"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2382"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r>
      <w:tr>
        <w:trPr>
          <w:trHeight w:val="308"/>
        </w:trPr>
        <w:tc>
          <w:tcPr>
            <w:tcW w:w="901"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pPr>
              <w:jc w:val="left"/>
              <w:rPr>
                <w:rFonts w:ascii="宋体" w:eastAsia="宋体" w:cs="宋体"/>
                <w:color w:val="000000"/>
                <w:sz w:val="22"/>
              </w:rPr>
            </w:pPr>
          </w:p>
        </w:tc>
        <w:tc>
          <w:tcPr>
            <w:tcW w:w="910" w:type="dxa"/>
            <w:tcBorders>
              <w:top w:val="nil"/>
              <w:left w:val="nil"/>
              <w:bottom w:val="single" w:sz="4" w:space="0" w:color="000000"/>
              <w:right w:val="single" w:sz="4" w:space="0" w:color="000000"/>
            </w:tcBorders>
            <w:tcMar>
              <w:top w:w="15" w:type="dxa"/>
              <w:left w:w="15" w:type="dxa"/>
              <w:right w:w="15" w:type="dxa"/>
            </w:tcMar>
            <w:vAlign w:val="center"/>
          </w:tcPr>
          <w:p>
            <w:pPr>
              <w:jc w:val="left"/>
              <w:rPr>
                <w:rFonts w:ascii="宋体" w:eastAsia="宋体" w:cs="宋体"/>
                <w:color w:val="000000"/>
                <w:sz w:val="22"/>
              </w:rPr>
            </w:pPr>
          </w:p>
        </w:tc>
        <w:tc>
          <w:tcPr>
            <w:tcW w:w="1064"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1064"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1064"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1064"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1064"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2382"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r>
    </w:tbl>
    <w:p>
      <w:pPr>
        <w:rPr>
          <w:color w:val="000000"/>
        </w:rPr>
      </w:pPr>
      <w:r>
        <w:rPr>
          <w:rFonts w:ascii="宋体" w:eastAsia="宋体" w:cs="宋体" w:hint="eastAsia"/>
          <w:color w:val="000000"/>
          <w:kern w:val="0"/>
          <w:sz w:val="20"/>
          <w:szCs w:val="20"/>
        </w:rPr>
        <w:t>本部门本年度无相关支、收支及结转结余等情况，按要求空表列示。</w:t>
      </w:r>
    </w:p>
    <w:p>
      <w:pPr>
        <w:rPr>
          <w:rFonts w:ascii="宋体" w:eastAsia="宋体" w:cs="宋体"/>
          <w:color w:val="000000"/>
          <w:kern w:val="0"/>
          <w:sz w:val="20"/>
          <w:szCs w:val="20"/>
        </w:rPr>
      </w:pPr>
      <w:r>
        <w:rPr>
          <w:color w:val="000000"/>
        </w:rPr>
        <w:br w:type="page"/>
      </w:r>
      <w:r>
        <w:rPr>
          <w:rFonts w:ascii="宋体" w:eastAsia="宋体" w:cs="宋体"/>
          <w:color w:val="000000"/>
          <w:kern w:val="0"/>
          <w:sz w:val="20"/>
          <w:szCs w:val="20"/>
        </w:rPr>
        <w:t xml:space="preserve"> </w:t>
      </w:r>
    </w:p>
    <w:p>
      <w:pPr>
        <w:jc w:val="left"/>
        <w:rPr>
          <w:color w:val="000000"/>
        </w:rPr>
      </w:pPr>
    </w:p>
    <w:tbl>
      <w:tblPr>
        <w:jc w:val="center"/>
        <w:tblW w:w="9915"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2492"/>
        <w:gridCol w:w="198"/>
        <w:gridCol w:w="198"/>
        <w:gridCol w:w="4737"/>
        <w:gridCol w:w="470"/>
        <w:gridCol w:w="910"/>
        <w:gridCol w:w="910"/>
      </w:tblGrid>
      <w:tr>
        <w:trPr>
          <w:trHeight w:val="840"/>
        </w:trPr>
        <w:tc>
          <w:tcPr>
            <w:tcW w:w="9915" w:type="dxa"/>
            <w:gridSpan w:val="7"/>
            <w:tcBorders>
              <w:top w:val="nil"/>
              <w:left w:val="nil"/>
              <w:bottom w:val="nil"/>
              <w:right w:val="nil"/>
            </w:tcBorders>
            <w:tcMar>
              <w:top w:w="15" w:type="dxa"/>
              <w:left w:w="15" w:type="dxa"/>
              <w:right w:w="15" w:type="dxa"/>
            </w:tcMar>
            <w:vAlign w:val="center"/>
          </w:tcPr>
          <w:p>
            <w:pPr>
              <w:widowControl/>
              <w:jc w:val="center"/>
              <w:textAlignment w:val="center"/>
              <w:rPr>
                <w:rFonts w:ascii="黑体" w:eastAsia="黑体" w:cs="黑体"/>
                <w:color w:val="000000"/>
                <w:kern w:val="0"/>
                <w:sz w:val="32"/>
                <w:szCs w:val="32"/>
              </w:rPr>
            </w:pPr>
          </w:p>
          <w:p>
            <w:pPr>
              <w:widowControl/>
              <w:jc w:val="center"/>
              <w:textAlignment w:val="center"/>
              <w:rPr>
                <w:rFonts w:ascii="黑体" w:eastAsia="黑体" w:cs="黑体"/>
                <w:color w:val="000000"/>
                <w:kern w:val="0"/>
                <w:sz w:val="32"/>
                <w:szCs w:val="32"/>
              </w:rPr>
            </w:pPr>
          </w:p>
          <w:p>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国有资本经营预算财政拨款支出决算表</w:t>
            </w:r>
          </w:p>
        </w:tc>
      </w:tr>
      <w:tr>
        <w:trPr>
          <w:trHeight w:val="255"/>
        </w:trPr>
        <w:tc>
          <w:tcPr>
            <w:tcW w:w="2492" w:type="dxa"/>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198" w:type="dxa"/>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198" w:type="dxa"/>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4737" w:type="dxa"/>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470" w:type="dxa"/>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1820" w:type="dxa"/>
            <w:gridSpan w:val="2"/>
            <w:tcBorders>
              <w:top w:val="nil"/>
              <w:left w:val="nil"/>
              <w:bottom w:val="nil"/>
              <w:right w:val="nil"/>
            </w:tcBorders>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09</w:t>
            </w:r>
            <w:r>
              <w:rPr>
                <w:rFonts w:ascii="宋体" w:eastAsia="宋体" w:cs="宋体" w:hint="eastAsia"/>
                <w:color w:val="000000"/>
                <w:kern w:val="0"/>
                <w:sz w:val="20"/>
                <w:szCs w:val="20"/>
              </w:rPr>
              <w:t>表</w:t>
            </w:r>
          </w:p>
        </w:tc>
      </w:tr>
      <w:tr>
        <w:trPr>
          <w:trHeight w:val="255"/>
        </w:trPr>
        <w:tc>
          <w:tcPr>
            <w:tcW w:w="2492" w:type="dxa"/>
            <w:tcBorders>
              <w:top w:val="nil"/>
              <w:left w:val="nil"/>
              <w:bottom w:val="nil"/>
              <w:right w:val="nil"/>
            </w:tcBorders>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198" w:type="dxa"/>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198" w:type="dxa"/>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4737" w:type="dxa"/>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470" w:type="dxa"/>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1820" w:type="dxa"/>
            <w:gridSpan w:val="2"/>
            <w:tcBorders>
              <w:top w:val="nil"/>
              <w:left w:val="nil"/>
              <w:bottom w:val="nil"/>
              <w:right w:val="nil"/>
            </w:tcBorders>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trPr>
          <w:trHeight w:val="308"/>
        </w:trPr>
        <w:tc>
          <w:tcPr>
            <w:tcW w:w="7625"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w:t>
            </w:r>
          </w:p>
        </w:tc>
        <w:tc>
          <w:tcPr>
            <w:tcW w:w="2290" w:type="dxa"/>
            <w:gridSpan w:val="3"/>
            <w:tcBorders>
              <w:top w:val="single" w:sz="4" w:space="0" w:color="000000"/>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r>
      <w:tr>
        <w:trPr>
          <w:trHeight w:val="615"/>
        </w:trPr>
        <w:tc>
          <w:tcPr>
            <w:tcW w:w="2888"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4737"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470"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910"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910"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r>
      <w:tr>
        <w:trPr>
          <w:trHeight w:val="308"/>
        </w:trPr>
        <w:tc>
          <w:tcPr>
            <w:tcW w:w="7625"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470"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910"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910"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w:t>
            </w:r>
          </w:p>
        </w:tc>
      </w:tr>
      <w:tr>
        <w:trPr>
          <w:trHeight w:val="308"/>
        </w:trPr>
        <w:tc>
          <w:tcPr>
            <w:tcW w:w="7625"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470"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b/>
                <w:color w:val="000000"/>
                <w:sz w:val="22"/>
              </w:rPr>
            </w:pPr>
          </w:p>
        </w:tc>
        <w:tc>
          <w:tcPr>
            <w:tcW w:w="910"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b/>
                <w:color w:val="000000"/>
                <w:sz w:val="22"/>
              </w:rPr>
            </w:pPr>
          </w:p>
        </w:tc>
        <w:tc>
          <w:tcPr>
            <w:tcW w:w="910"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b/>
                <w:color w:val="000000"/>
                <w:sz w:val="22"/>
              </w:rPr>
            </w:pPr>
          </w:p>
        </w:tc>
      </w:tr>
      <w:tr>
        <w:trPr>
          <w:trHeight w:val="308"/>
        </w:trPr>
        <w:tc>
          <w:tcPr>
            <w:tcW w:w="2888"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pPr>
              <w:jc w:val="left"/>
              <w:rPr>
                <w:rFonts w:ascii="宋体" w:eastAsia="宋体" w:cs="宋体"/>
                <w:color w:val="000000"/>
                <w:sz w:val="22"/>
              </w:rPr>
            </w:pPr>
          </w:p>
        </w:tc>
        <w:tc>
          <w:tcPr>
            <w:tcW w:w="4737" w:type="dxa"/>
            <w:tcBorders>
              <w:top w:val="nil"/>
              <w:left w:val="nil"/>
              <w:bottom w:val="single" w:sz="4" w:space="0" w:color="000000"/>
              <w:right w:val="single" w:sz="4" w:space="0" w:color="000000"/>
            </w:tcBorders>
            <w:tcMar>
              <w:top w:w="15" w:type="dxa"/>
              <w:left w:w="15" w:type="dxa"/>
              <w:right w:w="15" w:type="dxa"/>
            </w:tcMar>
            <w:vAlign w:val="center"/>
          </w:tcPr>
          <w:p>
            <w:pPr>
              <w:jc w:val="left"/>
              <w:rPr>
                <w:rFonts w:ascii="宋体" w:eastAsia="宋体" w:cs="宋体"/>
                <w:color w:val="000000"/>
                <w:sz w:val="22"/>
              </w:rPr>
            </w:pPr>
          </w:p>
        </w:tc>
        <w:tc>
          <w:tcPr>
            <w:tcW w:w="470"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r>
      <w:tr>
        <w:trPr>
          <w:trHeight w:val="308"/>
        </w:trPr>
        <w:tc>
          <w:tcPr>
            <w:tcW w:w="2888"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pPr>
              <w:jc w:val="left"/>
              <w:rPr>
                <w:rFonts w:ascii="宋体" w:eastAsia="宋体" w:cs="宋体"/>
                <w:color w:val="000000"/>
                <w:sz w:val="22"/>
              </w:rPr>
            </w:pPr>
          </w:p>
        </w:tc>
        <w:tc>
          <w:tcPr>
            <w:tcW w:w="4737" w:type="dxa"/>
            <w:tcBorders>
              <w:top w:val="nil"/>
              <w:left w:val="nil"/>
              <w:bottom w:val="single" w:sz="4" w:space="0" w:color="000000"/>
              <w:right w:val="single" w:sz="4" w:space="0" w:color="000000"/>
            </w:tcBorders>
            <w:tcMar>
              <w:top w:w="15" w:type="dxa"/>
              <w:left w:w="15" w:type="dxa"/>
              <w:right w:w="15" w:type="dxa"/>
            </w:tcMar>
            <w:vAlign w:val="center"/>
          </w:tcPr>
          <w:p>
            <w:pPr>
              <w:jc w:val="left"/>
              <w:rPr>
                <w:rFonts w:ascii="宋体" w:eastAsia="宋体" w:cs="宋体"/>
                <w:color w:val="000000"/>
                <w:sz w:val="22"/>
              </w:rPr>
            </w:pPr>
          </w:p>
        </w:tc>
        <w:tc>
          <w:tcPr>
            <w:tcW w:w="470"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r>
      <w:tr>
        <w:trPr>
          <w:trHeight w:val="308"/>
        </w:trPr>
        <w:tc>
          <w:tcPr>
            <w:tcW w:w="2888"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pPr>
              <w:jc w:val="left"/>
              <w:rPr>
                <w:rFonts w:ascii="宋体" w:eastAsia="宋体" w:cs="宋体"/>
                <w:color w:val="000000"/>
                <w:sz w:val="22"/>
              </w:rPr>
            </w:pPr>
          </w:p>
        </w:tc>
        <w:tc>
          <w:tcPr>
            <w:tcW w:w="4737" w:type="dxa"/>
            <w:tcBorders>
              <w:top w:val="nil"/>
              <w:left w:val="nil"/>
              <w:bottom w:val="single" w:sz="4" w:space="0" w:color="000000"/>
              <w:right w:val="single" w:sz="4" w:space="0" w:color="000000"/>
            </w:tcBorders>
            <w:tcMar>
              <w:top w:w="15" w:type="dxa"/>
              <w:left w:w="15" w:type="dxa"/>
              <w:right w:w="15" w:type="dxa"/>
            </w:tcMar>
            <w:vAlign w:val="center"/>
          </w:tcPr>
          <w:p>
            <w:pPr>
              <w:jc w:val="left"/>
              <w:rPr>
                <w:rFonts w:ascii="宋体" w:eastAsia="宋体" w:cs="宋体"/>
                <w:color w:val="000000"/>
                <w:sz w:val="22"/>
              </w:rPr>
            </w:pPr>
          </w:p>
        </w:tc>
        <w:tc>
          <w:tcPr>
            <w:tcW w:w="470"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r>
      <w:tr>
        <w:trPr>
          <w:trHeight w:val="308"/>
        </w:trPr>
        <w:tc>
          <w:tcPr>
            <w:tcW w:w="2888"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pPr>
              <w:jc w:val="left"/>
              <w:rPr>
                <w:rFonts w:ascii="宋体" w:eastAsia="宋体" w:cs="宋体"/>
                <w:color w:val="000000"/>
                <w:sz w:val="22"/>
              </w:rPr>
            </w:pPr>
          </w:p>
        </w:tc>
        <w:tc>
          <w:tcPr>
            <w:tcW w:w="4737" w:type="dxa"/>
            <w:tcBorders>
              <w:top w:val="nil"/>
              <w:left w:val="nil"/>
              <w:bottom w:val="single" w:sz="4" w:space="0" w:color="000000"/>
              <w:right w:val="single" w:sz="4" w:space="0" w:color="000000"/>
            </w:tcBorders>
            <w:tcMar>
              <w:top w:w="15" w:type="dxa"/>
              <w:left w:w="15" w:type="dxa"/>
              <w:right w:w="15" w:type="dxa"/>
            </w:tcMar>
            <w:vAlign w:val="center"/>
          </w:tcPr>
          <w:p>
            <w:pPr>
              <w:jc w:val="left"/>
              <w:rPr>
                <w:rFonts w:ascii="宋体" w:eastAsia="宋体" w:cs="宋体"/>
                <w:color w:val="000000"/>
                <w:sz w:val="22"/>
              </w:rPr>
            </w:pPr>
          </w:p>
        </w:tc>
        <w:tc>
          <w:tcPr>
            <w:tcW w:w="470"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r>
      <w:tr>
        <w:trPr>
          <w:trHeight w:val="308"/>
        </w:trPr>
        <w:tc>
          <w:tcPr>
            <w:tcW w:w="2888"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pPr>
              <w:jc w:val="left"/>
              <w:rPr>
                <w:rFonts w:ascii="宋体" w:eastAsia="宋体" w:cs="宋体"/>
                <w:color w:val="000000"/>
                <w:sz w:val="22"/>
              </w:rPr>
            </w:pPr>
          </w:p>
        </w:tc>
        <w:tc>
          <w:tcPr>
            <w:tcW w:w="4737" w:type="dxa"/>
            <w:tcBorders>
              <w:top w:val="nil"/>
              <w:left w:val="nil"/>
              <w:bottom w:val="single" w:sz="4" w:space="0" w:color="000000"/>
              <w:right w:val="single" w:sz="4" w:space="0" w:color="000000"/>
            </w:tcBorders>
            <w:tcMar>
              <w:top w:w="15" w:type="dxa"/>
              <w:left w:w="15" w:type="dxa"/>
              <w:right w:w="15" w:type="dxa"/>
            </w:tcMar>
            <w:vAlign w:val="center"/>
          </w:tcPr>
          <w:p>
            <w:pPr>
              <w:jc w:val="left"/>
              <w:rPr>
                <w:rFonts w:ascii="宋体" w:eastAsia="宋体" w:cs="宋体"/>
                <w:color w:val="000000"/>
                <w:sz w:val="22"/>
              </w:rPr>
            </w:pPr>
          </w:p>
        </w:tc>
        <w:tc>
          <w:tcPr>
            <w:tcW w:w="470"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tcMar>
              <w:top w:w="15" w:type="dxa"/>
              <w:left w:w="15" w:type="dxa"/>
              <w:right w:w="15" w:type="dxa"/>
            </w:tcMar>
            <w:vAlign w:val="center"/>
          </w:tcPr>
          <w:p>
            <w:pPr>
              <w:jc w:val="right"/>
              <w:rPr>
                <w:rFonts w:ascii="宋体" w:eastAsia="宋体" w:cs="宋体"/>
                <w:color w:val="000000"/>
                <w:sz w:val="22"/>
              </w:rPr>
            </w:pPr>
          </w:p>
        </w:tc>
      </w:tr>
    </w:tbl>
    <w:p>
      <w:pPr>
        <w:rPr>
          <w:color w:val="000000"/>
        </w:rPr>
      </w:pPr>
      <w:r>
        <w:rPr>
          <w:rFonts w:ascii="宋体" w:eastAsia="宋体" w:cs="宋体" w:hint="eastAsia"/>
          <w:color w:val="000000"/>
          <w:kern w:val="0"/>
          <w:sz w:val="20"/>
          <w:szCs w:val="20"/>
        </w:rPr>
        <w:t>本部门本年度无相关支、收支及结转结余等情况，按要求空表列示。</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jc w:val="center"/>
        <w:rPr>
          <w:color w:val="000000"/>
          <w:sz w:val="72"/>
        </w:rPr>
      </w:pPr>
    </w:p>
    <w:p>
      <w:pPr>
        <w:jc w:val="center"/>
        <w:rPr>
          <w:color w:val="000000"/>
          <w:sz w:val="72"/>
        </w:rPr>
      </w:pPr>
    </w:p>
    <w:p>
      <w:pPr>
        <w:jc w:val="center"/>
        <w:rPr>
          <w:color w:val="000000"/>
          <w:sz w:val="72"/>
        </w:rPr>
      </w:pPr>
    </w:p>
    <w:p>
      <w:pPr>
        <w:rPr>
          <w:color w:val="000000"/>
        </w:rPr>
      </w:pPr>
      <w:r>
        <mc:AlternateContent>
          <mc:Choice Requires="wps">
            <w:drawing>
              <wp:anchor distT="0" distB="0" distL="114298" distR="114298" simplePos="0" relativeHeight="53" behindDoc="0" locked="0" layoutInCell="1" hidden="0" allowOverlap="1">
                <wp:simplePos x="0" y="0"/>
                <wp:positionH relativeFrom="column">
                  <wp:posOffset>-888364</wp:posOffset>
                </wp:positionH>
                <wp:positionV relativeFrom="paragraph">
                  <wp:posOffset>55245</wp:posOffset>
                </wp:positionV>
                <wp:extent cx="7793355" cy="3341370"/>
                <wp:effectExtent l="0" t="0" r="0" b="0"/>
                <wp:wrapNone/>
                <wp:docPr id="144" name="文本框"/>
                <wp:cNvGraphicFramePr>
                  <a:graphicFrameLocks noChangeAspect="0"/>
                </wp:cNvGraphicFramePr>
                <a:graphic>
                  <a:graphicData uri="http://schemas.microsoft.com/office/word/2010/wordprocessingShape">
                    <wps:wsp>
                      <wps:cNvSpPr/>
                      <wps:spPr>
                        <a:xfrm rot="0">
                          <a:off x="0" y="0"/>
                          <a:ext cx="7793355" cy="3341370"/>
                        </a:xfrm>
                        <a:prstGeom prst="rect"/>
                        <a:pattFill prst="pct5">
                          <a:fgClr>
                            <a:srgbClr val="FFD966"/>
                          </a:fgClr>
                          <a:bgClr>
                            <a:srgbClr val="FFFFFF"/>
                          </a:bgClr>
                        </a:pattFill>
                        <a:ln w="6350" cmpd="sng" cap="flat">
                          <a:solidFill>
                            <a:srgbClr val="FFD966"/>
                          </a:solidFill>
                          <a:prstDash val="solid"/>
                          <a:miter/>
                        </a:ln>
                      </wps:spPr>
                      <wps:txbx id="145">
                        <w:txbxContent>
                          <w:p>
                            <w:pPr>
                              <w:widowControl/>
                              <w:jc w:val="center"/>
                            </w:pPr>
                            <w:r>
                              <w:rPr>
                                <w:rFonts w:ascii="黑体" w:eastAsia="黑体" w:cs="黑体" w:hint="eastAsia"/>
                                <w:color w:val="000000"/>
                                <w:sz w:val="90"/>
                                <w:szCs w:val="90"/>
                              </w:rPr>
                              <w:t>第五部分</w:t>
                            </w:r>
                            <w:r>
                              <w:rPr>
                                <w:rFonts w:ascii="黑体" w:eastAsia="黑体" w:cs="黑体"/>
                                <w:color w:val="000000"/>
                                <w:sz w:val="90"/>
                                <w:szCs w:val="90"/>
                              </w:rPr>
                              <w:t xml:space="preserve"> </w:t>
                            </w:r>
                            <w:r>
                              <w:rPr>
                                <w:rFonts w:ascii="黑体" w:eastAsia="黑体" w:cs="黑体" w:hint="eastAsia"/>
                                <w:color w:val="000000"/>
                                <w:sz w:val="90"/>
                                <w:szCs w:val="90"/>
                              </w:rPr>
                              <w:t>预算绩效公开内容</w:t>
                            </w:r>
                          </w:p>
                        </w:txbxContent>
                      </wps:txbx>
                      <wps:bodyPr vert="horz" wrap="square" lIns="91440" tIns="45720" rIns="91440" bIns="45720" anchor="ctr" anchorCtr="0" upright="1">
                        <a:noAutofit/>
                      </wps:bodyPr>
                    </wps:wsp>
                  </a:graphicData>
                </a:graphic>
              </wp:anchor>
            </w:drawing>
          </mc:Choice>
          <mc:Fallback>
            <w:pict>
              <v:shape type="#_x0000_t202" id="文本框 146" o:spid="_x0000_s146" fillcolor="#FFD966" stroked="t" strokeweight="0.5pt" style="position:absolute;margin-left:-69.95pt;margin-top:4.35pt;width:613.65pt;height:263.1pt;z-index:53;mso-position-horizontal:absolute;mso-position-vertical:absolute;mso-wrap-distance-left:8.999863pt;mso-wrap-distance-right:8.999863pt;mso-wrap-style:square;">
                <v:fill r:id="rId23" o:title="5%" color2="#FFFFFF" type="pattern"/>
                <v:stroke color="#FFD966"/>
                <v:textbox id="852" inset="2.54mm,1.27mm,2.54mm,1.27mm" o:insetmode="custom" style="layout-flow:horizontal;v-text-anchor:middle;">
                  <w:txbxContent>
                    <w:p>
                      <w:pPr>
                        <w:widowControl/>
                        <w:jc w:val="center"/>
                      </w:pPr>
                      <w:r>
                        <w:rPr>
                          <w:rFonts w:ascii="黑体" w:eastAsia="黑体" w:cs="黑体" w:hint="eastAsia"/>
                          <w:color w:val="000000"/>
                          <w:sz w:val="90"/>
                          <w:szCs w:val="90"/>
                        </w:rPr>
                        <w:t>第五部分</w:t>
                      </w:r>
                      <w:r>
                        <w:rPr>
                          <w:rFonts w:ascii="黑体" w:eastAsia="黑体" w:cs="黑体"/>
                          <w:color w:val="000000"/>
                          <w:sz w:val="90"/>
                          <w:szCs w:val="90"/>
                        </w:rPr>
                        <w:t xml:space="preserve"> </w:t>
                      </w:r>
                      <w:r>
                        <w:rPr>
                          <w:rFonts w:ascii="黑体" w:eastAsia="黑体" w:cs="黑体" w:hint="eastAsia"/>
                          <w:color w:val="000000"/>
                          <w:sz w:val="90"/>
                          <w:szCs w:val="90"/>
                        </w:rPr>
                        <w:t>预算绩效公开内容</w:t>
                      </w:r>
                    </w:p>
                  </w:txbxContent>
                </v:textbox>
              </v:shape>
            </w:pict>
          </mc:Fallback>
        </mc:AlternateConten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widowControl/>
        <w:jc w:val="left"/>
        <w:rPr>
          <w:color w:val="000000"/>
        </w:rPr>
        <w:sectPr>
          <w:headerReference w:type="default" r:id="rId22"/>
          <w:pgSz w:w="11906" w:h="16838"/>
          <w:pgMar w:top="1701" w:right="1417" w:bottom="1281" w:left="1417" w:header="851" w:footer="992" w:gutter="0"/>
          <w:pgNumType w:fmt="numberInDash"/>
          <w:docGrid w:type="lines" w:linePitch="312" w:charSpace="0"/>
        </w:sectPr>
      </w:pPr>
      <w:r>
        <w:rPr>
          <w:color w:val="000000"/>
        </w:rPr>
        <w:br w:type="page"/>
      </w:r>
    </w:p>
    <w:p>
      <w:pPr>
        <w:spacing w:line="584" w:lineRule="exact"/>
        <w:ind w:firstLineChars="200" w:firstLine="640"/>
        <w:rPr>
          <w:rFonts w:ascii="Times New Roman" w:eastAsia="仿宋_GB2312" w:cs="Times New Roman" w:hAnsi="Times New Roman"/>
          <w:color w:val="000000"/>
          <w:sz w:val="32"/>
          <w:szCs w:val="32"/>
        </w:rPr>
      </w:pPr>
      <w:r>
        <w:rPr>
          <w:rFonts w:ascii="Times New Roman" w:eastAsia="黑体" w:cs="Times New Roman" w:hAnsi="Times New Roman" w:hint="eastAsia"/>
          <w:color w:val="000000"/>
          <w:sz w:val="32"/>
          <w:szCs w:val="40"/>
        </w:rPr>
        <w:t>一、预算绩效情况说明</w:t>
      </w:r>
    </w:p>
    <w:p>
      <w:pPr>
        <w:spacing w:line="584" w:lineRule="exact"/>
        <w:ind w:firstLineChars="200" w:firstLine="640"/>
        <w:rPr>
          <w:rFonts w:ascii="Times New Roman" w:eastAsia="楷体_GB2312" w:cs="Times New Roman" w:hAnsi="Times New Roman"/>
          <w:b/>
          <w:bCs/>
          <w:color w:val="000000"/>
          <w:sz w:val="32"/>
          <w:szCs w:val="32"/>
        </w:rPr>
      </w:pPr>
      <w:r>
        <w:rPr>
          <w:rFonts w:ascii="Times New Roman" w:eastAsia="楷体_GB2312" w:cs="Times New Roman" w:hAnsi="Times New Roman" w:hint="eastAsia"/>
          <w:b/>
          <w:bCs/>
          <w:color w:val="000000"/>
          <w:sz w:val="32"/>
          <w:szCs w:val="32"/>
        </w:rPr>
        <w:t>（一）预算绩效管理工作开展情况</w:t>
      </w:r>
    </w:p>
    <w:p>
      <w:pPr>
        <w:adjustRightInd w:val="0"/>
        <w:snapToGrid w:val="0"/>
        <w:spacing w:line="580" w:lineRule="exact"/>
        <w:ind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hint="eastAsia"/>
          <w:color w:val="000000"/>
          <w:sz w:val="32"/>
          <w:szCs w:val="32"/>
        </w:rPr>
        <w:t>根据预算绩效管理要求，本部门对</w:t>
      </w:r>
      <w:r>
        <w:rPr>
          <w:rFonts w:ascii="Times New Roman" w:eastAsia="仿宋_GB2312" w:cs="Times New Roman" w:hAnsi="Times New Roman"/>
          <w:color w:val="000000"/>
          <w:sz w:val="32"/>
          <w:szCs w:val="32"/>
        </w:rPr>
        <w:t>2019</w:t>
      </w:r>
      <w:r>
        <w:rPr>
          <w:rFonts w:ascii="Times New Roman" w:eastAsia="仿宋_GB2312" w:cs="Times New Roman" w:hAnsi="Times New Roman" w:hint="eastAsia"/>
          <w:color w:val="000000"/>
          <w:sz w:val="32"/>
          <w:szCs w:val="32"/>
        </w:rPr>
        <w:t>年度整体绩效实现情况和项目支出情况开展绩效评价。组织对</w:t>
      </w:r>
      <w:r>
        <w:rPr>
          <w:rFonts w:ascii="Times New Roman" w:eastAsia="仿宋_GB2312" w:cs="Times New Roman" w:hAnsi="Times New Roman"/>
          <w:color w:val="000000"/>
          <w:sz w:val="32"/>
          <w:szCs w:val="32"/>
        </w:rPr>
        <w:t>2019</w:t>
      </w:r>
      <w:r>
        <w:rPr>
          <w:rFonts w:ascii="Times New Roman" w:eastAsia="仿宋_GB2312" w:cs="Times New Roman" w:hAnsi="Times New Roman" w:hint="eastAsia"/>
          <w:color w:val="000000"/>
          <w:sz w:val="32"/>
          <w:szCs w:val="32"/>
        </w:rPr>
        <w:t>年度一般公共预算项目支出全面开展绩效自评，项目个，涉及资金</w:t>
      </w:r>
      <w:r>
        <w:rPr>
          <w:rFonts w:ascii="Times New Roman" w:eastAsia="仿宋_GB2312" w:cs="Times New Roman" w:hAnsi="Times New Roman"/>
          <w:color w:val="000000"/>
          <w:sz w:val="32"/>
          <w:szCs w:val="32"/>
        </w:rPr>
        <w:t>60.72</w:t>
      </w:r>
      <w:r>
        <w:rPr>
          <w:rFonts w:ascii="Times New Roman" w:eastAsia="仿宋_GB2312" w:cs="Times New Roman" w:hAnsi="Times New Roman" w:hint="eastAsia"/>
          <w:color w:val="000000"/>
          <w:sz w:val="32"/>
          <w:szCs w:val="32"/>
        </w:rPr>
        <w:t>万元，占一般公共预算项目支出总额的</w:t>
      </w:r>
      <w:r>
        <w:rPr>
          <w:rFonts w:ascii="Times New Roman" w:eastAsia="仿宋_GB2312" w:cs="Times New Roman" w:hAnsi="Times New Roman"/>
          <w:color w:val="000000"/>
          <w:sz w:val="32"/>
          <w:szCs w:val="32"/>
        </w:rPr>
        <w:t>32%</w:t>
      </w:r>
      <w:r>
        <w:rPr>
          <w:rFonts w:ascii="Times New Roman" w:eastAsia="仿宋_GB2312" w:cs="Times New Roman" w:hAnsi="Times New Roman" w:hint="eastAsia"/>
          <w:color w:val="000000"/>
          <w:sz w:val="32"/>
          <w:szCs w:val="32"/>
        </w:rPr>
        <w:t>。组织对</w:t>
      </w:r>
      <w:r>
        <w:rPr>
          <w:rFonts w:ascii="Times New Roman" w:eastAsia="仿宋_GB2312" w:cs="Times New Roman" w:hAnsi="Times New Roman"/>
          <w:color w:val="000000"/>
          <w:sz w:val="32"/>
          <w:szCs w:val="32"/>
        </w:rPr>
        <w:t>“</w:t>
      </w:r>
      <w:r>
        <w:rPr>
          <w:rFonts w:ascii="Times New Roman" w:eastAsia="仿宋_GB2312" w:cs="Times New Roman" w:hAnsi="Times New Roman" w:hint="eastAsia"/>
          <w:color w:val="000000"/>
          <w:sz w:val="32"/>
          <w:szCs w:val="32"/>
        </w:rPr>
        <w:t>财政投资评审工作经费、农村财会人员培训经费”</w:t>
      </w:r>
      <w:r>
        <w:rPr>
          <w:rFonts w:ascii="Times New Roman" w:eastAsia="仿宋_GB2312" w:cs="Times New Roman" w:hAnsi="Times New Roman"/>
          <w:color w:val="000000"/>
          <w:sz w:val="32"/>
          <w:szCs w:val="32"/>
        </w:rPr>
        <w:t>1</w:t>
      </w:r>
      <w:r>
        <w:rPr>
          <w:rFonts w:ascii="Times New Roman" w:eastAsia="仿宋_GB2312" w:cs="Times New Roman" w:hAnsi="Times New Roman" w:hint="eastAsia"/>
          <w:color w:val="000000"/>
          <w:sz w:val="32"/>
          <w:szCs w:val="32"/>
        </w:rPr>
        <w:t>个项目开展了部门评价，涉及一般公共预算支出</w:t>
      </w:r>
      <w:r>
        <w:rPr>
          <w:rFonts w:ascii="Times New Roman" w:eastAsia="仿宋_GB2312" w:cs="Times New Roman" w:hAnsi="Times New Roman"/>
          <w:color w:val="000000"/>
          <w:sz w:val="32"/>
          <w:szCs w:val="32"/>
        </w:rPr>
        <w:t>60.72</w:t>
      </w:r>
      <w:r>
        <w:rPr>
          <w:rFonts w:ascii="Times New Roman" w:eastAsia="仿宋_GB2312" w:cs="Times New Roman" w:hAnsi="Times New Roman" w:hint="eastAsia"/>
          <w:color w:val="000000"/>
          <w:sz w:val="32"/>
          <w:szCs w:val="32"/>
        </w:rPr>
        <w:t>万元。</w:t>
      </w:r>
    </w:p>
    <w:p>
      <w:pPr>
        <w:spacing w:line="584" w:lineRule="exact"/>
        <w:ind w:firstLineChars="200" w:firstLine="640"/>
        <w:rPr>
          <w:rFonts w:ascii="Times New Roman" w:eastAsia="楷体_GB2312" w:cs="Times New Roman" w:hAnsi="Times New Roman"/>
          <w:b/>
          <w:bCs/>
          <w:color w:val="000000"/>
          <w:sz w:val="32"/>
          <w:szCs w:val="32"/>
        </w:rPr>
      </w:pPr>
      <w:r>
        <w:rPr>
          <w:rFonts w:ascii="Times New Roman" w:eastAsia="楷体_GB2312" w:cs="Times New Roman" w:hAnsi="Times New Roman" w:hint="eastAsia"/>
          <w:b/>
          <w:bCs/>
          <w:color w:val="000000"/>
          <w:sz w:val="32"/>
          <w:szCs w:val="32"/>
        </w:rPr>
        <w:t>（二）部门绩效评价结果</w:t>
      </w:r>
    </w:p>
    <w:p>
      <w:pPr>
        <w:spacing w:line="584" w:lineRule="exact"/>
        <w:ind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b/>
          <w:bCs/>
          <w:color w:val="000000"/>
          <w:sz w:val="32"/>
          <w:szCs w:val="32"/>
        </w:rPr>
        <w:t>1.</w:t>
      </w:r>
      <w:r>
        <w:rPr>
          <w:rFonts w:ascii="Times New Roman" w:eastAsia="仿宋_GB2312" w:cs="Times New Roman" w:hAnsi="Times New Roman" w:hint="eastAsia"/>
          <w:b/>
          <w:bCs/>
          <w:color w:val="000000"/>
          <w:sz w:val="32"/>
          <w:szCs w:val="32"/>
        </w:rPr>
        <w:t>项目绩效自评结果。</w:t>
      </w:r>
      <w:r>
        <w:rPr>
          <w:rFonts w:ascii="Times New Roman" w:eastAsia="仿宋_GB2312" w:cs="Times New Roman" w:hAnsi="Times New Roman" w:hint="eastAsia"/>
          <w:color w:val="000000"/>
          <w:sz w:val="32"/>
          <w:szCs w:val="32"/>
        </w:rPr>
        <w:t>本部门</w:t>
      </w:r>
      <w:r>
        <w:rPr>
          <w:rFonts w:ascii="Times New Roman" w:eastAsia="仿宋_GB2312" w:cs="Times New Roman" w:hAnsi="Times New Roman"/>
          <w:color w:val="000000"/>
          <w:sz w:val="32"/>
          <w:szCs w:val="32"/>
        </w:rPr>
        <w:t xml:space="preserve">2019 </w:t>
      </w:r>
      <w:r>
        <w:rPr>
          <w:rFonts w:ascii="Times New Roman" w:eastAsia="仿宋_GB2312" w:cs="Times New Roman" w:hAnsi="Times New Roman" w:hint="eastAsia"/>
          <w:color w:val="000000"/>
          <w:sz w:val="32"/>
          <w:szCs w:val="32"/>
        </w:rPr>
        <w:t>年度对</w:t>
      </w:r>
      <w:r>
        <w:rPr>
          <w:rFonts w:ascii="Times New Roman" w:eastAsia="仿宋_GB2312" w:cs="Times New Roman" w:hAnsi="Times New Roman"/>
          <w:color w:val="000000"/>
          <w:sz w:val="32"/>
          <w:szCs w:val="32"/>
        </w:rPr>
        <w:t>1</w:t>
      </w:r>
      <w:r>
        <w:rPr>
          <w:rFonts w:ascii="Times New Roman" w:eastAsia="仿宋_GB2312" w:cs="Times New Roman" w:hAnsi="Times New Roman" w:hint="eastAsia"/>
          <w:color w:val="000000"/>
          <w:sz w:val="32"/>
          <w:szCs w:val="32"/>
        </w:rPr>
        <w:t>个项目进行了绩效自评，项目自评结果</w:t>
      </w:r>
      <w:r>
        <w:rPr>
          <w:rFonts w:ascii="Times New Roman" w:eastAsia="仿宋_GB2312" w:cs="Times New Roman" w:hAnsi="Times New Roman"/>
          <w:color w:val="000000"/>
          <w:sz w:val="32"/>
          <w:szCs w:val="32"/>
        </w:rPr>
        <w:t>80 -90</w:t>
      </w:r>
      <w:r>
        <w:rPr>
          <w:rFonts w:ascii="Times New Roman" w:eastAsia="仿宋_GB2312" w:cs="Times New Roman" w:hAnsi="Times New Roman" w:hint="eastAsia"/>
          <w:color w:val="000000"/>
          <w:sz w:val="32"/>
          <w:szCs w:val="32"/>
        </w:rPr>
        <w:t>分的</w:t>
      </w:r>
      <w:r>
        <w:rPr>
          <w:rFonts w:ascii="Times New Roman" w:eastAsia="仿宋_GB2312" w:cs="Times New Roman" w:hAnsi="Times New Roman"/>
          <w:color w:val="000000"/>
          <w:sz w:val="32"/>
          <w:szCs w:val="32"/>
        </w:rPr>
        <w:t>1</w:t>
      </w:r>
      <w:r>
        <w:rPr>
          <w:rFonts w:ascii="Times New Roman" w:eastAsia="仿宋_GB2312" w:cs="Times New Roman" w:hAnsi="Times New Roman" w:hint="eastAsia"/>
          <w:color w:val="000000"/>
          <w:sz w:val="32"/>
          <w:szCs w:val="32"/>
        </w:rPr>
        <w:t>项。在部门决算公开中反映</w:t>
      </w:r>
      <w:r>
        <w:rPr>
          <w:rFonts w:ascii="Times New Roman" w:eastAsia="仿宋_GB2312" w:cs="Times New Roman" w:hAnsi="Times New Roman"/>
          <w:color w:val="000000"/>
          <w:sz w:val="32"/>
          <w:szCs w:val="32"/>
        </w:rPr>
        <w:t xml:space="preserve"> “</w:t>
      </w:r>
      <w:r>
        <w:rPr>
          <w:rFonts w:ascii="Times New Roman" w:eastAsia="仿宋_GB2312" w:cs="Times New Roman" w:hAnsi="Times New Roman" w:hint="eastAsia"/>
          <w:color w:val="000000"/>
          <w:sz w:val="32"/>
          <w:szCs w:val="32"/>
        </w:rPr>
        <w:t>财政投资评审工作经费、农村财会人员培训经费”等</w:t>
      </w:r>
      <w:r>
        <w:rPr>
          <w:rFonts w:ascii="Times New Roman" w:eastAsia="仿宋_GB2312" w:cs="Times New Roman" w:hAnsi="Times New Roman"/>
          <w:color w:val="000000"/>
          <w:sz w:val="32"/>
          <w:szCs w:val="32"/>
        </w:rPr>
        <w:t>1</w:t>
      </w:r>
      <w:r>
        <w:rPr>
          <w:rFonts w:ascii="Times New Roman" w:eastAsia="仿宋_GB2312" w:cs="Times New Roman" w:hAnsi="Times New Roman" w:hint="eastAsia"/>
          <w:color w:val="000000"/>
          <w:sz w:val="32"/>
          <w:szCs w:val="32"/>
        </w:rPr>
        <w:t>个项目绩效自评结果。</w:t>
      </w:r>
    </w:p>
    <w:p>
      <w:pPr>
        <w:widowControl/>
        <w:numPr>
          <w:ilvl w:val="0"/>
          <w:numId w:val="2"/>
        </w:numPr>
        <w:adjustRightInd w:val="0"/>
        <w:snapToGrid w:val="0"/>
        <w:spacing w:line="580" w:lineRule="exact"/>
        <w:ind w:left="0" w:firstLineChars="200" w:firstLine="640"/>
        <w:jc w:val="left"/>
        <w:rPr>
          <w:rFonts w:ascii="Times New Roman" w:eastAsia="仿宋_GB2312" w:cs="Times New Roman" w:hAnsi="Times New Roman"/>
          <w:color w:val="000000"/>
          <w:sz w:val="32"/>
          <w:szCs w:val="32"/>
        </w:rPr>
      </w:pPr>
      <w:r>
        <w:rPr>
          <w:rFonts w:ascii="Times New Roman" w:eastAsia="仿宋_GB2312" w:cs="Times New Roman" w:hAnsi="Times New Roman" w:hint="eastAsia"/>
          <w:color w:val="000000"/>
          <w:sz w:val="32"/>
          <w:szCs w:val="32"/>
        </w:rPr>
        <w:t>财政投资评审工作经费、农村财会人员培训经费：根据年初设定的绩效目标，财政投资评审工作经费、农村财会人员培训经费自评得分为</w:t>
      </w:r>
      <w:r>
        <w:rPr>
          <w:rFonts w:ascii="Times New Roman" w:eastAsia="仿宋_GB2312" w:cs="Times New Roman" w:hAnsi="Times New Roman"/>
          <w:color w:val="000000"/>
          <w:sz w:val="32"/>
          <w:szCs w:val="32"/>
        </w:rPr>
        <w:t>89.5</w:t>
      </w:r>
      <w:r>
        <w:rPr>
          <w:rFonts w:ascii="Times New Roman" w:eastAsia="仿宋_GB2312" w:cs="Times New Roman" w:hAnsi="Times New Roman" w:hint="eastAsia"/>
          <w:color w:val="000000"/>
          <w:sz w:val="32"/>
          <w:szCs w:val="32"/>
        </w:rPr>
        <w:t>分（绩效自评表附后）。全年预算数为</w:t>
      </w:r>
      <w:r>
        <w:rPr>
          <w:rFonts w:ascii="Times New Roman" w:eastAsia="仿宋_GB2312" w:cs="Times New Roman" w:hAnsi="Times New Roman"/>
          <w:color w:val="000000"/>
          <w:sz w:val="32"/>
          <w:szCs w:val="32"/>
        </w:rPr>
        <w:t>60.72</w:t>
      </w:r>
      <w:r>
        <w:rPr>
          <w:rFonts w:ascii="Times New Roman" w:eastAsia="仿宋_GB2312" w:cs="Times New Roman" w:hAnsi="Times New Roman" w:hint="eastAsia"/>
          <w:color w:val="000000"/>
          <w:sz w:val="32"/>
          <w:szCs w:val="32"/>
        </w:rPr>
        <w:t>万元，执行数为</w:t>
      </w:r>
      <w:r>
        <w:rPr>
          <w:rFonts w:ascii="Times New Roman" w:eastAsia="仿宋_GB2312" w:cs="Times New Roman" w:hAnsi="Times New Roman"/>
          <w:color w:val="000000"/>
          <w:sz w:val="32"/>
          <w:szCs w:val="32"/>
        </w:rPr>
        <w:t>57.72</w:t>
      </w:r>
      <w:r>
        <w:rPr>
          <w:rFonts w:ascii="Times New Roman" w:eastAsia="仿宋_GB2312" w:cs="Times New Roman" w:hAnsi="Times New Roman" w:hint="eastAsia"/>
          <w:color w:val="000000"/>
          <w:sz w:val="32"/>
          <w:szCs w:val="32"/>
        </w:rPr>
        <w:t>万元，完成预算的</w:t>
      </w:r>
      <w:r>
        <w:rPr>
          <w:rFonts w:ascii="Times New Roman" w:eastAsia="仿宋_GB2312" w:cs="Times New Roman" w:hAnsi="Times New Roman"/>
          <w:color w:val="000000"/>
          <w:sz w:val="32"/>
          <w:szCs w:val="32"/>
        </w:rPr>
        <w:t>95%</w:t>
      </w:r>
      <w:r>
        <w:rPr>
          <w:rFonts w:ascii="Times New Roman" w:eastAsia="仿宋_GB2312" w:cs="Times New Roman" w:hAnsi="Times New Roman" w:hint="eastAsia"/>
          <w:color w:val="000000"/>
          <w:sz w:val="32"/>
          <w:szCs w:val="32"/>
        </w:rPr>
        <w:t>。项目绩效目标完成情况：</w:t>
      </w:r>
      <w:r>
        <w:rPr>
          <w:rFonts w:ascii="仿宋_GB2312" w:eastAsia="仿宋_GB2312" w:cs="仿宋_GB2312" w:hint="eastAsia"/>
          <w:bCs/>
          <w:sz w:val="32"/>
          <w:szCs w:val="32"/>
        </w:rPr>
        <w:t>我局对专项资金的使用严格把关，严格按照项目内容实施，较好地完成了各项目标任务，取得了较好的社会效益。所有的项目都按照区委、区政府及财政的有关规定执行，所有拨入到我局的专项资金均实行国库集中支付管理，专款专用，专户管理，都能够按进度及时拨付到项目单位。</w:t>
      </w:r>
      <w:r>
        <w:rPr>
          <w:rFonts w:ascii="Times New Roman" w:eastAsia="仿宋_GB2312" w:cs="Times New Roman" w:hAnsi="Times New Roman" w:hint="eastAsia"/>
          <w:color w:val="000000"/>
          <w:sz w:val="32"/>
          <w:szCs w:val="32"/>
        </w:rPr>
        <w:t>发现的主要问题及原因：农村财会人员培训未开展。</w:t>
      </w:r>
    </w:p>
    <w:p>
      <w:pPr>
        <w:keepNext/>
        <w:keepLines/>
        <w:widowControl w:val="0"/>
        <w:numPr>
          <w:ilvl w:val="0"/>
          <w:numId w:val="3"/>
        </w:numPr>
        <w:snapToGrid w:val="0"/>
        <w:spacing w:line="580" w:lineRule="exact"/>
        <w:ind w:left="0" w:firstLineChars="200" w:firstLine="640"/>
        <w:outlineLvl w:val="1"/>
        <w:rPr>
          <w:rFonts w:ascii="Times New Roman" w:eastAsia="仿宋_GB2312" w:cs="Times New Roman" w:hAnsi="Times New Roman"/>
          <w:b/>
          <w:bCs/>
          <w:color w:val="000000"/>
          <w:sz w:val="32"/>
          <w:szCs w:val="32"/>
        </w:rPr>
      </w:pPr>
      <w:r>
        <w:rPr>
          <w:rFonts w:ascii="Times New Roman" w:eastAsia="仿宋_GB2312" w:cs="Times New Roman" w:hAnsi="Times New Roman" w:hint="eastAsia"/>
          <w:b/>
          <w:bCs/>
          <w:color w:val="000000"/>
          <w:sz w:val="32"/>
          <w:szCs w:val="32"/>
        </w:rPr>
        <w:t>财政评价项目绩效评价结果。无</w:t>
      </w:r>
    </w:p>
    <w:p>
      <w:pPr>
        <w:keepNext/>
        <w:keepLines/>
        <w:widowControl w:val="0"/>
        <w:snapToGrid w:val="0"/>
        <w:spacing w:line="580" w:lineRule="exact"/>
        <w:ind w:firstLineChars="200" w:firstLine="640"/>
        <w:outlineLvl w:val="1"/>
        <w:rPr>
          <w:rFonts w:ascii="Times New Roman" w:eastAsia="仿宋_GB2312" w:cs="Times New Roman" w:hAnsi="Times New Roman"/>
          <w:b/>
          <w:bCs/>
          <w:color w:val="000000"/>
          <w:sz w:val="32"/>
          <w:szCs w:val="32"/>
        </w:rPr>
      </w:pPr>
      <w:r>
        <w:rPr>
          <w:rFonts w:ascii="Times New Roman" w:eastAsia="仿宋_GB2312" w:cs="Times New Roman" w:hAnsi="Times New Roman"/>
          <w:b/>
          <w:bCs/>
          <w:color w:val="000000"/>
          <w:sz w:val="32"/>
          <w:szCs w:val="32"/>
        </w:rPr>
        <w:t>3.</w:t>
      </w:r>
      <w:r>
        <w:rPr>
          <w:rFonts w:ascii="Times New Roman" w:eastAsia="仿宋_GB2312" w:cs="Times New Roman" w:hAnsi="Times New Roman" w:hint="eastAsia"/>
          <w:b/>
          <w:bCs/>
          <w:color w:val="000000"/>
          <w:sz w:val="32"/>
          <w:szCs w:val="32"/>
        </w:rPr>
        <w:t>部门整体绩效自评结果。</w:t>
      </w:r>
      <w:r>
        <w:rPr>
          <w:rFonts w:ascii="Times New Roman" w:eastAsia="仿宋_GB2312" w:cs="Times New Roman" w:hAnsi="Times New Roman" w:hint="eastAsia"/>
          <w:sz w:val="32"/>
          <w:szCs w:val="32"/>
        </w:rPr>
        <w:t>本部门对</w:t>
      </w:r>
      <w:r>
        <w:rPr>
          <w:rFonts w:ascii="Times New Roman" w:eastAsia="仿宋_GB2312" w:cs="Times New Roman" w:hAnsi="Times New Roman"/>
          <w:sz w:val="32"/>
          <w:szCs w:val="32"/>
        </w:rPr>
        <w:t>2019</w:t>
      </w:r>
      <w:r>
        <w:rPr>
          <w:rFonts w:ascii="Times New Roman" w:eastAsia="仿宋_GB2312" w:cs="Times New Roman" w:hAnsi="Times New Roman" w:hint="eastAsia"/>
          <w:sz w:val="32"/>
          <w:szCs w:val="32"/>
        </w:rPr>
        <w:t>年度部门整体绩效进行自评价，自评得分</w:t>
      </w:r>
      <w:r>
        <w:rPr>
          <w:rFonts w:ascii="Times New Roman" w:eastAsia="仿宋_GB2312" w:cs="Times New Roman" w:hAnsi="Times New Roman"/>
          <w:sz w:val="32"/>
          <w:szCs w:val="32"/>
        </w:rPr>
        <w:t>89.5</w:t>
      </w:r>
      <w:r>
        <w:rPr>
          <w:rFonts w:ascii="Times New Roman" w:eastAsia="仿宋_GB2312" w:cs="Times New Roman" w:hAnsi="Times New Roman" w:hint="eastAsia"/>
          <w:sz w:val="32"/>
          <w:szCs w:val="32"/>
        </w:rPr>
        <w:t>分，评价等级为良。从评价情况来看，我局较好完成了</w:t>
      </w:r>
      <w:r>
        <w:rPr>
          <w:rFonts w:ascii="Times New Roman" w:eastAsia="仿宋_GB2312" w:cs="Times New Roman" w:hAnsi="Times New Roman"/>
          <w:sz w:val="32"/>
          <w:szCs w:val="32"/>
        </w:rPr>
        <w:t xml:space="preserve">2019 </w:t>
      </w:r>
      <w:r>
        <w:rPr>
          <w:rFonts w:ascii="Times New Roman" w:eastAsia="仿宋_GB2312" w:cs="Times New Roman" w:hAnsi="Times New Roman" w:hint="eastAsia"/>
          <w:sz w:val="32"/>
          <w:szCs w:val="32"/>
        </w:rPr>
        <w:t>年履行职能职责和各项重点工作任务，整体绩效情况较为理想，总体上达到了预算绩效管理的要求。</w:t>
      </w:r>
    </w:p>
    <w:p>
      <w:pPr>
        <w:rPr>
          <w:rFonts w:ascii="Times New Roman" w:cs="Times New Roman" w:hAnsi="Times New Roman"/>
          <w:color w:val="000000"/>
        </w:rPr>
      </w:pPr>
    </w:p>
    <w:p>
      <w:pPr>
        <w:keepNext/>
        <w:keepLines/>
        <w:widowControl w:val="0"/>
        <w:snapToGrid w:val="0"/>
        <w:spacing w:line="580" w:lineRule="exact"/>
        <w:outlineLvl w:val="1"/>
        <w:rPr>
          <w:rFonts w:ascii="Times New Roman" w:eastAsia="仿宋_GB2312" w:cs="Times New Roman" w:hAnsi="Times New Roman"/>
          <w:b/>
          <w:bCs/>
          <w:color w:val="000000"/>
          <w:sz w:val="32"/>
          <w:szCs w:val="32"/>
        </w:rPr>
      </w:pPr>
    </w:p>
    <w:tbl>
      <w:tblPr>
        <w:jc w:val="left"/>
        <w:tblInd w:w="30" w:type="dxa"/>
        <w:tblW w:w="9021"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586"/>
        <w:gridCol w:w="626"/>
        <w:gridCol w:w="1465"/>
        <w:gridCol w:w="730"/>
        <w:gridCol w:w="972"/>
        <w:gridCol w:w="28"/>
        <w:gridCol w:w="993"/>
        <w:gridCol w:w="927"/>
        <w:gridCol w:w="196"/>
        <w:gridCol w:w="336"/>
        <w:gridCol w:w="434"/>
        <w:gridCol w:w="112"/>
        <w:gridCol w:w="784"/>
        <w:gridCol w:w="646"/>
        <w:gridCol w:w="186"/>
      </w:tblGrid>
      <w:tr>
        <w:trPr>
          <w:trHeight w:val="375"/>
          <w:gridAfter w:val="1"/>
          <w:wAfter w:w="186" w:type="dxa"/>
        </w:trPr>
        <w:tc>
          <w:tcPr>
            <w:tcW w:w="8835" w:type="dxa"/>
            <w:gridSpan w:val="14"/>
            <w:tcBorders>
              <w:top w:val="nil"/>
              <w:left w:val="nil"/>
              <w:bottom w:val="nil"/>
              <w:right w:val="nil"/>
            </w:tcBorders>
            <w:tcMar>
              <w:top w:w="15" w:type="dxa"/>
              <w:left w:w="15" w:type="dxa"/>
              <w:right w:w="15" w:type="dxa"/>
            </w:tcMar>
            <w:vAlign w:val="center"/>
          </w:tcPr>
          <w:p>
            <w:pPr>
              <w:widowControl/>
              <w:jc w:val="center"/>
              <w:textAlignment w:val="center"/>
              <w:rPr>
                <w:rFonts w:ascii="Times New Roman" w:eastAsia="仿宋_GB2312" w:cs="Times New Roman" w:hAnsi="Times New Roman"/>
                <w:b/>
                <w:bCs/>
                <w:color w:val="000000"/>
                <w:sz w:val="32"/>
                <w:szCs w:val="32"/>
              </w:rPr>
            </w:pPr>
          </w:p>
          <w:p>
            <w:pPr>
              <w:widowControl/>
              <w:jc w:val="center"/>
              <w:textAlignment w:val="center"/>
              <w:rPr>
                <w:rFonts w:ascii="Times New Roman" w:eastAsia="仿宋_GB2312" w:cs="Times New Roman" w:hAnsi="Times New Roman"/>
                <w:b/>
                <w:bCs/>
                <w:color w:val="000000"/>
                <w:sz w:val="32"/>
                <w:szCs w:val="32"/>
              </w:rPr>
            </w:pPr>
          </w:p>
          <w:p>
            <w:pPr>
              <w:widowControl/>
              <w:jc w:val="center"/>
              <w:textAlignment w:val="center"/>
              <w:rPr>
                <w:rFonts w:ascii="Times New Roman" w:eastAsia="仿宋_GB2312" w:cs="Times New Roman" w:hAnsi="Times New Roman"/>
                <w:b/>
                <w:bCs/>
                <w:color w:val="000000"/>
                <w:sz w:val="32"/>
                <w:szCs w:val="32"/>
              </w:rPr>
            </w:pPr>
          </w:p>
          <w:p>
            <w:pPr>
              <w:widowControl/>
              <w:jc w:val="center"/>
              <w:textAlignment w:val="center"/>
              <w:rPr>
                <w:rFonts w:ascii="Times New Roman" w:eastAsia="仿宋_GB2312" w:cs="Times New Roman" w:hAnsi="Times New Roman"/>
                <w:b/>
                <w:bCs/>
                <w:color w:val="000000"/>
                <w:sz w:val="32"/>
                <w:szCs w:val="32"/>
              </w:rPr>
            </w:pPr>
          </w:p>
          <w:p>
            <w:pPr>
              <w:widowControl/>
              <w:jc w:val="center"/>
              <w:textAlignment w:val="center"/>
              <w:rPr>
                <w:rFonts w:ascii="Times New Roman" w:eastAsia="仿宋_GB2312" w:cs="Times New Roman" w:hAnsi="Times New Roman"/>
                <w:b/>
                <w:bCs/>
                <w:color w:val="000000"/>
                <w:sz w:val="32"/>
                <w:szCs w:val="32"/>
              </w:rPr>
            </w:pPr>
          </w:p>
          <w:p>
            <w:pPr>
              <w:widowControl/>
              <w:jc w:val="center"/>
              <w:textAlignment w:val="center"/>
              <w:rPr>
                <w:rFonts w:ascii="Times New Roman" w:eastAsia="仿宋_GB2312" w:cs="Times New Roman" w:hAnsi="Times New Roman"/>
                <w:b/>
                <w:bCs/>
                <w:color w:val="000000"/>
                <w:sz w:val="32"/>
                <w:szCs w:val="32"/>
              </w:rPr>
            </w:pPr>
          </w:p>
          <w:p>
            <w:pPr>
              <w:widowControl/>
              <w:jc w:val="center"/>
              <w:textAlignment w:val="center"/>
              <w:rPr>
                <w:rFonts w:ascii="Times New Roman" w:eastAsia="仿宋_GB2312" w:cs="Times New Roman" w:hAnsi="Times New Roman"/>
                <w:b/>
                <w:bCs/>
                <w:color w:val="000000"/>
                <w:sz w:val="32"/>
                <w:szCs w:val="32"/>
              </w:rPr>
            </w:pPr>
          </w:p>
          <w:p>
            <w:pPr>
              <w:widowControl/>
              <w:jc w:val="center"/>
              <w:textAlignment w:val="center"/>
              <w:rPr>
                <w:rFonts w:ascii="Times New Roman" w:eastAsia="仿宋_GB2312" w:cs="Times New Roman" w:hAnsi="Times New Roman"/>
                <w:b/>
                <w:bCs/>
                <w:color w:val="000000"/>
                <w:sz w:val="32"/>
                <w:szCs w:val="32"/>
              </w:rPr>
            </w:pPr>
          </w:p>
          <w:p>
            <w:pPr>
              <w:widowControl/>
              <w:jc w:val="center"/>
              <w:textAlignment w:val="center"/>
              <w:rPr>
                <w:rFonts w:ascii="Times New Roman" w:eastAsia="仿宋_GB2312" w:cs="Times New Roman" w:hAnsi="Times New Roman"/>
                <w:b/>
                <w:bCs/>
                <w:color w:val="000000"/>
                <w:sz w:val="32"/>
                <w:szCs w:val="32"/>
              </w:rPr>
            </w:pPr>
          </w:p>
          <w:p>
            <w:pPr>
              <w:widowControl/>
              <w:jc w:val="center"/>
              <w:textAlignment w:val="center"/>
              <w:rPr>
                <w:rFonts w:ascii="Times New Roman" w:eastAsia="仿宋_GB2312" w:cs="Times New Roman" w:hAnsi="Times New Roman"/>
                <w:b/>
                <w:bCs/>
                <w:color w:val="000000"/>
                <w:sz w:val="32"/>
                <w:szCs w:val="32"/>
              </w:rPr>
            </w:pPr>
          </w:p>
          <w:p>
            <w:pPr>
              <w:widowControl/>
              <w:jc w:val="center"/>
              <w:textAlignment w:val="center"/>
              <w:rPr>
                <w:rFonts w:ascii="Times New Roman" w:eastAsia="仿宋_GB2312" w:cs="Times New Roman" w:hAnsi="Times New Roman"/>
                <w:b/>
                <w:bCs/>
                <w:color w:val="000000"/>
                <w:sz w:val="32"/>
                <w:szCs w:val="32"/>
              </w:rPr>
            </w:pPr>
          </w:p>
          <w:p>
            <w:pPr>
              <w:widowControl/>
              <w:jc w:val="center"/>
              <w:textAlignment w:val="center"/>
              <w:rPr>
                <w:rFonts w:ascii="Times New Roman" w:eastAsia="仿宋_GB2312" w:cs="Times New Roman" w:hAnsi="Times New Roman"/>
                <w:b/>
                <w:bCs/>
                <w:color w:val="000000"/>
                <w:sz w:val="32"/>
                <w:szCs w:val="32"/>
              </w:rPr>
            </w:pPr>
          </w:p>
          <w:p>
            <w:pPr>
              <w:widowControl/>
              <w:jc w:val="center"/>
              <w:textAlignment w:val="center"/>
              <w:rPr>
                <w:rFonts w:ascii="Times New Roman" w:eastAsia="仿宋_GB2312" w:cs="Times New Roman" w:hAnsi="Times New Roman"/>
                <w:b/>
                <w:bCs/>
                <w:color w:val="000000"/>
                <w:sz w:val="32"/>
                <w:szCs w:val="32"/>
              </w:rPr>
            </w:pPr>
          </w:p>
          <w:p>
            <w:pPr>
              <w:widowControl/>
              <w:jc w:val="center"/>
              <w:textAlignment w:val="center"/>
              <w:rPr>
                <w:rFonts w:ascii="Times New Roman" w:eastAsia="仿宋_GB2312" w:cs="Times New Roman" w:hAnsi="Times New Roman"/>
                <w:b/>
                <w:bCs/>
                <w:color w:val="000000"/>
                <w:sz w:val="32"/>
                <w:szCs w:val="32"/>
              </w:rPr>
            </w:pPr>
          </w:p>
          <w:p>
            <w:pPr>
              <w:widowControl/>
              <w:jc w:val="center"/>
              <w:textAlignment w:val="center"/>
              <w:rPr>
                <w:rFonts w:ascii="Times New Roman" w:eastAsia="仿宋_GB2312" w:cs="Times New Roman" w:hAnsi="Times New Roman"/>
                <w:b/>
                <w:bCs/>
                <w:color w:val="000000"/>
                <w:sz w:val="32"/>
                <w:szCs w:val="32"/>
              </w:rPr>
            </w:pPr>
          </w:p>
          <w:p>
            <w:pPr>
              <w:widowControl/>
              <w:jc w:val="center"/>
              <w:textAlignment w:val="center"/>
              <w:rPr>
                <w:rFonts w:ascii="Times New Roman" w:eastAsia="仿宋_GB2312" w:cs="Times New Roman" w:hAnsi="Times New Roman"/>
                <w:b/>
                <w:bCs/>
                <w:color w:val="000000"/>
                <w:sz w:val="32"/>
                <w:szCs w:val="32"/>
              </w:rPr>
            </w:pPr>
          </w:p>
          <w:p>
            <w:pPr>
              <w:widowControl/>
              <w:jc w:val="center"/>
              <w:textAlignment w:val="center"/>
              <w:rPr>
                <w:rFonts w:ascii="Times New Roman" w:eastAsia="仿宋_GB2312" w:cs="Times New Roman" w:hAnsi="Times New Roman"/>
                <w:b/>
                <w:bCs/>
                <w:color w:val="000000"/>
                <w:sz w:val="32"/>
                <w:szCs w:val="32"/>
              </w:rPr>
            </w:pPr>
            <w:r>
              <w:rPr>
                <w:rFonts w:ascii="Times New Roman" w:eastAsia="仿宋_GB2312" w:cs="Times New Roman" w:hAnsi="Times New Roman" w:hint="eastAsia"/>
                <w:b/>
                <w:bCs/>
                <w:color w:val="000000"/>
                <w:sz w:val="32"/>
                <w:szCs w:val="32"/>
              </w:rPr>
              <w:t>项目支出绩效自评表</w:t>
            </w:r>
          </w:p>
        </w:tc>
      </w:tr>
      <w:tr>
        <w:trPr>
          <w:trHeight w:val="259"/>
        </w:trPr>
        <w:tc>
          <w:tcPr>
            <w:tcW w:w="9021" w:type="dxa"/>
            <w:gridSpan w:val="15"/>
            <w:tcBorders>
              <w:top w:val="nil"/>
              <w:left w:val="nil"/>
              <w:bottom w:val="nil"/>
              <w:right w:val="nil"/>
            </w:tcBorders>
          </w:tcPr>
          <w:p>
            <w:pPr>
              <w:widowControl/>
              <w:spacing w:line="240" w:lineRule="exact"/>
              <w:jc w:val="center"/>
              <w:rPr>
                <w:kern w:val="0"/>
                <w:sz w:val="22"/>
              </w:rPr>
            </w:pPr>
            <w:r>
              <w:rPr>
                <w:rFonts w:eastAsia="仿宋_GB2312" w:hint="eastAsia"/>
                <w:kern w:val="0"/>
                <w:sz w:val="24"/>
              </w:rPr>
              <w:t>（</w:t>
            </w:r>
            <w:r>
              <w:rPr>
                <w:rFonts w:eastAsia="仿宋_GB2312"/>
                <w:kern w:val="0"/>
                <w:sz w:val="24"/>
              </w:rPr>
              <w:t xml:space="preserve">    2019</w:t>
            </w:r>
            <w:r>
              <w:rPr>
                <w:rFonts w:eastAsia="仿宋_GB2312" w:hint="eastAsia"/>
                <w:kern w:val="0"/>
                <w:sz w:val="24"/>
              </w:rPr>
              <w:t>年度）</w:t>
            </w:r>
          </w:p>
        </w:tc>
      </w:tr>
      <w:tr>
        <w:trPr>
          <w:trHeight w:val="380"/>
        </w:trPr>
        <w:tc>
          <w:tcPr>
            <w:tcW w:w="1212"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项目名称</w:t>
            </w:r>
          </w:p>
        </w:tc>
        <w:tc>
          <w:tcPr>
            <w:tcW w:w="7809" w:type="dxa"/>
            <w:gridSpan w:val="1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财政投资评审工作经费、农村财会人员培训</w:t>
            </w:r>
          </w:p>
        </w:tc>
      </w:tr>
      <w:tr>
        <w:trPr>
          <w:trHeight w:val="300"/>
        </w:trPr>
        <w:tc>
          <w:tcPr>
            <w:tcW w:w="1212"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主管部门</w:t>
            </w:r>
          </w:p>
        </w:tc>
        <w:tc>
          <w:tcPr>
            <w:tcW w:w="4188"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实施单位</w:t>
            </w:r>
          </w:p>
        </w:tc>
        <w:tc>
          <w:tcPr>
            <w:tcW w:w="2498"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广阳区财政局</w:t>
            </w:r>
          </w:p>
        </w:tc>
      </w:tr>
      <w:tr>
        <w:tc>
          <w:tcPr>
            <w:tcW w:w="1212"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项目资金</w:t>
            </w:r>
            <w:r>
              <w:rPr>
                <w:rFonts w:eastAsia="仿宋_GB2312"/>
                <w:kern w:val="0"/>
                <w:sz w:val="24"/>
              </w:rPr>
              <w:br/>
            </w:r>
            <w:r>
              <w:rPr>
                <w:rFonts w:eastAsia="仿宋_GB2312" w:hint="eastAsia"/>
                <w:kern w:val="0"/>
                <w:sz w:val="24"/>
              </w:rPr>
              <w:t>（万元）</w:t>
            </w:r>
          </w:p>
        </w:tc>
        <w:tc>
          <w:tcPr>
            <w:tcW w:w="2195"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000"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年初</w:t>
            </w:r>
          </w:p>
          <w:p>
            <w:pPr>
              <w:widowControl/>
              <w:spacing w:line="240" w:lineRule="exact"/>
              <w:jc w:val="center"/>
              <w:rPr>
                <w:rFonts w:eastAsia="仿宋_GB2312"/>
                <w:kern w:val="0"/>
                <w:sz w:val="24"/>
              </w:rPr>
            </w:pPr>
            <w:r>
              <w:rPr>
                <w:rFonts w:eastAsia="仿宋_GB2312" w:hint="eastAsia"/>
                <w:kern w:val="0"/>
                <w:sz w:val="24"/>
              </w:rPr>
              <w:t>预算数</w:t>
            </w:r>
          </w:p>
        </w:tc>
        <w:tc>
          <w:tcPr>
            <w:tcW w:w="993"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全年</w:t>
            </w:r>
          </w:p>
          <w:p>
            <w:pPr>
              <w:widowControl/>
              <w:spacing w:line="240" w:lineRule="exact"/>
              <w:jc w:val="center"/>
              <w:rPr>
                <w:rFonts w:eastAsia="仿宋_GB2312"/>
                <w:kern w:val="0"/>
                <w:sz w:val="24"/>
              </w:rPr>
            </w:pPr>
            <w:r>
              <w:rPr>
                <w:rFonts w:eastAsia="仿宋_GB2312" w:hint="eastAsia"/>
                <w:kern w:val="0"/>
                <w:sz w:val="24"/>
              </w:rPr>
              <w:t>预算数</w:t>
            </w:r>
          </w:p>
        </w:tc>
        <w:tc>
          <w:tcPr>
            <w:tcW w:w="1123"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全年</w:t>
            </w:r>
          </w:p>
          <w:p>
            <w:pPr>
              <w:widowControl/>
              <w:spacing w:line="240" w:lineRule="exact"/>
              <w:jc w:val="center"/>
              <w:rPr>
                <w:rFonts w:eastAsia="仿宋_GB2312"/>
                <w:kern w:val="0"/>
                <w:sz w:val="24"/>
              </w:rPr>
            </w:pPr>
            <w:r>
              <w:rPr>
                <w:rFonts w:eastAsia="仿宋_GB2312" w:hint="eastAsia"/>
                <w:kern w:val="0"/>
                <w:sz w:val="24"/>
              </w:rPr>
              <w:t>执行数</w:t>
            </w:r>
          </w:p>
        </w:tc>
        <w:tc>
          <w:tcPr>
            <w:tcW w:w="770"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分值</w:t>
            </w:r>
          </w:p>
        </w:tc>
        <w:tc>
          <w:tcPr>
            <w:tcW w:w="89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执行率</w:t>
            </w:r>
          </w:p>
        </w:tc>
        <w:tc>
          <w:tcPr>
            <w:tcW w:w="8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得分</w:t>
            </w:r>
          </w:p>
        </w:tc>
      </w:tr>
      <w:tr>
        <w:tc>
          <w:tcPr>
            <w:tcW w:w="1212" w:type="dxa"/>
            <w:gridSpan w:val="2"/>
            <w:vMerge/>
            <w:tcBorders>
              <w:top w:val="single" w:sz="4" w:space="0" w:color="auto"/>
              <w:left w:val="single" w:sz="4" w:space="0" w:color="auto"/>
              <w:bottom w:val="single" w:sz="4" w:space="0" w:color="auto"/>
              <w:right w:val="single" w:sz="4" w:space="0" w:color="auto"/>
            </w:tcBorders>
            <w:vAlign w:val="center"/>
          </w:tcPr>
          <w:p/>
        </w:tc>
        <w:tc>
          <w:tcPr>
            <w:tcW w:w="2195"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eastAsia="仿宋_GB2312"/>
                <w:kern w:val="0"/>
                <w:sz w:val="24"/>
              </w:rPr>
            </w:pPr>
            <w:r>
              <w:rPr>
                <w:rFonts w:eastAsia="仿宋_GB2312" w:hint="eastAsia"/>
                <w:kern w:val="0"/>
                <w:sz w:val="24"/>
              </w:rPr>
              <w:t>年度资金总额</w:t>
            </w:r>
          </w:p>
        </w:tc>
        <w:tc>
          <w:tcPr>
            <w:tcW w:w="1000"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60.72</w:t>
            </w:r>
          </w:p>
        </w:tc>
        <w:tc>
          <w:tcPr>
            <w:tcW w:w="993"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60.72</w:t>
            </w:r>
          </w:p>
        </w:tc>
        <w:tc>
          <w:tcPr>
            <w:tcW w:w="1123"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57.72</w:t>
            </w:r>
          </w:p>
        </w:tc>
        <w:tc>
          <w:tcPr>
            <w:tcW w:w="770"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10</w:t>
            </w:r>
          </w:p>
        </w:tc>
        <w:tc>
          <w:tcPr>
            <w:tcW w:w="89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95%</w:t>
            </w:r>
          </w:p>
        </w:tc>
        <w:tc>
          <w:tcPr>
            <w:tcW w:w="8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9.5</w:t>
            </w:r>
          </w:p>
        </w:tc>
      </w:tr>
      <w:tr>
        <w:trPr>
          <w:trHeight w:val="270"/>
        </w:trPr>
        <w:tc>
          <w:tcPr>
            <w:tcW w:w="1212" w:type="dxa"/>
            <w:gridSpan w:val="2"/>
            <w:vMerge/>
            <w:tcBorders>
              <w:top w:val="single" w:sz="4" w:space="0" w:color="auto"/>
              <w:left w:val="single" w:sz="4" w:space="0" w:color="auto"/>
              <w:bottom w:val="single" w:sz="4" w:space="0" w:color="auto"/>
              <w:right w:val="single" w:sz="4" w:space="0" w:color="auto"/>
            </w:tcBorders>
            <w:vAlign w:val="center"/>
          </w:tcPr>
          <w:p/>
        </w:tc>
        <w:tc>
          <w:tcPr>
            <w:tcW w:w="2195"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kern w:val="0"/>
                <w:sz w:val="24"/>
              </w:rPr>
            </w:pPr>
            <w:r>
              <w:rPr>
                <w:rFonts w:eastAsia="仿宋_GB2312" w:hint="eastAsia"/>
                <w:kern w:val="0"/>
                <w:sz w:val="24"/>
              </w:rPr>
              <w:t>其中：当年财政拨款</w:t>
            </w:r>
          </w:p>
        </w:tc>
        <w:tc>
          <w:tcPr>
            <w:tcW w:w="1000"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60.72</w:t>
            </w:r>
          </w:p>
        </w:tc>
        <w:tc>
          <w:tcPr>
            <w:tcW w:w="993"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8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w:t>
            </w:r>
          </w:p>
        </w:tc>
      </w:tr>
      <w:tr>
        <w:tc>
          <w:tcPr>
            <w:tcW w:w="1212" w:type="dxa"/>
            <w:gridSpan w:val="2"/>
            <w:vMerge/>
            <w:tcBorders>
              <w:top w:val="single" w:sz="4" w:space="0" w:color="auto"/>
              <w:left w:val="single" w:sz="4" w:space="0" w:color="auto"/>
              <w:bottom w:val="single" w:sz="4" w:space="0" w:color="auto"/>
              <w:right w:val="single" w:sz="4" w:space="0" w:color="auto"/>
            </w:tcBorders>
            <w:vAlign w:val="center"/>
          </w:tcPr>
          <w:p/>
        </w:tc>
        <w:tc>
          <w:tcPr>
            <w:tcW w:w="2195"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kern w:val="0"/>
                <w:sz w:val="24"/>
              </w:rPr>
            </w:pPr>
            <w:r>
              <w:rPr>
                <w:rFonts w:eastAsia="仿宋_GB2312"/>
                <w:kern w:val="0"/>
                <w:sz w:val="24"/>
              </w:rPr>
              <w:t xml:space="preserve">      </w:t>
            </w:r>
            <w:r>
              <w:rPr>
                <w:rFonts w:eastAsia="仿宋_GB2312" w:hint="eastAsia"/>
                <w:kern w:val="0"/>
                <w:sz w:val="24"/>
              </w:rPr>
              <w:t>上年结转资金</w:t>
            </w:r>
          </w:p>
        </w:tc>
        <w:tc>
          <w:tcPr>
            <w:tcW w:w="1000"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8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w:t>
            </w:r>
          </w:p>
        </w:tc>
      </w:tr>
      <w:tr>
        <w:tc>
          <w:tcPr>
            <w:tcW w:w="1212" w:type="dxa"/>
            <w:gridSpan w:val="2"/>
            <w:vMerge/>
            <w:tcBorders>
              <w:top w:val="single" w:sz="4" w:space="0" w:color="auto"/>
              <w:left w:val="single" w:sz="4" w:space="0" w:color="auto"/>
              <w:bottom w:val="single" w:sz="4" w:space="0" w:color="auto"/>
              <w:right w:val="single" w:sz="4" w:space="0" w:color="auto"/>
            </w:tcBorders>
            <w:vAlign w:val="center"/>
          </w:tcPr>
          <w:p/>
        </w:tc>
        <w:tc>
          <w:tcPr>
            <w:tcW w:w="2195"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 xml:space="preserve">  </w:t>
            </w:r>
            <w:r>
              <w:rPr>
                <w:rFonts w:eastAsia="仿宋_GB2312" w:hint="eastAsia"/>
                <w:kern w:val="0"/>
                <w:sz w:val="24"/>
              </w:rPr>
              <w:t>其他资金</w:t>
            </w:r>
          </w:p>
        </w:tc>
        <w:tc>
          <w:tcPr>
            <w:tcW w:w="1000"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8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w:t>
            </w:r>
          </w:p>
        </w:tc>
      </w:tr>
      <w:tr>
        <w:tc>
          <w:tcPr>
            <w:tcW w:w="586"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年度总体目标</w:t>
            </w:r>
          </w:p>
        </w:tc>
        <w:tc>
          <w:tcPr>
            <w:tcW w:w="4814"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预期目标</w:t>
            </w:r>
          </w:p>
        </w:tc>
        <w:tc>
          <w:tcPr>
            <w:tcW w:w="3621" w:type="dxa"/>
            <w:gridSpan w:val="8"/>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实际完成情况</w:t>
            </w:r>
          </w:p>
        </w:tc>
      </w:tr>
      <w:tr>
        <w:tc>
          <w:tcPr>
            <w:tcW w:w="586" w:type="dxa"/>
            <w:vMerge/>
            <w:tcBorders>
              <w:top w:val="nil"/>
              <w:left w:val="single" w:sz="4" w:space="0" w:color="auto"/>
              <w:bottom w:val="single" w:sz="4" w:space="0" w:color="auto"/>
              <w:right w:val="single" w:sz="4" w:space="0" w:color="auto"/>
            </w:tcBorders>
            <w:vAlign w:val="center"/>
          </w:tcPr>
          <w:p/>
        </w:tc>
        <w:tc>
          <w:tcPr>
            <w:tcW w:w="4814" w:type="dxa"/>
            <w:gridSpan w:val="6"/>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kern w:val="0"/>
                <w:sz w:val="24"/>
              </w:rPr>
            </w:pPr>
            <w:r>
              <w:rPr>
                <w:rFonts w:eastAsia="仿宋_GB2312" w:hint="eastAsia"/>
                <w:kern w:val="0"/>
                <w:sz w:val="24"/>
              </w:rPr>
              <w:t>对财政性资金拟安排的建设项目预算进行评价审查；对已安排的建设项目、建设项目竣工财务结（决）算以及建设类项目投资效果进行评价审查，对财政专项资金安排的项目进行追踪问效和核查；对农村财会人员进行培训。</w:t>
            </w:r>
          </w:p>
        </w:tc>
        <w:tc>
          <w:tcPr>
            <w:tcW w:w="3621" w:type="dxa"/>
            <w:gridSpan w:val="8"/>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kern w:val="0"/>
                <w:sz w:val="24"/>
              </w:rPr>
            </w:pPr>
            <w:r>
              <w:rPr>
                <w:rFonts w:eastAsia="仿宋_GB2312" w:hint="eastAsia"/>
                <w:kern w:val="0"/>
                <w:szCs w:val="21"/>
              </w:rPr>
              <w:t>对财政性资金拟安排的建设项目预算进行评价审查；对已安排的建设项目、建设项目竣工财务结（决）算以及建设类项目投资效果进行评价审查，对财政专项资金安排的项目进行追踪问效和核查。</w:t>
            </w:r>
          </w:p>
        </w:tc>
      </w:tr>
      <w:tr>
        <w:trPr>
          <w:trHeight w:val="685"/>
        </w:trPr>
        <w:tc>
          <w:tcPr>
            <w:tcW w:w="586" w:type="dxa"/>
            <w:vMerge w:val="restart"/>
            <w:tcBorders>
              <w:top w:val="nil"/>
              <w:left w:val="single" w:sz="4" w:space="0" w:color="auto"/>
              <w:bottom w:val="nil"/>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绩</w:t>
            </w:r>
            <w:r>
              <w:rPr>
                <w:rFonts w:eastAsia="仿宋_GB2312"/>
                <w:kern w:val="0"/>
                <w:sz w:val="24"/>
              </w:rPr>
              <w:br/>
            </w:r>
            <w:r>
              <w:rPr>
                <w:rFonts w:eastAsia="仿宋_GB2312" w:hint="eastAsia"/>
                <w:kern w:val="0"/>
                <w:sz w:val="24"/>
              </w:rPr>
              <w:t>效</w:t>
            </w:r>
            <w:r>
              <w:rPr>
                <w:rFonts w:eastAsia="仿宋_GB2312"/>
                <w:kern w:val="0"/>
                <w:sz w:val="24"/>
              </w:rPr>
              <w:br/>
            </w:r>
            <w:r>
              <w:rPr>
                <w:rFonts w:eastAsia="仿宋_GB2312" w:hint="eastAsia"/>
                <w:kern w:val="0"/>
                <w:sz w:val="24"/>
              </w:rPr>
              <w:t>指</w:t>
            </w:r>
            <w:r>
              <w:rPr>
                <w:rFonts w:eastAsia="仿宋_GB2312"/>
                <w:kern w:val="0"/>
                <w:sz w:val="24"/>
              </w:rPr>
              <w:br/>
            </w:r>
            <w:r>
              <w:rPr>
                <w:rFonts w:eastAsia="仿宋_GB2312" w:hint="eastAsia"/>
                <w:kern w:val="0"/>
                <w:sz w:val="24"/>
              </w:rPr>
              <w:t>标</w:t>
            </w:r>
          </w:p>
        </w:tc>
        <w:tc>
          <w:tcPr>
            <w:tcW w:w="626"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一级指标</w:t>
            </w:r>
          </w:p>
        </w:tc>
        <w:tc>
          <w:tcPr>
            <w:tcW w:w="1465"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二级指标</w:t>
            </w: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三级指标</w:t>
            </w:r>
          </w:p>
        </w:tc>
        <w:tc>
          <w:tcPr>
            <w:tcW w:w="1021"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年度</w:t>
            </w:r>
          </w:p>
          <w:p>
            <w:pPr>
              <w:widowControl/>
              <w:spacing w:line="240" w:lineRule="exact"/>
              <w:jc w:val="center"/>
              <w:rPr>
                <w:rFonts w:eastAsia="仿宋_GB2312"/>
                <w:kern w:val="0"/>
                <w:sz w:val="24"/>
              </w:rPr>
            </w:pPr>
            <w:r>
              <w:rPr>
                <w:rFonts w:eastAsia="仿宋_GB2312" w:hint="eastAsia"/>
                <w:kern w:val="0"/>
                <w:sz w:val="24"/>
              </w:rPr>
              <w:t>指标值</w:t>
            </w:r>
          </w:p>
        </w:tc>
        <w:tc>
          <w:tcPr>
            <w:tcW w:w="927"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实际</w:t>
            </w:r>
          </w:p>
          <w:p>
            <w:pPr>
              <w:widowControl/>
              <w:spacing w:line="240" w:lineRule="exact"/>
              <w:jc w:val="center"/>
              <w:rPr>
                <w:rFonts w:eastAsia="仿宋_GB2312"/>
                <w:kern w:val="0"/>
                <w:sz w:val="24"/>
              </w:rPr>
            </w:pPr>
            <w:r>
              <w:rPr>
                <w:rFonts w:eastAsia="仿宋_GB2312" w:hint="eastAsia"/>
                <w:kern w:val="0"/>
                <w:sz w:val="24"/>
              </w:rPr>
              <w:t>完成值</w:t>
            </w: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分值</w:t>
            </w: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得分</w:t>
            </w:r>
          </w:p>
        </w:tc>
        <w:tc>
          <w:tcPr>
            <w:tcW w:w="161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偏差原因分析及改进措施</w:t>
            </w:r>
          </w:p>
        </w:tc>
      </w:tr>
      <w:tr>
        <w:trPr>
          <w:trHeight w:val="1670"/>
        </w:trPr>
        <w:tc>
          <w:tcPr>
            <w:tcW w:w="586" w:type="dxa"/>
            <w:vMerge/>
            <w:tcBorders>
              <w:top w:val="nil"/>
              <w:left w:val="single" w:sz="4" w:space="0" w:color="auto"/>
              <w:bottom w:val="single" w:sz="4" w:space="0" w:color="auto"/>
              <w:right w:val="single" w:sz="4" w:space="0" w:color="auto"/>
            </w:tcBorders>
            <w:vAlign w:val="center"/>
          </w:tcPr>
          <w:p/>
        </w:tc>
        <w:tc>
          <w:tcPr>
            <w:tcW w:w="626" w:type="dxa"/>
            <w:vMerge w:val="restart"/>
            <w:tcBorders>
              <w:top w:val="nil"/>
              <w:left w:val="single" w:sz="4" w:space="0" w:color="auto"/>
              <w:right w:val="single" w:sz="4" w:space="0" w:color="auto"/>
            </w:tcBorders>
            <w:vAlign w:val="center"/>
          </w:tcPr>
          <w:p>
            <w:pPr>
              <w:rPr>
                <w:rFonts w:eastAsia="宋体"/>
              </w:rPr>
            </w:pPr>
            <w:r>
              <w:rPr>
                <w:rFonts w:hint="eastAsia"/>
              </w:rPr>
              <w:t>产出指标</w:t>
            </w:r>
          </w:p>
        </w:tc>
        <w:tc>
          <w:tcPr>
            <w:tcW w:w="1465" w:type="dxa"/>
            <w:vMerge w:val="restart"/>
            <w:tcBorders>
              <w:top w:val="nil"/>
              <w:left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质量指标</w:t>
            </w: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Cs w:val="21"/>
              </w:rPr>
            </w:pPr>
            <w:r>
              <w:rPr>
                <w:rFonts w:eastAsia="仿宋_GB2312" w:hint="eastAsia"/>
                <w:color w:val="000000"/>
                <w:kern w:val="0"/>
                <w:szCs w:val="21"/>
              </w:rPr>
              <w:t>对已安排建设项目、建设项目竣工财务（决）算以及建设类项目投资效果进行评价审查完成率（</w:t>
            </w:r>
            <w:r>
              <w:rPr>
                <w:rFonts w:eastAsia="仿宋_GB2312"/>
                <w:color w:val="000000"/>
                <w:kern w:val="0"/>
                <w:szCs w:val="21"/>
              </w:rPr>
              <w:t>%</w:t>
            </w:r>
            <w:r>
              <w:rPr>
                <w:rFonts w:eastAsia="仿宋_GB2312" w:hint="eastAsia"/>
                <w:color w:val="000000"/>
                <w:kern w:val="0"/>
                <w:szCs w:val="21"/>
              </w:rPr>
              <w:t>）</w:t>
            </w:r>
          </w:p>
        </w:tc>
        <w:tc>
          <w:tcPr>
            <w:tcW w:w="1021"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w:t>
            </w:r>
            <w:r>
              <w:rPr>
                <w:rFonts w:eastAsia="仿宋_GB2312"/>
                <w:kern w:val="0"/>
                <w:sz w:val="24"/>
              </w:rPr>
              <w:t>85%</w:t>
            </w:r>
          </w:p>
        </w:tc>
        <w:tc>
          <w:tcPr>
            <w:tcW w:w="927"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100%</w:t>
            </w: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20</w:t>
            </w: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20</w:t>
            </w:r>
          </w:p>
        </w:tc>
        <w:tc>
          <w:tcPr>
            <w:tcW w:w="161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935"/>
        </w:trPr>
        <w:tc>
          <w:tcPr>
            <w:tcW w:w="586" w:type="dxa"/>
            <w:vMerge/>
            <w:tcBorders>
              <w:top w:val="nil"/>
              <w:left w:val="single" w:sz="4" w:space="0" w:color="auto"/>
              <w:bottom w:val="single" w:sz="4" w:space="0" w:color="auto"/>
              <w:right w:val="single" w:sz="4" w:space="0" w:color="auto"/>
            </w:tcBorders>
            <w:vAlign w:val="center"/>
          </w:tcPr>
          <w:p/>
        </w:tc>
        <w:tc>
          <w:tcPr>
            <w:tcW w:w="626" w:type="dxa"/>
            <w:vMerge/>
            <w:tcBorders>
              <w:left w:val="single" w:sz="4" w:space="0" w:color="auto"/>
              <w:right w:val="single" w:sz="4" w:space="0" w:color="auto"/>
            </w:tcBorders>
            <w:vAlign w:val="center"/>
          </w:tcPr>
          <w:p/>
        </w:tc>
        <w:tc>
          <w:tcPr>
            <w:tcW w:w="1465" w:type="dxa"/>
            <w:vMerge/>
            <w:tcBorders>
              <w:left w:val="single" w:sz="4" w:space="0" w:color="auto"/>
              <w:right w:val="single" w:sz="4" w:space="0" w:color="auto"/>
            </w:tcBorders>
            <w:vAlign w:val="center"/>
          </w:tcP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Cs w:val="21"/>
              </w:rPr>
            </w:pPr>
            <w:r>
              <w:rPr>
                <w:rFonts w:eastAsia="仿宋_GB2312" w:hint="eastAsia"/>
                <w:color w:val="000000"/>
                <w:kern w:val="0"/>
                <w:szCs w:val="21"/>
              </w:rPr>
              <w:t>对财政性资金拟安排的建设项目预算进行评价审查情况完成率（</w:t>
            </w:r>
            <w:r>
              <w:rPr>
                <w:rFonts w:eastAsia="仿宋_GB2312"/>
                <w:color w:val="000000"/>
                <w:kern w:val="0"/>
                <w:szCs w:val="21"/>
              </w:rPr>
              <w:t>%</w:t>
            </w:r>
            <w:r>
              <w:rPr>
                <w:rFonts w:eastAsia="仿宋_GB2312" w:hint="eastAsia"/>
                <w:color w:val="000000"/>
                <w:kern w:val="0"/>
                <w:szCs w:val="21"/>
              </w:rPr>
              <w:t>）</w:t>
            </w:r>
          </w:p>
        </w:tc>
        <w:tc>
          <w:tcPr>
            <w:tcW w:w="1021"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w:t>
            </w:r>
            <w:r>
              <w:rPr>
                <w:rFonts w:eastAsia="仿宋_GB2312"/>
                <w:kern w:val="0"/>
                <w:sz w:val="24"/>
              </w:rPr>
              <w:t>85%</w:t>
            </w:r>
          </w:p>
        </w:tc>
        <w:tc>
          <w:tcPr>
            <w:tcW w:w="927"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100%</w:t>
            </w: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10</w:t>
            </w: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10</w:t>
            </w:r>
          </w:p>
        </w:tc>
        <w:tc>
          <w:tcPr>
            <w:tcW w:w="161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1195"/>
        </w:trPr>
        <w:tc>
          <w:tcPr>
            <w:tcW w:w="586" w:type="dxa"/>
            <w:vMerge/>
            <w:tcBorders>
              <w:top w:val="nil"/>
              <w:left w:val="single" w:sz="4" w:space="0" w:color="auto"/>
              <w:bottom w:val="single" w:sz="4" w:space="0" w:color="auto"/>
              <w:right w:val="single" w:sz="4" w:space="0" w:color="auto"/>
            </w:tcBorders>
            <w:vAlign w:val="center"/>
          </w:tcPr>
          <w:p/>
        </w:tc>
        <w:tc>
          <w:tcPr>
            <w:tcW w:w="626" w:type="dxa"/>
            <w:vMerge/>
            <w:tcBorders>
              <w:left w:val="single" w:sz="4" w:space="0" w:color="auto"/>
              <w:right w:val="single" w:sz="4" w:space="0" w:color="auto"/>
            </w:tcBorders>
            <w:vAlign w:val="center"/>
          </w:tcPr>
          <w:p/>
        </w:tc>
        <w:tc>
          <w:tcPr>
            <w:tcW w:w="1465" w:type="dxa"/>
            <w:vMerge/>
            <w:tcBorders>
              <w:left w:val="single" w:sz="4" w:space="0" w:color="auto"/>
              <w:right w:val="single" w:sz="4" w:space="0" w:color="auto"/>
            </w:tcBorders>
            <w:vAlign w:val="center"/>
          </w:tcP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Cs w:val="21"/>
              </w:rPr>
            </w:pPr>
            <w:r>
              <w:rPr>
                <w:rFonts w:eastAsia="仿宋_GB2312" w:hint="eastAsia"/>
                <w:color w:val="000000"/>
                <w:kern w:val="0"/>
                <w:szCs w:val="21"/>
              </w:rPr>
              <w:t>对区本级财政专项资金安排的项目进行追踪问效和核查情况完成率（</w:t>
            </w:r>
            <w:r>
              <w:rPr>
                <w:rFonts w:eastAsia="仿宋_GB2312"/>
                <w:color w:val="000000"/>
                <w:kern w:val="0"/>
                <w:szCs w:val="21"/>
              </w:rPr>
              <w:t>%</w:t>
            </w:r>
            <w:r>
              <w:rPr>
                <w:rFonts w:eastAsia="仿宋_GB2312" w:hint="eastAsia"/>
                <w:color w:val="000000"/>
                <w:kern w:val="0"/>
                <w:szCs w:val="21"/>
              </w:rPr>
              <w:t>）</w:t>
            </w:r>
          </w:p>
        </w:tc>
        <w:tc>
          <w:tcPr>
            <w:tcW w:w="1021"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w:t>
            </w:r>
            <w:r>
              <w:rPr>
                <w:rFonts w:eastAsia="仿宋_GB2312"/>
                <w:kern w:val="0"/>
                <w:sz w:val="24"/>
              </w:rPr>
              <w:t>85%</w:t>
            </w:r>
          </w:p>
        </w:tc>
        <w:tc>
          <w:tcPr>
            <w:tcW w:w="927"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100%</w:t>
            </w: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10</w:t>
            </w: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10</w:t>
            </w:r>
          </w:p>
        </w:tc>
        <w:tc>
          <w:tcPr>
            <w:tcW w:w="161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570"/>
        </w:trPr>
        <w:tc>
          <w:tcPr>
            <w:tcW w:w="586" w:type="dxa"/>
            <w:vMerge/>
            <w:tcBorders>
              <w:top w:val="nil"/>
              <w:left w:val="single" w:sz="4" w:space="0" w:color="auto"/>
              <w:bottom w:val="single" w:sz="4" w:space="0" w:color="auto"/>
              <w:right w:val="single" w:sz="4" w:space="0" w:color="auto"/>
            </w:tcBorders>
            <w:vAlign w:val="center"/>
          </w:tcPr>
          <w:p/>
        </w:tc>
        <w:tc>
          <w:tcPr>
            <w:tcW w:w="626" w:type="dxa"/>
            <w:vMerge/>
            <w:tcBorders>
              <w:left w:val="single" w:sz="4" w:space="0" w:color="auto"/>
              <w:bottom w:val="single" w:sz="4" w:space="0" w:color="auto"/>
              <w:right w:val="single" w:sz="4" w:space="0" w:color="auto"/>
            </w:tcBorders>
            <w:vAlign w:val="center"/>
          </w:tcPr>
          <w:p/>
        </w:tc>
        <w:tc>
          <w:tcPr>
            <w:tcW w:w="1465" w:type="dxa"/>
            <w:vMerge/>
            <w:tcBorders>
              <w:left w:val="single" w:sz="4" w:space="0" w:color="auto"/>
              <w:bottom w:val="single" w:sz="4" w:space="0" w:color="auto"/>
              <w:right w:val="single" w:sz="4" w:space="0" w:color="auto"/>
            </w:tcBorders>
            <w:vAlign w:val="center"/>
          </w:tcP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Cs w:val="21"/>
              </w:rPr>
            </w:pPr>
            <w:r>
              <w:rPr>
                <w:rFonts w:eastAsia="仿宋_GB2312" w:hint="eastAsia"/>
                <w:color w:val="000000"/>
                <w:kern w:val="0"/>
                <w:szCs w:val="21"/>
              </w:rPr>
              <w:t>培训合格率（</w:t>
            </w:r>
            <w:r>
              <w:rPr>
                <w:rFonts w:eastAsia="仿宋_GB2312"/>
                <w:color w:val="000000"/>
                <w:kern w:val="0"/>
                <w:szCs w:val="21"/>
              </w:rPr>
              <w:t>%</w:t>
            </w:r>
            <w:r>
              <w:rPr>
                <w:rFonts w:eastAsia="仿宋_GB2312" w:hint="eastAsia"/>
                <w:color w:val="000000"/>
                <w:kern w:val="0"/>
                <w:szCs w:val="21"/>
              </w:rPr>
              <w:t>）</w:t>
            </w:r>
          </w:p>
        </w:tc>
        <w:tc>
          <w:tcPr>
            <w:tcW w:w="1021"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95%</w:t>
            </w:r>
          </w:p>
        </w:tc>
        <w:tc>
          <w:tcPr>
            <w:tcW w:w="927"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0</w:t>
            </w: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10</w:t>
            </w: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0</w:t>
            </w:r>
          </w:p>
        </w:tc>
        <w:tc>
          <w:tcPr>
            <w:tcW w:w="161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18"/>
                <w:szCs w:val="18"/>
              </w:rPr>
              <w:t>2019</w:t>
            </w:r>
            <w:r>
              <w:rPr>
                <w:rFonts w:eastAsia="仿宋_GB2312" w:hint="eastAsia"/>
                <w:kern w:val="0"/>
                <w:sz w:val="18"/>
                <w:szCs w:val="18"/>
              </w:rPr>
              <w:t>年未组织培训</w:t>
            </w:r>
          </w:p>
        </w:tc>
      </w:tr>
      <w:tr>
        <w:trPr>
          <w:trHeight w:val="645"/>
        </w:trPr>
        <w:tc>
          <w:tcPr>
            <w:tcW w:w="586" w:type="dxa"/>
            <w:vMerge/>
            <w:tcBorders>
              <w:top w:val="nil"/>
              <w:left w:val="single" w:sz="4" w:space="0" w:color="auto"/>
              <w:bottom w:val="single" w:sz="4" w:space="0" w:color="auto"/>
              <w:right w:val="single" w:sz="4" w:space="0" w:color="auto"/>
            </w:tcBorders>
            <w:vAlign w:val="center"/>
          </w:tcPr>
          <w:p/>
        </w:tc>
        <w:tc>
          <w:tcPr>
            <w:tcW w:w="626" w:type="dxa"/>
            <w:tcBorders>
              <w:top w:val="single" w:sz="4" w:space="0" w:color="auto"/>
              <w:left w:val="single" w:sz="4" w:space="0" w:color="auto"/>
              <w:bottom w:val="single" w:sz="4" w:space="0" w:color="auto"/>
              <w:right w:val="single" w:sz="4" w:space="0" w:color="auto"/>
            </w:tcBorders>
            <w:vAlign w:val="center"/>
          </w:tcPr>
          <w:p>
            <w:r>
              <w:rPr>
                <w:rFonts w:hint="eastAsia"/>
              </w:rPr>
              <w:t>效益指标</w:t>
            </w:r>
          </w:p>
        </w:tc>
        <w:tc>
          <w:tcPr>
            <w:tcW w:w="1465"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社会效益</w:t>
            </w:r>
          </w:p>
          <w:p>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Cs w:val="21"/>
              </w:rPr>
            </w:pPr>
            <w:r>
              <w:rPr>
                <w:rFonts w:eastAsia="仿宋_GB2312" w:hint="eastAsia"/>
                <w:color w:val="000000"/>
                <w:kern w:val="0"/>
                <w:szCs w:val="21"/>
              </w:rPr>
              <w:t>评审建议采纳率（</w:t>
            </w:r>
            <w:r>
              <w:rPr>
                <w:rFonts w:eastAsia="仿宋_GB2312"/>
                <w:color w:val="000000"/>
                <w:kern w:val="0"/>
                <w:szCs w:val="21"/>
              </w:rPr>
              <w:t>%</w:t>
            </w:r>
            <w:r>
              <w:rPr>
                <w:rFonts w:eastAsia="仿宋_GB2312" w:hint="eastAsia"/>
                <w:color w:val="000000"/>
                <w:kern w:val="0"/>
                <w:szCs w:val="21"/>
              </w:rPr>
              <w:t>）</w:t>
            </w:r>
          </w:p>
        </w:tc>
        <w:tc>
          <w:tcPr>
            <w:tcW w:w="1021"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w:t>
            </w:r>
            <w:r>
              <w:rPr>
                <w:rFonts w:eastAsia="仿宋_GB2312"/>
                <w:kern w:val="0"/>
                <w:sz w:val="24"/>
              </w:rPr>
              <w:t>85%</w:t>
            </w:r>
          </w:p>
        </w:tc>
        <w:tc>
          <w:tcPr>
            <w:tcW w:w="927"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100%</w:t>
            </w: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30</w:t>
            </w: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30</w:t>
            </w:r>
          </w:p>
        </w:tc>
        <w:tc>
          <w:tcPr>
            <w:tcW w:w="161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18"/>
                <w:szCs w:val="18"/>
              </w:rPr>
            </w:pPr>
          </w:p>
        </w:tc>
      </w:tr>
      <w:tr>
        <w:trPr>
          <w:trHeight w:val="229"/>
        </w:trPr>
        <w:tc>
          <w:tcPr>
            <w:tcW w:w="586" w:type="dxa"/>
            <w:vMerge/>
            <w:tcBorders>
              <w:top w:val="nil"/>
              <w:left w:val="single" w:sz="4" w:space="0" w:color="auto"/>
              <w:bottom w:val="single" w:sz="4" w:space="0" w:color="auto"/>
              <w:right w:val="single" w:sz="4" w:space="0" w:color="auto"/>
            </w:tcBorders>
            <w:vAlign w:val="center"/>
          </w:tcPr>
          <w:p/>
        </w:tc>
        <w:tc>
          <w:tcPr>
            <w:tcW w:w="626" w:type="dxa"/>
            <w:tcBorders>
              <w:top w:val="nil"/>
              <w:left w:val="single" w:sz="4" w:space="0" w:color="auto"/>
              <w:bottom w:val="nil"/>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满意度</w:t>
            </w:r>
          </w:p>
          <w:p>
            <w:pPr>
              <w:widowControl/>
              <w:spacing w:line="240" w:lineRule="exact"/>
              <w:jc w:val="center"/>
              <w:rPr>
                <w:rFonts w:eastAsia="仿宋_GB2312"/>
                <w:kern w:val="0"/>
                <w:sz w:val="24"/>
              </w:rPr>
            </w:pPr>
            <w:r>
              <w:rPr>
                <w:rFonts w:eastAsia="仿宋_GB2312" w:hint="eastAsia"/>
                <w:kern w:val="0"/>
                <w:sz w:val="24"/>
              </w:rPr>
              <w:t>指标</w:t>
            </w:r>
          </w:p>
        </w:tc>
        <w:tc>
          <w:tcPr>
            <w:tcW w:w="1465"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服务对象满意度指标</w:t>
            </w: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Cs w:val="21"/>
              </w:rPr>
            </w:pPr>
            <w:r>
              <w:rPr>
                <w:rFonts w:eastAsia="仿宋_GB2312" w:hint="eastAsia"/>
                <w:color w:val="000000"/>
                <w:kern w:val="0"/>
                <w:szCs w:val="21"/>
              </w:rPr>
              <w:t>被评审单位满意度（</w:t>
            </w:r>
            <w:r>
              <w:rPr>
                <w:rFonts w:eastAsia="仿宋_GB2312"/>
                <w:color w:val="000000"/>
                <w:kern w:val="0"/>
                <w:szCs w:val="21"/>
              </w:rPr>
              <w:t>%</w:t>
            </w:r>
            <w:r>
              <w:rPr>
                <w:rFonts w:eastAsia="仿宋_GB2312" w:hint="eastAsia"/>
                <w:color w:val="000000"/>
                <w:kern w:val="0"/>
                <w:szCs w:val="21"/>
              </w:rPr>
              <w:t>）</w:t>
            </w:r>
          </w:p>
        </w:tc>
        <w:tc>
          <w:tcPr>
            <w:tcW w:w="1021"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w:t>
            </w:r>
            <w:r>
              <w:rPr>
                <w:rFonts w:eastAsia="仿宋_GB2312"/>
                <w:kern w:val="0"/>
                <w:sz w:val="24"/>
              </w:rPr>
              <w:t>90%</w:t>
            </w:r>
          </w:p>
        </w:tc>
        <w:tc>
          <w:tcPr>
            <w:tcW w:w="927"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100%</w:t>
            </w: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10</w:t>
            </w: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10</w:t>
            </w:r>
          </w:p>
        </w:tc>
        <w:tc>
          <w:tcPr>
            <w:tcW w:w="161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580"/>
        </w:trPr>
        <w:tc>
          <w:tcPr>
            <w:tcW w:w="6327" w:type="dxa"/>
            <w:gridSpan w:val="8"/>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eastAsia="仿宋_GB2312"/>
                <w:color w:val="000000"/>
                <w:kern w:val="0"/>
                <w:sz w:val="24"/>
              </w:rPr>
            </w:pPr>
            <w:r>
              <w:rPr>
                <w:rFonts w:eastAsia="仿宋_GB2312" w:hint="eastAsia"/>
                <w:color w:val="000000"/>
                <w:kern w:val="0"/>
                <w:sz w:val="24"/>
              </w:rPr>
              <w:t>总分</w:t>
            </w: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color w:val="000000"/>
                <w:kern w:val="0"/>
                <w:sz w:val="24"/>
              </w:rPr>
            </w:pPr>
            <w:r>
              <w:rPr>
                <w:rFonts w:eastAsia="仿宋_GB2312"/>
                <w:color w:val="000000"/>
                <w:kern w:val="0"/>
                <w:sz w:val="24"/>
              </w:rPr>
              <w:t>100</w:t>
            </w: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color w:val="000000"/>
                <w:kern w:val="0"/>
                <w:sz w:val="24"/>
              </w:rPr>
            </w:pPr>
            <w:r>
              <w:rPr>
                <w:rFonts w:eastAsia="仿宋_GB2312"/>
                <w:color w:val="000000"/>
                <w:kern w:val="0"/>
                <w:sz w:val="24"/>
              </w:rPr>
              <w:t>89.5</w:t>
            </w:r>
          </w:p>
        </w:tc>
        <w:tc>
          <w:tcPr>
            <w:tcW w:w="161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bl>
    <w:p>
      <w:pPr>
        <w:widowControl/>
        <w:jc w:val="left"/>
        <w:rPr>
          <w:rFonts w:eastAsia="仿宋_GB2312"/>
          <w:color w:val="000000"/>
          <w:kern w:val="0"/>
          <w:sz w:val="24"/>
        </w:rPr>
      </w:pPr>
      <w:r>
        <w:rPr>
          <w:rFonts w:eastAsia="仿宋_GB2312"/>
          <w:color w:val="000000"/>
          <w:kern w:val="0"/>
          <w:sz w:val="24"/>
        </w:rPr>
        <w:t xml:space="preserve"> </w:t>
      </w:r>
    </w:p>
    <w:p>
      <w:pPr>
        <w:spacing w:line="480" w:lineRule="exact"/>
        <w:rPr>
          <w:rFonts w:ascii="仿宋" w:eastAsia="仿宋"/>
          <w:sz w:val="32"/>
          <w:szCs w:val="32"/>
        </w:rPr>
      </w:pPr>
    </w:p>
    <w:p>
      <w:pPr>
        <w:widowControl/>
        <w:jc w:val="center"/>
        <w:textAlignment w:val="center"/>
        <w:rPr>
          <w:rFonts w:ascii="Times New Roman" w:eastAsia="仿宋_GB2312" w:cs="Times New Roman" w:hAnsi="Times New Roman"/>
          <w:b/>
          <w:bCs/>
          <w:color w:val="000000"/>
          <w:sz w:val="32"/>
          <w:szCs w:val="32"/>
        </w:rPr>
      </w:pPr>
    </w:p>
    <w:p>
      <w:pPr>
        <w:widowControl/>
        <w:jc w:val="center"/>
        <w:textAlignment w:val="center"/>
        <w:rPr>
          <w:rFonts w:ascii="Times New Roman" w:eastAsia="仿宋_GB2312" w:cs="Times New Roman" w:hAnsi="Times New Roman"/>
          <w:b/>
          <w:bCs/>
          <w:color w:val="000000"/>
          <w:sz w:val="32"/>
          <w:szCs w:val="32"/>
        </w:rPr>
      </w:pPr>
      <w:r>
        <w:rPr>
          <w:rFonts w:ascii="Times New Roman" w:eastAsia="仿宋_GB2312" w:cs="Times New Roman" w:hAnsi="Times New Roman" w:hint="eastAsia"/>
          <w:b/>
          <w:bCs/>
          <w:color w:val="000000"/>
          <w:sz w:val="32"/>
          <w:szCs w:val="32"/>
        </w:rPr>
        <w:t>区直部门绩效自评情况汇总表</w:t>
      </w:r>
    </w:p>
    <w:p>
      <w:pPr>
        <w:spacing w:line="584" w:lineRule="exact"/>
        <w:jc w:val="center"/>
        <w:rPr>
          <w:rFonts w:eastAsia="仿宋_GB2312"/>
          <w:b/>
          <w:bCs/>
          <w:color w:val="000000"/>
          <w:kern w:val="0"/>
          <w:sz w:val="32"/>
          <w:szCs w:val="32"/>
        </w:rPr>
      </w:pPr>
    </w:p>
    <w:tbl>
      <w:tblPr>
        <w:jc w:val="left"/>
        <w:tblInd w:w="108" w:type="dxa"/>
        <w:tblW w:w="8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682"/>
        <w:gridCol w:w="1942"/>
        <w:gridCol w:w="1816"/>
        <w:gridCol w:w="1605"/>
      </w:tblGrid>
      <w:tr>
        <w:trPr>
          <w:trHeight w:val="696"/>
        </w:trPr>
        <w:tc>
          <w:tcPr>
            <w:tcW w:w="2682" w:type="dxa"/>
            <w:vAlign w:val="center"/>
          </w:tcPr>
          <w:p>
            <w:pPr>
              <w:spacing w:line="584" w:lineRule="exact"/>
              <w:jc w:val="center"/>
              <w:rPr>
                <w:rFonts w:eastAsia="仿宋_GB2312"/>
                <w:b/>
                <w:bCs/>
                <w:color w:val="000000"/>
                <w:kern w:val="0"/>
                <w:sz w:val="32"/>
                <w:szCs w:val="32"/>
              </w:rPr>
            </w:pPr>
            <w:r>
              <w:rPr>
                <w:rFonts w:eastAsia="仿宋_GB2312" w:hint="eastAsia"/>
                <w:b/>
                <w:bCs/>
                <w:color w:val="000000"/>
                <w:kern w:val="0"/>
                <w:sz w:val="32"/>
                <w:szCs w:val="32"/>
              </w:rPr>
              <w:t>统计内容</w:t>
            </w:r>
          </w:p>
        </w:tc>
        <w:tc>
          <w:tcPr>
            <w:tcW w:w="1942" w:type="dxa"/>
            <w:vAlign w:val="center"/>
          </w:tcPr>
          <w:p>
            <w:pPr>
              <w:spacing w:line="584" w:lineRule="exact"/>
              <w:jc w:val="center"/>
              <w:rPr>
                <w:rFonts w:eastAsia="仿宋_GB2312"/>
                <w:b/>
                <w:bCs/>
                <w:color w:val="000000"/>
                <w:kern w:val="0"/>
                <w:sz w:val="32"/>
                <w:szCs w:val="32"/>
              </w:rPr>
            </w:pPr>
            <w:r>
              <w:rPr>
                <w:rFonts w:eastAsia="仿宋_GB2312" w:hint="eastAsia"/>
                <w:b/>
                <w:bCs/>
                <w:color w:val="000000"/>
                <w:kern w:val="0"/>
                <w:sz w:val="32"/>
                <w:szCs w:val="32"/>
              </w:rPr>
              <w:t>应评价数</w:t>
            </w:r>
          </w:p>
        </w:tc>
        <w:tc>
          <w:tcPr>
            <w:tcW w:w="3421" w:type="dxa"/>
            <w:gridSpan w:val="2"/>
            <w:vAlign w:val="center"/>
          </w:tcPr>
          <w:p>
            <w:pPr>
              <w:spacing w:line="584" w:lineRule="exact"/>
              <w:jc w:val="center"/>
              <w:rPr>
                <w:rFonts w:eastAsia="仿宋_GB2312"/>
                <w:b/>
                <w:bCs/>
                <w:color w:val="000000"/>
                <w:kern w:val="0"/>
                <w:sz w:val="32"/>
                <w:szCs w:val="32"/>
              </w:rPr>
            </w:pPr>
            <w:r>
              <w:rPr>
                <w:rFonts w:eastAsia="仿宋_GB2312" w:hint="eastAsia"/>
                <w:b/>
                <w:bCs/>
                <w:color w:val="000000"/>
                <w:kern w:val="0"/>
                <w:sz w:val="32"/>
                <w:szCs w:val="32"/>
              </w:rPr>
              <w:t>已评价数</w:t>
            </w:r>
          </w:p>
        </w:tc>
      </w:tr>
      <w:tr>
        <w:trPr>
          <w:trHeight w:val="614"/>
        </w:trPr>
        <w:tc>
          <w:tcPr>
            <w:tcW w:w="2682" w:type="dxa"/>
            <w:vAlign w:val="center"/>
          </w:tcPr>
          <w:p>
            <w:pPr>
              <w:spacing w:line="584" w:lineRule="exact"/>
              <w:jc w:val="center"/>
              <w:rPr>
                <w:rFonts w:eastAsia="仿宋_GB2312"/>
                <w:color w:val="000000"/>
                <w:kern w:val="0"/>
                <w:sz w:val="32"/>
                <w:szCs w:val="32"/>
              </w:rPr>
            </w:pPr>
            <w:r>
              <w:rPr>
                <w:rFonts w:eastAsia="仿宋_GB2312" w:hint="eastAsia"/>
                <w:color w:val="000000"/>
                <w:kern w:val="0"/>
                <w:sz w:val="32"/>
                <w:szCs w:val="32"/>
              </w:rPr>
              <w:t>预算项目数量（个）</w:t>
            </w:r>
          </w:p>
        </w:tc>
        <w:tc>
          <w:tcPr>
            <w:tcW w:w="1942" w:type="dxa"/>
            <w:vAlign w:val="center"/>
          </w:tcPr>
          <w:p>
            <w:pPr>
              <w:spacing w:line="584" w:lineRule="exact"/>
              <w:jc w:val="center"/>
              <w:rPr>
                <w:rFonts w:eastAsia="仿宋_GB2312"/>
                <w:color w:val="000000"/>
                <w:kern w:val="0"/>
                <w:sz w:val="32"/>
                <w:szCs w:val="32"/>
              </w:rPr>
            </w:pPr>
            <w:r>
              <w:rPr>
                <w:rFonts w:eastAsia="仿宋_GB2312"/>
                <w:color w:val="000000"/>
                <w:kern w:val="0"/>
                <w:sz w:val="32"/>
                <w:szCs w:val="32"/>
              </w:rPr>
              <w:t>1</w:t>
            </w:r>
          </w:p>
        </w:tc>
        <w:tc>
          <w:tcPr>
            <w:tcW w:w="3421" w:type="dxa"/>
            <w:gridSpan w:val="2"/>
            <w:vAlign w:val="center"/>
          </w:tcPr>
          <w:p>
            <w:pPr>
              <w:spacing w:line="584" w:lineRule="exact"/>
              <w:jc w:val="center"/>
              <w:rPr>
                <w:rFonts w:eastAsia="仿宋_GB2312"/>
                <w:color w:val="000000"/>
                <w:kern w:val="0"/>
                <w:sz w:val="32"/>
                <w:szCs w:val="32"/>
              </w:rPr>
            </w:pPr>
            <w:r>
              <w:rPr>
                <w:rFonts w:eastAsia="仿宋_GB2312"/>
                <w:color w:val="000000"/>
                <w:kern w:val="0"/>
                <w:sz w:val="32"/>
                <w:szCs w:val="32"/>
              </w:rPr>
              <w:t>1</w:t>
            </w:r>
          </w:p>
        </w:tc>
      </w:tr>
      <w:tr>
        <w:trPr>
          <w:trHeight w:val="770"/>
        </w:trPr>
        <w:tc>
          <w:tcPr>
            <w:tcW w:w="2682" w:type="dxa"/>
            <w:vAlign w:val="center"/>
          </w:tcPr>
          <w:p>
            <w:pPr>
              <w:spacing w:line="584" w:lineRule="exact"/>
              <w:jc w:val="center"/>
              <w:rPr>
                <w:rFonts w:eastAsia="仿宋_GB2312"/>
                <w:color w:val="000000"/>
                <w:kern w:val="0"/>
                <w:sz w:val="32"/>
                <w:szCs w:val="32"/>
              </w:rPr>
            </w:pPr>
            <w:r>
              <w:rPr>
                <w:rFonts w:eastAsia="仿宋_GB2312" w:hint="eastAsia"/>
                <w:color w:val="000000"/>
                <w:kern w:val="0"/>
                <w:sz w:val="32"/>
                <w:szCs w:val="32"/>
              </w:rPr>
              <w:t>资金总量</w:t>
            </w:r>
          </w:p>
        </w:tc>
        <w:tc>
          <w:tcPr>
            <w:tcW w:w="1942" w:type="dxa"/>
            <w:vAlign w:val="center"/>
          </w:tcPr>
          <w:p>
            <w:pPr>
              <w:spacing w:line="584" w:lineRule="exact"/>
              <w:jc w:val="center"/>
              <w:rPr>
                <w:rFonts w:eastAsia="仿宋_GB2312"/>
                <w:color w:val="000000"/>
                <w:kern w:val="0"/>
                <w:sz w:val="32"/>
                <w:szCs w:val="32"/>
              </w:rPr>
            </w:pPr>
            <w:r>
              <w:rPr>
                <w:rFonts w:eastAsia="仿宋_GB2312"/>
                <w:color w:val="000000"/>
                <w:kern w:val="0"/>
                <w:sz w:val="32"/>
                <w:szCs w:val="32"/>
              </w:rPr>
              <w:t>60.72</w:t>
            </w:r>
          </w:p>
        </w:tc>
        <w:tc>
          <w:tcPr>
            <w:tcW w:w="3421" w:type="dxa"/>
            <w:gridSpan w:val="2"/>
            <w:vAlign w:val="center"/>
          </w:tcPr>
          <w:p>
            <w:pPr>
              <w:spacing w:line="584" w:lineRule="exact"/>
              <w:jc w:val="center"/>
              <w:rPr>
                <w:rFonts w:eastAsia="仿宋_GB2312"/>
                <w:color w:val="000000"/>
                <w:kern w:val="0"/>
                <w:sz w:val="32"/>
                <w:szCs w:val="32"/>
              </w:rPr>
            </w:pPr>
            <w:r>
              <w:rPr>
                <w:rFonts w:eastAsia="仿宋_GB2312"/>
                <w:color w:val="000000"/>
                <w:kern w:val="0"/>
                <w:sz w:val="32"/>
                <w:szCs w:val="32"/>
              </w:rPr>
              <w:t>60.72</w:t>
            </w:r>
          </w:p>
        </w:tc>
      </w:tr>
      <w:tr>
        <w:trPr>
          <w:trHeight w:val="573"/>
        </w:trPr>
        <w:tc>
          <w:tcPr>
            <w:tcW w:w="2682" w:type="dxa"/>
            <w:vMerge w:val="restart"/>
            <w:vAlign w:val="center"/>
          </w:tcPr>
          <w:p>
            <w:pPr>
              <w:spacing w:line="584" w:lineRule="exact"/>
              <w:jc w:val="center"/>
              <w:rPr>
                <w:rFonts w:eastAsia="仿宋_GB2312"/>
                <w:color w:val="000000"/>
                <w:kern w:val="0"/>
                <w:sz w:val="32"/>
                <w:szCs w:val="32"/>
              </w:rPr>
            </w:pPr>
            <w:r>
              <w:rPr>
                <w:rFonts w:eastAsia="仿宋_GB2312" w:hint="eastAsia"/>
                <w:color w:val="000000"/>
                <w:kern w:val="0"/>
                <w:sz w:val="32"/>
                <w:szCs w:val="32"/>
              </w:rPr>
              <w:t>绩效评价等级</w:t>
            </w:r>
          </w:p>
        </w:tc>
        <w:tc>
          <w:tcPr>
            <w:tcW w:w="1942" w:type="dxa"/>
            <w:vMerge w:val="restart"/>
          </w:tcPr>
          <w:p>
            <w:pPr>
              <w:spacing w:line="584" w:lineRule="exact"/>
              <w:jc w:val="center"/>
              <w:rPr>
                <w:rFonts w:eastAsia="仿宋_GB2312"/>
                <w:color w:val="000000"/>
                <w:kern w:val="0"/>
                <w:sz w:val="32"/>
                <w:szCs w:val="32"/>
              </w:rPr>
            </w:pPr>
          </w:p>
          <w:p>
            <w:pPr>
              <w:spacing w:line="584" w:lineRule="exact"/>
              <w:rPr>
                <w:rFonts w:eastAsia="仿宋_GB2312"/>
                <w:color w:val="000000"/>
                <w:kern w:val="0"/>
                <w:sz w:val="32"/>
                <w:szCs w:val="32"/>
              </w:rPr>
            </w:pPr>
            <w:r>
              <w:rPr>
                <w:rFonts w:eastAsia="仿宋_GB2312"/>
                <w:color w:val="000000"/>
                <w:kern w:val="0"/>
                <w:sz w:val="32"/>
                <w:szCs w:val="32"/>
              </w:rPr>
              <w:t xml:space="preserve">    </w:t>
            </w:r>
            <w:r>
              <w:rPr>
                <w:rFonts w:eastAsia="仿宋_GB2312" w:hint="eastAsia"/>
                <w:color w:val="000000"/>
                <w:kern w:val="0"/>
                <w:sz w:val="32"/>
                <w:szCs w:val="32"/>
              </w:rPr>
              <w:t>良</w:t>
            </w:r>
          </w:p>
        </w:tc>
        <w:tc>
          <w:tcPr>
            <w:tcW w:w="1816" w:type="dxa"/>
          </w:tcPr>
          <w:p>
            <w:pPr>
              <w:spacing w:line="584" w:lineRule="exact"/>
              <w:rPr>
                <w:rFonts w:eastAsia="仿宋_GB2312"/>
                <w:color w:val="000000"/>
                <w:kern w:val="0"/>
                <w:sz w:val="32"/>
                <w:szCs w:val="32"/>
              </w:rPr>
            </w:pPr>
            <w:r>
              <w:rPr>
                <w:rFonts w:eastAsia="仿宋_GB2312" w:hint="eastAsia"/>
                <w:color w:val="000000"/>
                <w:kern w:val="0"/>
                <w:sz w:val="32"/>
                <w:szCs w:val="32"/>
              </w:rPr>
              <w:t>其中：优</w:t>
            </w:r>
          </w:p>
        </w:tc>
        <w:tc>
          <w:tcPr>
            <w:tcW w:w="1605" w:type="dxa"/>
          </w:tcPr>
          <w:p>
            <w:pPr>
              <w:spacing w:line="584" w:lineRule="exact"/>
              <w:jc w:val="center"/>
              <w:rPr>
                <w:rFonts w:eastAsia="仿宋_GB2312"/>
                <w:color w:val="000000"/>
                <w:kern w:val="0"/>
                <w:sz w:val="32"/>
                <w:szCs w:val="32"/>
              </w:rPr>
            </w:pPr>
          </w:p>
        </w:tc>
      </w:tr>
      <w:tr>
        <w:trPr>
          <w:trHeight w:val="573"/>
        </w:trPr>
        <w:tc>
          <w:tcPr>
            <w:tcW w:w="2682" w:type="dxa"/>
            <w:vMerge/>
          </w:tcPr>
          <w:p/>
        </w:tc>
        <w:tc>
          <w:tcPr>
            <w:tcW w:w="1942" w:type="dxa"/>
            <w:vMerge/>
          </w:tcPr>
          <w:p/>
        </w:tc>
        <w:tc>
          <w:tcPr>
            <w:tcW w:w="1816" w:type="dxa"/>
          </w:tcPr>
          <w:p>
            <w:pPr>
              <w:spacing w:line="584" w:lineRule="exact"/>
              <w:ind w:firstLineChars="300" w:firstLine="960"/>
              <w:rPr>
                <w:rFonts w:eastAsia="仿宋_GB2312"/>
                <w:color w:val="000000"/>
                <w:kern w:val="0"/>
                <w:sz w:val="32"/>
                <w:szCs w:val="32"/>
              </w:rPr>
            </w:pPr>
            <w:r>
              <w:rPr>
                <w:rFonts w:eastAsia="仿宋_GB2312" w:hint="eastAsia"/>
                <w:color w:val="000000"/>
                <w:kern w:val="0"/>
                <w:sz w:val="32"/>
                <w:szCs w:val="32"/>
              </w:rPr>
              <w:t>良</w:t>
            </w:r>
          </w:p>
        </w:tc>
        <w:tc>
          <w:tcPr>
            <w:tcW w:w="1605" w:type="dxa"/>
          </w:tcPr>
          <w:p>
            <w:pPr>
              <w:spacing w:line="584" w:lineRule="exact"/>
              <w:jc w:val="center"/>
              <w:rPr>
                <w:rFonts w:eastAsia="仿宋_GB2312"/>
                <w:color w:val="000000"/>
                <w:kern w:val="0"/>
                <w:sz w:val="32"/>
                <w:szCs w:val="32"/>
              </w:rPr>
            </w:pPr>
            <w:r>
              <w:rPr>
                <w:rFonts w:eastAsia="仿宋_GB2312" w:hint="eastAsia"/>
                <w:color w:val="000000"/>
                <w:kern w:val="0"/>
                <w:sz w:val="32"/>
                <w:szCs w:val="32"/>
              </w:rPr>
              <w:t>√</w:t>
            </w:r>
          </w:p>
        </w:tc>
      </w:tr>
      <w:tr>
        <w:trPr>
          <w:trHeight w:val="573"/>
        </w:trPr>
        <w:tc>
          <w:tcPr>
            <w:tcW w:w="2682" w:type="dxa"/>
            <w:vMerge/>
          </w:tcPr>
          <w:p/>
        </w:tc>
        <w:tc>
          <w:tcPr>
            <w:tcW w:w="1942" w:type="dxa"/>
            <w:vMerge/>
          </w:tcPr>
          <w:p/>
        </w:tc>
        <w:tc>
          <w:tcPr>
            <w:tcW w:w="1816" w:type="dxa"/>
          </w:tcPr>
          <w:p>
            <w:pPr>
              <w:spacing w:line="584" w:lineRule="exact"/>
              <w:jc w:val="center"/>
              <w:rPr>
                <w:rFonts w:eastAsia="仿宋_GB2312"/>
                <w:color w:val="000000"/>
                <w:kern w:val="0"/>
                <w:sz w:val="32"/>
                <w:szCs w:val="32"/>
              </w:rPr>
            </w:pPr>
            <w:r>
              <w:rPr>
                <w:rFonts w:eastAsia="仿宋_GB2312"/>
                <w:color w:val="000000"/>
                <w:kern w:val="0"/>
                <w:sz w:val="32"/>
                <w:szCs w:val="32"/>
              </w:rPr>
              <w:t xml:space="preserve">   </w:t>
            </w:r>
            <w:r>
              <w:rPr>
                <w:rFonts w:eastAsia="仿宋_GB2312" w:hint="eastAsia"/>
                <w:color w:val="000000"/>
                <w:kern w:val="0"/>
                <w:sz w:val="32"/>
                <w:szCs w:val="32"/>
              </w:rPr>
              <w:t>中</w:t>
            </w:r>
          </w:p>
        </w:tc>
        <w:tc>
          <w:tcPr>
            <w:tcW w:w="1605" w:type="dxa"/>
          </w:tcPr>
          <w:p>
            <w:pPr>
              <w:spacing w:line="584" w:lineRule="exact"/>
              <w:jc w:val="center"/>
              <w:rPr>
                <w:rFonts w:eastAsia="仿宋_GB2312"/>
                <w:color w:val="000000"/>
                <w:kern w:val="0"/>
                <w:sz w:val="32"/>
                <w:szCs w:val="32"/>
              </w:rPr>
            </w:pPr>
          </w:p>
        </w:tc>
      </w:tr>
      <w:tr>
        <w:trPr>
          <w:trHeight w:val="573"/>
        </w:trPr>
        <w:tc>
          <w:tcPr>
            <w:tcW w:w="2682" w:type="dxa"/>
            <w:vMerge/>
          </w:tcPr>
          <w:p/>
        </w:tc>
        <w:tc>
          <w:tcPr>
            <w:tcW w:w="1942" w:type="dxa"/>
            <w:vMerge/>
          </w:tcPr>
          <w:p/>
        </w:tc>
        <w:tc>
          <w:tcPr>
            <w:tcW w:w="1816" w:type="dxa"/>
          </w:tcPr>
          <w:p>
            <w:pPr>
              <w:spacing w:line="584" w:lineRule="exact"/>
              <w:jc w:val="center"/>
              <w:rPr>
                <w:rFonts w:eastAsia="仿宋_GB2312"/>
                <w:color w:val="000000"/>
                <w:kern w:val="0"/>
                <w:sz w:val="32"/>
                <w:szCs w:val="32"/>
              </w:rPr>
            </w:pPr>
            <w:r>
              <w:rPr>
                <w:rFonts w:eastAsia="仿宋_GB2312"/>
                <w:color w:val="000000"/>
                <w:kern w:val="0"/>
                <w:sz w:val="32"/>
                <w:szCs w:val="32"/>
              </w:rPr>
              <w:t xml:space="preserve">   </w:t>
            </w:r>
            <w:r>
              <w:rPr>
                <w:rFonts w:eastAsia="仿宋_GB2312" w:hint="eastAsia"/>
                <w:color w:val="000000"/>
                <w:kern w:val="0"/>
                <w:sz w:val="32"/>
                <w:szCs w:val="32"/>
              </w:rPr>
              <w:t>差</w:t>
            </w:r>
          </w:p>
        </w:tc>
        <w:tc>
          <w:tcPr>
            <w:tcW w:w="1605" w:type="dxa"/>
          </w:tcPr>
          <w:p>
            <w:pPr>
              <w:spacing w:line="584" w:lineRule="exact"/>
              <w:jc w:val="center"/>
              <w:rPr>
                <w:rFonts w:eastAsia="仿宋_GB2312"/>
                <w:color w:val="000000"/>
                <w:kern w:val="0"/>
                <w:sz w:val="32"/>
                <w:szCs w:val="32"/>
              </w:rPr>
            </w:pPr>
          </w:p>
        </w:tc>
      </w:tr>
    </w:tbl>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r>
        <mc:AlternateContent>
          <mc:Choice Requires="wps">
            <w:drawing>
              <wp:anchor distT="0" distB="0" distL="114297" distR="114297" simplePos="0" relativeHeight="48" behindDoc="0" locked="0" layoutInCell="1" hidden="0" allowOverlap="1">
                <wp:simplePos x="0" y="0"/>
                <wp:positionH relativeFrom="column">
                  <wp:posOffset>-895350</wp:posOffset>
                </wp:positionH>
                <wp:positionV relativeFrom="paragraph">
                  <wp:posOffset>-1082675</wp:posOffset>
                </wp:positionV>
                <wp:extent cx="7557771" cy="10682605"/>
                <wp:effectExtent l="0" t="0" r="0" b="0"/>
                <wp:wrapNone/>
                <wp:docPr id="163" name="矩形"/>
                <wp:cNvGraphicFramePr>
                  <a:graphicFrameLocks noChangeAspect="0"/>
                </wp:cNvGraphicFramePr>
                <a:graphic>
                  <a:graphicData uri="http://schemas.microsoft.com/office/word/2010/wordprocessingShape">
                    <wps:wsp>
                      <wps:cNvSpPr/>
                      <wps:spPr>
                        <a:xfrm rot="0">
                          <a:off x="0" y="0"/>
                          <a:ext cx="7557771" cy="10682605"/>
                        </a:xfrm>
                        <a:prstGeom prst="rect"/>
                        <a:solidFill>
                          <a:srgbClr val="FFC000"/>
                        </a:solidFill>
                        <a:ln w="9525" cmpd="sng" cap="flat">
                          <a:noFill/>
                          <a:prstDash val="solid"/>
                          <a:miter/>
                        </a:ln>
                      </wps:spPr>
                      <wps:bodyPr vert="horz" wrap="square" lIns="91440" tIns="45720" rIns="91440" bIns="45720" anchor="t" anchorCtr="0" upright="1">
                        <a:noAutofit/>
                      </wps:bodyPr>
                    </wps:wsp>
                  </a:graphicData>
                </a:graphic>
              </wp:anchor>
            </w:drawing>
          </mc:Choice>
          <mc:Fallback>
            <w:pict>
              <v:rect type="#_x0000_t1" id="矩形 164" o:spid="_x0000_s164" fillcolor="#FFC000" stroked="f" style="position:absolute;margin-left:-70.5pt;margin-top:-85.25pt;width:595.1001pt;height:841.15pt;z-index:48;mso-position-horizontal:absolute;mso-position-vertical:absolute;mso-wrap-distance-left:8.99983pt;mso-wrap-distance-right:8.99983pt;">
                <v:stroke color="#000000"/>
              </v:rect>
            </w:pict>
          </mc:Fallback>
        </mc:AlternateContent>
      </w:r>
    </w:p>
    <w:sectPr>
      <w:headerReference w:type="default" r:id="rId24"/>
      <w:pgSz w:w="11906" w:h="16838"/>
      <w:pgMar w:top="1701" w:right="1418" w:bottom="1281" w:left="1418" w:header="851" w:footer="992" w:gutter="0"/>
      <w:pgNumType w:fmt="numberInDash"/>
      <w:docGrid w:type="lines" w:linePitch="312" w:charSpace="0"/>
    </w:sectPr>
  </w:body>
</w:document>
</file>

<file path=word/fontTable.xml><?xml version="1.0" encoding="utf-8"?>
<w:fonts xmlns:w="http://schemas.openxmlformats.org/wordprocessingml/2006/main" xmlns:r="http://schemas.openxmlformats.org/officeDocument/2006/relationships">
  <w:font w:name="微软雅黑">
    <w:panose1 w:val="020B0503020204020204"/>
    <w:charset w:val="86"/>
    <w:family w:val="swiss"/>
    <w:pitch w:val="variable"/>
    <w:sig w:usb0="80000287" w:usb1="280F3C52" w:usb2="00000016" w:usb3="00000000" w:csb0="0004001F" w:csb1="00000000"/>
  </w:font>
  <w:font w:name="等线 Light">
    <w:altName w:val="宋体"/>
    <w:panose1 w:val="00000000000000000000"/>
    <w:charset w:val="86"/>
    <w:family w:val="auto"/>
    <w:pitch w:val="variable"/>
    <w:sig w:usb0="00000001" w:usb1="080E0000" w:usb2="00000010" w:usb3="00000000" w:csb0="00040000" w:csb1="00000000"/>
  </w:font>
  <w:font w:name="楷体_GB2312">
    <w:altName w:val="楷体"/>
    <w:panose1 w:val="00000000000000000000"/>
    <w:charset w:val="86"/>
    <w:family w:val="modern"/>
    <w:pitch w:val="variable"/>
    <w:sig w:usb0="00000001" w:usb1="080E0000" w:usb2="00000010" w:usb3="00000000" w:csb0="00040000" w:csb1="00000000"/>
  </w:font>
  <w:font w:name="Yu Gothic UI Semibold">
    <w:altName w:val="MS Gothic"/>
    <w:panose1 w:val="00000000000000000000"/>
    <w:charset w:val="80"/>
    <w:family w:val="swiss"/>
    <w:pitch w:val="variable"/>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思源黑体 HW Bold">
    <w:altName w:val="黑体"/>
    <w:panose1 w:val="00000000000000000000"/>
    <w:charset w:val="86"/>
    <w:family w:val="swiss"/>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0000000000000000000"/>
    <w:charset w:val="86"/>
    <w:family w:val="modern"/>
    <w:pitch w:val="variable"/>
    <w:sig w:usb0="00000001" w:usb1="080E0000" w:usb2="00000010" w:usb3="00000000" w:csb0="00040000" w:csb1="00000000"/>
  </w:font>
  <w:font w:name="ArialUnicodeMS">
    <w:altName w:val="Arial Unicode MS"/>
    <w:panose1 w:val="00000000000000000000"/>
    <w:charset w:val="81"/>
    <w:family w:val="auto"/>
    <w:pitch w:val="variable"/>
    <w:sig w:usb0="00000001" w:usb1="09060000" w:usb2="00000010" w:usb3="00000000" w:csb0="00080000" w:csb1="00000000"/>
  </w:font>
  <w:font w:name="DengXian-Regular">
    <w:altName w:val="宋体"/>
    <w:panose1 w:val="00000000000000000000"/>
    <w:charset w:val="86"/>
    <w:family w:val="auto"/>
    <w:pitch w:val="variable"/>
    <w:sig w:usb0="00000001" w:usb1="080E0000" w:usb2="00000010" w:usb3="00000000" w:csb0="00040000" w:csb1="00000000"/>
  </w:font>
  <w:font w:name="DengXian-Bold">
    <w:altName w:val="宋体"/>
    <w:panose1 w:val="00000000000000000000"/>
    <w:charset w:val="86"/>
    <w:family w:val="auto"/>
    <w:pitch w:val="variable"/>
    <w:sig w:usb0="00000001" w:usb1="080E0000" w:usb2="00000010" w:usb3="00000000" w:csb0="00040000" w:csb1="00000000"/>
  </w:font>
  <w:font w:name="TimesNewRomanPSMT">
    <w:altName w:val="Arial"/>
    <w:panose1 w:val="00000000000000000000"/>
    <w:charset w:val="00"/>
    <w:family w:val="swiss"/>
    <w:pitch w:val="variable"/>
    <w:sig w:usb0="00000003" w:usb1="00000000" w:usb2="00000000" w:usb3="00000000" w:csb0="00000001" w:csb1="00000000"/>
  </w:font>
  <w:font w:name="MS-UIGothic,Bold">
    <w:altName w:val="Arial Unicode MS"/>
    <w:panose1 w:val="00000000000000000000"/>
    <w:charset w:val="81"/>
    <w:family w:val="auto"/>
    <w:pitch w:val="variable"/>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仿宋">
    <w:altName w:val="仿宋_GB2312"/>
    <w:panose1 w:val="02010609060101010101"/>
    <w:charset w:val="86"/>
    <w:family w:val="modern"/>
    <w:pitch w:val="variable"/>
    <w:sig w:usb0="800002BF" w:usb1="38CF7CFA" w:usb2="00000016" w:usb3="00000000" w:csb0="00040001" w:csb1="00000000"/>
  </w:font>
  <w:font w:name="等线">
    <w:altName w:val="宋体"/>
    <w:panose1 w:val="00000000000000000000"/>
    <w:charset w:val="86"/>
    <w:family w:val="auto"/>
    <w:pitch w:val="variable"/>
    <w:sig w:usb0="00000001" w:usb1="080E0000" w:usb2="00000010" w:usb3="00000000" w:csb0="0004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pPr>
    <w:r>
      <mc:AlternateContent>
        <mc:Choice Requires="wps">
          <w:drawing>
            <wp:anchor distT="0" distB="0" distL="114297" distR="114297" simplePos="0" relativeHeight="67" behindDoc="0" locked="0" layoutInCell="1" hidden="0" allowOverlap="1">
              <wp:simplePos x="0" y="0"/>
              <wp:positionH relativeFrom="margin">
                <wp:posOffset>2661920</wp:posOffset>
              </wp:positionH>
              <wp:positionV relativeFrom="paragraph">
                <wp:posOffset>-164465</wp:posOffset>
              </wp:positionV>
              <wp:extent cx="388620" cy="181610"/>
              <wp:effectExtent l="0" t="0" r="0" b="0"/>
              <wp:wrapNone/>
              <wp:docPr id="61" name="矩形"/>
              <wp:cNvGraphicFramePr>
                <a:graphicFrameLocks noChangeAspect="0"/>
              </wp:cNvGraphicFramePr>
              <a:graphic>
                <a:graphicData uri="http://schemas.microsoft.com/office/word/2010/wordprocessingShape">
                  <wps:wsp>
                    <wps:cNvSpPr/>
                    <wps:spPr>
                      <a:xfrm rot="0">
                        <a:off x="0" y="0"/>
                        <a:ext cx="388620" cy="181610"/>
                      </a:xfrm>
                      <a:prstGeom prst="rect"/>
                      <a:noFill/>
                      <a:ln w="9525" cmpd="sng" cap="flat">
                        <a:noFill/>
                        <a:prstDash val="solid"/>
                        <a:miter/>
                      </a:ln>
                    </wps:spPr>
                    <wps:txbx id="62">
                      <w:txbxContent>
                        <w:p>
                          <w:pPr>
                            <w:pStyle w:val="17"/>
                            <w:tabs>
                              <w:tab w:val="center" w:pos="4153"/>
                              <w:tab w:val="right" w:pos="8306"/>
                            </w:tabs>
                            <w:jc w:val="center"/>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- 9 -</w:t>
                          </w:r>
                          <w:r>
                            <w:rPr>
                              <w:rFonts w:ascii="Times New Roman" w:cs="Times New Roman" w:hAnsi="Times New Roman"/>
                              <w:sz w:val="24"/>
                              <w:szCs w:val="24"/>
                            </w:rPr>
                            <w:fldChar w:fldCharType="end"/>
                          </w:r>
                        </w:p>
                      </w:txbxContent>
                    </wps:txbx>
                    <wps:bodyPr vert="horz" wrap="square" lIns="0" tIns="0" rIns="0" bIns="0" anchor="t" anchorCtr="0" upright="1">
                      <a:noAutofit/>
                    </wps:bodyPr>
                  </wps:wsp>
                </a:graphicData>
              </a:graphic>
            </wp:anchor>
          </w:drawing>
        </mc:Choice>
        <mc:Fallback>
          <w:pict>
            <v:rect type="#_x0000_t1" id="矩形 63" o:spid="_x0000_s63" filled="f" stroked="f" style="position:absolute;margin-left:209.59999pt;margin-top:-12.95pt;width:30.600006pt;height:14.3pt;z-index:67;mso-position-horizontal:absolute;mso-position-horizontal-relative:margin;mso-position-vertical:absolute;mso-wrap-distance-left:8.99983pt;mso-wrap-distance-right:8.99983pt;mso-wrap-style:square;">
              <v:stroke color="#000000"/>
              <v:textbox id="880" inset="0mm,0mm,0mm,0mm" o:insetmode="custom" style="layout-flow:horizontal;v-text-anchor:top;">
                <w:txbxContent>
                  <w:p>
                    <w:pPr>
                      <w:pStyle w:val="17"/>
                      <w:tabs>
                        <w:tab w:val="center" w:pos="4153"/>
                        <w:tab w:val="right" w:pos="8306"/>
                      </w:tabs>
                      <w:jc w:val="center"/>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- 9 -</w:t>
                    </w:r>
                    <w:r>
                      <w:rPr>
                        <w:rFonts w:ascii="Times New Roman" w:cs="Times New Roman" w:hAnsi="Times New Roman"/>
                        <w:sz w:val="24"/>
                        <w:szCs w:val="24"/>
                      </w:rPr>
                      <w:fldChar w:fldCharType="end"/>
                    </w:r>
                  </w:p>
                </w:txbxContent>
              </v:textbox>
            </v:rect>
          </w:pict>
        </mc:Fallback>
      </mc:AlternateContent>
    </w: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pPr>
    <w:r>
      <mc:AlternateContent>
        <mc:Choice Requires="wps">
          <w:drawing>
            <wp:anchor distT="0" distB="0" distL="114297" distR="114297" simplePos="0" relativeHeight="68" behindDoc="0" locked="0" layoutInCell="1" hidden="0" allowOverlap="1">
              <wp:simplePos x="0" y="0"/>
              <wp:positionH relativeFrom="margin">
                <wp:posOffset>2623185</wp:posOffset>
              </wp:positionH>
              <wp:positionV relativeFrom="paragraph">
                <wp:posOffset>-285115</wp:posOffset>
              </wp:positionV>
              <wp:extent cx="431799" cy="446405"/>
              <wp:effectExtent l="0" t="0" r="0" b="0"/>
              <wp:wrapNone/>
              <wp:docPr id="64" name="矩形"/>
              <wp:cNvGraphicFramePr>
                <a:graphicFrameLocks noChangeAspect="0"/>
              </wp:cNvGraphicFramePr>
              <a:graphic>
                <a:graphicData uri="http://schemas.microsoft.com/office/word/2010/wordprocessingShape">
                  <wps:wsp>
                    <wps:cNvSpPr/>
                    <wps:spPr>
                      <a:xfrm rot="0">
                        <a:off x="0" y="0"/>
                        <a:ext cx="431799" cy="446405"/>
                      </a:xfrm>
                      <a:prstGeom prst="rect"/>
                      <a:noFill/>
                      <a:ln w="9525" cmpd="sng" cap="flat">
                        <a:noFill/>
                        <a:prstDash val="solid"/>
                        <a:miter/>
                      </a:ln>
                    </wps:spPr>
                    <wps:txbx id="65">
                      <w:txbxContent>
                        <w:p>
                          <w:pPr>
                            <w:pStyle w:val="17"/>
                            <w:tabs>
                              <w:tab w:val="center" w:pos="4153"/>
                              <w:tab w:val="right" w:pos="8306"/>
                            </w:tabs>
                            <w:jc w:val="center"/>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- 5 -</w:t>
                          </w:r>
                          <w:r>
                            <w:rPr>
                              <w:rFonts w:ascii="Times New Roman" w:cs="Times New Roman" w:hAnsi="Times New Roman"/>
                              <w:sz w:val="24"/>
                              <w:szCs w:val="24"/>
                            </w:rPr>
                            <w:fldChar w:fldCharType="end"/>
                          </w:r>
                        </w:p>
                      </w:txbxContent>
                    </wps:txbx>
                    <wps:bodyPr vert="horz" wrap="square" lIns="0" tIns="0" rIns="0" bIns="0" anchor="t" anchorCtr="0" upright="1">
                      <a:noAutofit/>
                    </wps:bodyPr>
                  </wps:wsp>
                </a:graphicData>
              </a:graphic>
            </wp:anchor>
          </w:drawing>
        </mc:Choice>
        <mc:Fallback>
          <w:pict>
            <v:rect type="#_x0000_t1" id="矩形 66" o:spid="_x0000_s66" filled="f" stroked="f" style="position:absolute;margin-left:206.55pt;margin-top:-22.45pt;width:33.999992pt;height:35.15pt;z-index:68;mso-position-horizontal:absolute;mso-position-horizontal-relative:margin;mso-position-vertical:absolute;mso-wrap-distance-left:8.99983pt;mso-wrap-distance-right:8.99983pt;mso-wrap-style:square;">
              <v:stroke color="#000000"/>
              <v:textbox id="881" inset="0mm,0mm,0mm,0mm" o:insetmode="custom" style="layout-flow:horizontal;v-text-anchor:top;">
                <w:txbxContent>
                  <w:p>
                    <w:pPr>
                      <w:pStyle w:val="17"/>
                      <w:tabs>
                        <w:tab w:val="center" w:pos="4153"/>
                        <w:tab w:val="right" w:pos="8306"/>
                      </w:tabs>
                      <w:jc w:val="center"/>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- 5 -</w:t>
                    </w:r>
                    <w:r>
                      <w:rPr>
                        <w:rFonts w:ascii="Times New Roman" w:cs="Times New Roman" w:hAnsi="Times New Roman"/>
                        <w:sz w:val="24"/>
                        <w:szCs w:val="24"/>
                      </w:rPr>
                      <w:fldChar w:fldCharType="end"/>
                    </w:r>
                  </w:p>
                </w:txbxContent>
              </v:textbox>
            </v:rect>
          </w:pict>
        </mc:Fallback>
      </mc:AlternateContent>
    </w: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pPr>
    <w:r>
      <mc:AlternateContent>
        <mc:Choice Requires="wps">
          <w:drawing>
            <wp:anchor distT="0" distB="0" distL="114297" distR="114297" simplePos="0" relativeHeight="69" behindDoc="0" locked="0" layoutInCell="1" hidden="0" allowOverlap="1">
              <wp:simplePos x="0" y="0"/>
              <wp:positionH relativeFrom="margin">
                <wp:posOffset>2656205</wp:posOffset>
              </wp:positionH>
              <wp:positionV relativeFrom="paragraph">
                <wp:posOffset>-76200</wp:posOffset>
              </wp:positionV>
              <wp:extent cx="330200" cy="237490"/>
              <wp:effectExtent l="0" t="0" r="0" b="0"/>
              <wp:wrapNone/>
              <wp:docPr id="123" name="矩形"/>
              <wp:cNvGraphicFramePr>
                <a:graphicFrameLocks noChangeAspect="0"/>
              </wp:cNvGraphicFramePr>
              <a:graphic>
                <a:graphicData uri="http://schemas.microsoft.com/office/word/2010/wordprocessingShape">
                  <wps:wsp>
                    <wps:cNvSpPr/>
                    <wps:spPr>
                      <a:xfrm rot="0">
                        <a:off x="0" y="0"/>
                        <a:ext cx="330200" cy="237490"/>
                      </a:xfrm>
                      <a:prstGeom prst="rect"/>
                      <a:noFill/>
                      <a:ln w="9525" cmpd="sng" cap="flat">
                        <a:noFill/>
                        <a:prstDash val="solid"/>
                        <a:miter/>
                      </a:ln>
                    </wps:spPr>
                    <wps:txbx id="124">
                      <w:txbxContent>
                        <w:p>
                          <w:pPr>
                            <w:pStyle w:val="17"/>
                            <w:tabs>
                              <w:tab w:val="center" w:pos="4153"/>
                              <w:tab w:val="right" w:pos="8306"/>
                            </w:tabs>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- 30 -</w:t>
                          </w:r>
                          <w:r>
                            <w:rPr>
                              <w:rFonts w:ascii="Times New Roman" w:cs="Times New Roman" w:hAnsi="Times New Roman"/>
                              <w:sz w:val="24"/>
                              <w:szCs w:val="24"/>
                            </w:rPr>
                            <w:fldChar w:fldCharType="end"/>
                          </w:r>
                        </w:p>
                      </w:txbxContent>
                    </wps:txbx>
                    <wps:bodyPr vert="horz" wrap="none" lIns="0" tIns="0" rIns="0" bIns="0" anchor="t" anchorCtr="0" upright="1">
                      <a:noAutofit/>
                    </wps:bodyPr>
                  </wps:wsp>
                </a:graphicData>
              </a:graphic>
            </wp:anchor>
          </w:drawing>
        </mc:Choice>
        <mc:Fallback>
          <w:pict>
            <v:rect type="#_x0000_t1" id="矩形 125" o:spid="_x0000_s125" filled="f" stroked="f" style="position:absolute;margin-left:209.15pt;margin-top:-6.0pt;width:26.000008pt;height:18.7pt;z-index:69;mso-position-horizontal:absolute;mso-position-horizontal-relative:margin;mso-position-vertical:absolute;mso-wrap-distance-left:8.99983pt;mso-wrap-distance-right:8.99983pt;mso-wrap-style:none;">
              <v:stroke color="#000000"/>
              <v:textbox id="882" inset="0mm,0mm,0mm,0mm" o:insetmode="custom" style="layout-flow:horizontal;v-text-anchor:top;">
                <w:txbxContent>
                  <w:p>
                    <w:pPr>
                      <w:pStyle w:val="17"/>
                      <w:tabs>
                        <w:tab w:val="center" w:pos="4153"/>
                        <w:tab w:val="right" w:pos="8306"/>
                      </w:tabs>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- 30 -</w:t>
                    </w:r>
                    <w:r>
                      <w:rPr>
                        <w:rFonts w:ascii="Times New Roman" w:cs="Times New Roman" w:hAnsi="Times New Roman"/>
                        <w:sz w:val="24"/>
                        <w:szCs w:val="24"/>
                      </w:rPr>
                      <w:fldChar w:fldCharType="end"/>
                    </w:r>
                  </w:p>
                </w:txbxContent>
              </v:textbox>
            </v:rect>
          </w:pict>
        </mc:Fallback>
      </mc:AlternateContent>
    </w:r>
  </w:p>
</w:ftr>
</file>

<file path=word/footer6.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pPr>
    <w:r>
      <mc:AlternateContent>
        <mc:Choice Requires="wps">
          <w:drawing>
            <wp:anchor distT="0" distB="0" distL="114297" distR="114297" simplePos="0" relativeHeight="70" behindDoc="0" locked="0" layoutInCell="1" hidden="0" allowOverlap="1">
              <wp:simplePos x="0" y="0"/>
              <wp:positionH relativeFrom="margin">
                <wp:posOffset>2609215</wp:posOffset>
              </wp:positionH>
              <wp:positionV relativeFrom="paragraph">
                <wp:posOffset>-238125</wp:posOffset>
              </wp:positionV>
              <wp:extent cx="382905" cy="399415"/>
              <wp:effectExtent l="0" t="0" r="0" b="0"/>
              <wp:wrapNone/>
              <wp:docPr id="126" name="矩形"/>
              <wp:cNvGraphicFramePr>
                <a:graphicFrameLocks noChangeAspect="0"/>
              </wp:cNvGraphicFramePr>
              <a:graphic>
                <a:graphicData uri="http://schemas.microsoft.com/office/word/2010/wordprocessingShape">
                  <wps:wsp>
                    <wps:cNvSpPr/>
                    <wps:spPr>
                      <a:xfrm rot="0">
                        <a:off x="0" y="0"/>
                        <a:ext cx="382905" cy="399415"/>
                      </a:xfrm>
                      <a:prstGeom prst="rect"/>
                      <a:noFill/>
                      <a:ln w="9525" cmpd="sng" cap="flat">
                        <a:noFill/>
                        <a:prstDash val="solid"/>
                        <a:miter/>
                      </a:ln>
                    </wps:spPr>
                    <wps:txbx id="127">
                      <w:txbxContent>
                        <w:p>
                          <w:pPr>
                            <w:pStyle w:val="17"/>
                            <w:tabs>
                              <w:tab w:val="center" w:pos="4153"/>
                              <w:tab w:val="right" w:pos="8306"/>
                            </w:tabs>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- 10 -</w:t>
                          </w:r>
                          <w:r>
                            <w:rPr>
                              <w:rFonts w:ascii="Times New Roman" w:cs="Times New Roman" w:hAnsi="Times New Roman"/>
                              <w:sz w:val="24"/>
                              <w:szCs w:val="24"/>
                            </w:rPr>
                            <w:fldChar w:fldCharType="end"/>
                          </w:r>
                        </w:p>
                      </w:txbxContent>
                    </wps:txbx>
                    <wps:bodyPr vert="horz" wrap="square" lIns="0" tIns="0" rIns="0" bIns="0" anchor="t" anchorCtr="0" upright="1">
                      <a:noAutofit/>
                    </wps:bodyPr>
                  </wps:wsp>
                </a:graphicData>
              </a:graphic>
            </wp:anchor>
          </w:drawing>
        </mc:Choice>
        <mc:Fallback>
          <w:pict>
            <v:rect type="#_x0000_t1" id="矩形 128" o:spid="_x0000_s128" filled="f" stroked="f" style="position:absolute;margin-left:205.45pt;margin-top:-18.75pt;width:30.150007pt;height:31.449999pt;z-index:70;mso-position-horizontal:absolute;mso-position-horizontal-relative:margin;mso-position-vertical:absolute;mso-wrap-distance-left:8.99983pt;mso-wrap-distance-right:8.99983pt;mso-wrap-style:square;">
              <v:stroke color="#000000"/>
              <v:textbox id="883" inset="0mm,0mm,0mm,0mm" o:insetmode="custom" style="layout-flow:horizontal;v-text-anchor:top;">
                <w:txbxContent>
                  <w:p>
                    <w:pPr>
                      <w:pStyle w:val="17"/>
                      <w:tabs>
                        <w:tab w:val="center" w:pos="4153"/>
                        <w:tab w:val="right" w:pos="8306"/>
                      </w:tabs>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- 10 -</w:t>
                    </w:r>
                    <w:r>
                      <w:rPr>
                        <w:rFonts w:ascii="Times New Roman" w:cs="Times New Roman" w:hAnsi="Times New Roman"/>
                        <w:sz w:val="24"/>
                        <w:szCs w:val="24"/>
                      </w:rPr>
                      <w:fldChar w:fldCharType="end"/>
                    </w:r>
                  </w:p>
                </w:txbxContent>
              </v:textbox>
            </v:rect>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pPr>
    <w:r>
      <mc:AlternateContent>
        <mc:Choice Requires="wps">
          <w:drawing>
            <wp:anchor distT="0" distB="0" distL="114297" distR="114297" simplePos="0" relativeHeight="54" behindDoc="0" locked="0" layoutInCell="1" hidden="0" allowOverlap="1">
              <wp:simplePos x="0" y="0"/>
              <wp:positionH relativeFrom="page">
                <wp:align>left</wp:align>
              </wp:positionH>
              <wp:positionV relativeFrom="page">
                <wp:posOffset>377825</wp:posOffset>
              </wp:positionV>
              <wp:extent cx="2000249" cy="406399"/>
              <wp:effectExtent l="0" t="0" r="0" b="0"/>
              <wp:wrapNone/>
              <wp:docPr id="1" name="组合"/>
              <wp:cNvGraphicFramePr>
                <a:graphicFrameLocks noChangeAspect="0"/>
              </wp:cNvGraphicFramePr>
              <a:graphic>
                <a:graphicData uri="http://schemas.microsoft.com/office/word/2010/wordprocessingGroup">
                  <wpg:wgp>
                    <wpg:cNvPr id="2" name="组合 2"/>
                    <wpg:cNvGrpSpPr/>
                    <wpg:grpSpPr>
                      <a:xfrm rot="0">
                        <a:off x="0" y="0"/>
                        <a:ext cx="2000249" cy="406399"/>
                        <a:chOff x="0" y="0"/>
                        <a:chExt cx="2000249" cy="406399"/>
                      </a:xfrm>
                      <a:prstGeom prst="rect"/>
                      <a:solidFill>
                        <a:srgbClr val="FFFFFF"/>
                      </a:solidFill>
                      <a:ln w="9525" cmpd="sng" cap="flat">
                        <a:solidFill>
                          <a:srgbClr val="000000"/>
                        </a:solidFill>
                        <a:prstDash val="solid"/>
                        <a:miter/>
                      </a:ln>
                    </wpg:grpSpPr>
                    <wps:wsp>
                      <wps:cNvPr id="3" name="矩形 3"/>
                      <wps:cNvSpPr/>
                      <wps:spPr>
                        <a:xfrm rot="0">
                          <a:off x="40017" y="0"/>
                          <a:ext cx="1960231" cy="406399"/>
                        </a:xfrm>
                        <a:prstGeom prst="rect"/>
                        <a:noFill/>
                        <a:ln w="9525" cmpd="sng" cap="flat">
                          <a:noFill/>
                          <a:prstDash val="solid"/>
                          <a:miter/>
                        </a:ln>
                      </wps:spPr>
                      <wps:txbx id="4">
                        <w:txbxContent>
                          <w:p>
                            <w:pPr>
                              <w:rPr>
                                <w:rFonts w:ascii="微软雅黑" w:eastAsia="微软雅黑" w:cs="微软雅黑"/>
                                <w:b/>
                                <w:bCs/>
                                <w:sz w:val="28"/>
                                <w:szCs w:val="36"/>
                              </w:rPr>
                            </w:pPr>
                            <w:r>
                              <w:rPr>
                                <w:rFonts w:ascii="微软雅黑" w:eastAsia="微软雅黑" w:cs="微软雅黑"/>
                                <w:b/>
                                <w:bCs/>
                                <w:sz w:val="28"/>
                                <w:szCs w:val="36"/>
                              </w:rPr>
                              <w:t xml:space="preserve">20XX </w:t>
                            </w:r>
                            <w:r>
                              <w:rPr>
                                <w:rFonts w:ascii="微软雅黑" w:eastAsia="微软雅黑" w:cs="微软雅黑" w:hint="eastAsia"/>
                                <w:b/>
                                <w:bCs/>
                                <w:sz w:val="28"/>
                                <w:szCs w:val="36"/>
                              </w:rPr>
                              <w:t>企业业务制定</w:t>
                            </w:r>
                          </w:p>
                        </w:txbxContent>
                      </wps:txbx>
                      <wps:bodyPr vert="horz" wrap="square" lIns="91440" tIns="45720" rIns="91440" bIns="45720" anchor="t" anchorCtr="0" upright="1">
                        <a:noAutofit/>
                      </wps:bodyPr>
                    </wps:wsp>
                    <wps:wsp>
                      <wps:cNvPr id="5" name="矩形 5"/>
                      <wps:cNvSpPr/>
                      <wps:spPr>
                        <a:xfrm rot="0">
                          <a:off x="0" y="104139"/>
                          <a:ext cx="74953" cy="208914"/>
                        </a:xfrm>
                        <a:prstGeom prst="rect"/>
                        <a:solidFill>
                          <a:srgbClr val="000000"/>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6" o:spid="_x0000_s6" coordorigin="0,595" coordsize="3149,639" style="position:absolute;margin-left:0.0pt;margin-top:29.75pt;width:157.49997pt;height:31.999994pt;z-index:54;mso-position-horizontal:left;mso-position-horizontal-relative:page;mso-position-vertical:absolute;mso-position-vertical-relative:page;mso-wrap-distance-left:8.99983pt;mso-wrap-distance-right:8.99983pt;">
              <v:rect type="#_x0000_t1" id="矩形 7" o:spid="_x0000_s7" style="position:absolute;left:63;top:595;width:3086;height:639;mso-wrap-style:square;" filled="f" stroked="f">
                <v:textbox id="874" inset="2.54mm,1.27mm,2.54mm,1.27mm" o:insetmode="custom" style="layout-flow:horizontal;v-text-anchor:top;">
                  <w:txbxContent>
                    <w:p>
                      <w:pPr>
                        <w:rPr>
                          <w:rFonts w:ascii="微软雅黑" w:eastAsia="微软雅黑" w:cs="微软雅黑"/>
                          <w:b/>
                          <w:bCs/>
                          <w:sz w:val="28"/>
                          <w:szCs w:val="36"/>
                        </w:rPr>
                      </w:pPr>
                      <w:r>
                        <w:rPr>
                          <w:rFonts w:ascii="微软雅黑" w:eastAsia="微软雅黑" w:cs="微软雅黑"/>
                          <w:b/>
                          <w:bCs/>
                          <w:sz w:val="28"/>
                          <w:szCs w:val="36"/>
                        </w:rPr>
                        <w:t xml:space="preserve">20XX </w:t>
                      </w:r>
                      <w:r>
                        <w:rPr>
                          <w:rFonts w:ascii="微软雅黑" w:eastAsia="微软雅黑" w:cs="微软雅黑" w:hint="eastAsia"/>
                          <w:b/>
                          <w:bCs/>
                          <w:sz w:val="28"/>
                          <w:szCs w:val="36"/>
                        </w:rPr>
                        <w:t>企业业务制定</w:t>
                      </w:r>
                    </w:p>
                  </w:txbxContent>
                </v:textbox>
                <v:stroke color="#000000"/>
              </v:rect>
              <v:rect type="#_x0000_t1" id="矩形 8" o:spid="_x0000_s8" style="position:absolute;left:0;top:758;width:118;height:328;" fillcolor="#000000" stroked="f">
                <v:stroke color="#000000"/>
              </v:rect>
            </v:group>
          </w:pict>
        </mc:Fallback>
      </mc:AlternateContent>
    </w:r>
    <w:r>
      <mc:AlternateContent>
        <mc:Choice Requires="wps">
          <w:drawing>
            <wp:anchor distT="0" distB="0" distL="114297" distR="114297" simplePos="0" relativeHeight="55" behindDoc="0" locked="0" layoutInCell="1" hidden="0" allowOverlap="1">
              <wp:simplePos x="0" y="0"/>
              <wp:positionH relativeFrom="page">
                <wp:align>center</wp:align>
              </wp:positionH>
              <wp:positionV relativeFrom="paragraph">
                <wp:align>bottom</wp:align>
              </wp:positionV>
              <wp:extent cx="7575550" cy="748030"/>
              <wp:effectExtent l="0" t="0" r="0" b="0"/>
              <wp:wrapNone/>
              <wp:docPr id="9" name="组合"/>
              <wp:cNvGraphicFramePr>
                <a:graphicFrameLocks noChangeAspect="0"/>
              </wp:cNvGraphicFramePr>
              <a:graphic>
                <a:graphicData uri="http://schemas.microsoft.com/office/word/2010/wordprocessingGroup">
                  <wpg:wgp>
                    <wpg:cNvPr id="10" name="组合 10"/>
                    <wpg:cNvGrpSpPr/>
                    <wpg:grpSpPr>
                      <a:xfrm rot="0">
                        <a:off x="0" y="0"/>
                        <a:ext cx="7575550" cy="748030"/>
                        <a:chOff x="0" y="0"/>
                        <a:chExt cx="7575550" cy="748030"/>
                      </a:xfrm>
                      <a:prstGeom prst="rect"/>
                      <a:solidFill>
                        <a:srgbClr val="FFFFFF"/>
                      </a:solidFill>
                      <a:ln w="9525" cmpd="sng" cap="flat">
                        <a:solidFill>
                          <a:srgbClr val="000000"/>
                        </a:solidFill>
                        <a:prstDash val="solid"/>
                        <a:miter/>
                      </a:ln>
                    </wpg:grpSpPr>
                    <wps:wsp>
                      <wps:cNvPr id="11" name="矩形 11"/>
                      <wps:cNvSpPr/>
                      <wps:spPr>
                        <a:xfrm rot="0">
                          <a:off x="0" y="655320"/>
                          <a:ext cx="7571740" cy="92710"/>
                        </a:xfrm>
                        <a:prstGeom prst="rect"/>
                        <a:solidFill>
                          <a:srgbClr val="FFD966"/>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12" o:spid="_x0000_s12" coordorigin="0,0" coordsize="11930,1178" style="position:absolute;margin-left:0.0pt;margin-top:0.0pt;width:596.5pt;height:58.9pt;z-index:55;mso-position-horizontal:center;mso-position-horizontal-relative:page;mso-position-vertical:bottom;mso-wrap-distance-left:8.99983pt;mso-wrap-distance-right:8.99983pt;">
              <v:rect type="#_x0000_t1" id="矩形 13" o:spid="_x0000_s13" style="position:absolute;left:0;top:1032;width:11924;height:146;" fillcolor="#FFD966" stroked="f">
                <v:stroke color="#000000"/>
              </v:rect>
              <v:shape type="#_x0000_t75" id="图片 14" o:spid="_x0000_s14" style="position:absolute;left:9296;top:181;width:2618;height:862;" filled="f" stroked="f">
                <v:imagedata/>
                <o:lock aspectratio="t"/>
                <v:stroke color="#000000"/>
              </v:shape>
              <v:shape type="#_x0000_t75" id="图片 15" o:spid="_x0000_s15" style="position:absolute;left:9585;top:0;width:2344;height:1107;" filled="f" stroked="f">
                <v:imagedata/>
                <o:lock aspectratio="t"/>
                <v:stroke color="#000000"/>
              </v:shape>
            </v:group>
          </w:pict>
        </mc:Fallback>
      </mc:AlternateContent>
    </w:r>
  </w:p>
</w:hdr>
</file>

<file path=word/header10.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pPr>
  </w:p>
</w:hdr>
</file>

<file path=word/header1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pPr>
  </w:p>
</w:hdr>
</file>

<file path=word/header1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pPr>
    <w:r>
      <mc:AlternateContent>
        <mc:Choice Requires="wps">
          <w:drawing>
            <wp:anchor distT="0" distB="0" distL="114297" distR="114297" simplePos="0" relativeHeight="65" behindDoc="0" locked="0" layoutInCell="1" hidden="0" allowOverlap="1">
              <wp:simplePos x="0" y="0"/>
              <wp:positionH relativeFrom="page">
                <wp:posOffset>31749</wp:posOffset>
              </wp:positionH>
              <wp:positionV relativeFrom="paragraph">
                <wp:posOffset>365125</wp:posOffset>
              </wp:positionV>
              <wp:extent cx="7555864" cy="447676"/>
              <wp:effectExtent l="0" t="0" r="0" b="0"/>
              <wp:wrapNone/>
              <wp:docPr id="148" name="组合"/>
              <wp:cNvGraphicFramePr>
                <a:graphicFrameLocks noChangeAspect="0"/>
              </wp:cNvGraphicFramePr>
              <a:graphic>
                <a:graphicData uri="http://schemas.microsoft.com/office/word/2010/wordprocessingGroup">
                  <wpg:wgp>
                    <wpg:cNvPr id="149" name="组合 149"/>
                    <wpg:cNvGrpSpPr/>
                    <wpg:grpSpPr>
                      <a:xfrm rot="0">
                        <a:off x="0" y="0"/>
                        <a:ext cx="7555864" cy="447676"/>
                        <a:chOff x="0" y="0"/>
                        <a:chExt cx="7555864" cy="447676"/>
                      </a:xfrm>
                      <a:prstGeom prst="rect"/>
                      <a:solidFill>
                        <a:srgbClr val="FFFFFF"/>
                      </a:solidFill>
                      <a:ln w="9525" cmpd="sng" cap="flat">
                        <a:solidFill>
                          <a:srgbClr val="000000"/>
                        </a:solidFill>
                        <a:prstDash val="solid"/>
                        <a:miter/>
                      </a:ln>
                    </wpg:grpSpPr>
                    <wps:wsp>
                      <wps:cNvPr id="150" name="矩形 150"/>
                      <wps:cNvSpPr/>
                      <wps:spPr>
                        <a:xfrm rot="0">
                          <a:off x="0" y="392430"/>
                          <a:ext cx="7550784" cy="55245"/>
                        </a:xfrm>
                        <a:prstGeom prst="rect"/>
                        <a:solidFill>
                          <a:srgbClr val="FFD966"/>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151" o:spid="_x0000_s151" coordorigin="49,1426" coordsize="11898,705" style="position:absolute;margin-left:2.5pt;margin-top:28.750002pt;width:594.9499pt;height:35.25008pt;z-index:65;mso-position-horizontal:absolute;mso-position-horizontal-relative:page;mso-position-vertical:absolute;mso-wrap-distance-left:8.99983pt;mso-wrap-distance-right:8.99983pt;">
              <v:rect type="#_x0000_t1" id="矩形 152" o:spid="_x0000_s152" style="position:absolute;left:49;top:2044;width:11890;height:87;" fillcolor="#FFD966" stroked="f">
                <v:stroke color="#000000"/>
              </v:rect>
              <v:shape type="#_x0000_t75" id="图片 153" o:spid="_x0000_s153" style="position:absolute;left:9321;top:1535;width:2611;height:515;" filled="f" stroked="f">
                <v:imagedata/>
                <o:lock aspectratio="t"/>
                <v:stroke color="#000000"/>
              </v:shape>
              <v:shape type="#_x0000_t75" id="图片 154" o:spid="_x0000_s154" style="position:absolute;left:9610;top:1426;width:2338;height:662;" filled="f" stroked="f">
                <v:imagedata/>
                <o:lock aspectratio="t"/>
                <v:stroke color="#000000"/>
              </v:shape>
            </v:group>
          </w:pict>
        </mc:Fallback>
      </mc:AlternateContent>
    </w:r>
    <w:r>
      <mc:AlternateContent>
        <mc:Choice Requires="wps">
          <w:drawing>
            <wp:anchor distT="0" distB="0" distL="114297" distR="114297" simplePos="0" relativeHeight="66" behindDoc="0" locked="0" layoutInCell="1" hidden="0" allowOverlap="1">
              <wp:simplePos x="0" y="0"/>
              <wp:positionH relativeFrom="page">
                <wp:posOffset>0</wp:posOffset>
              </wp:positionH>
              <wp:positionV relativeFrom="page">
                <wp:posOffset>377825</wp:posOffset>
              </wp:positionV>
              <wp:extent cx="3555365" cy="406400"/>
              <wp:effectExtent l="0" t="0" r="0" b="0"/>
              <wp:wrapNone/>
              <wp:docPr id="155" name="组合"/>
              <wp:cNvGraphicFramePr>
                <a:graphicFrameLocks noChangeAspect="0"/>
              </wp:cNvGraphicFramePr>
              <a:graphic>
                <a:graphicData uri="http://schemas.microsoft.com/office/word/2010/wordprocessingGroup">
                  <wpg:wgp>
                    <wpg:cNvPr id="156" name="组合 156"/>
                    <wpg:cNvGrpSpPr/>
                    <wpg:grpSpPr>
                      <a:xfrm rot="0">
                        <a:off x="0" y="0"/>
                        <a:ext cx="3555365" cy="406400"/>
                        <a:chOff x="0" y="0"/>
                        <a:chExt cx="3555365" cy="406400"/>
                      </a:xfrm>
                      <a:prstGeom prst="rect"/>
                      <a:solidFill>
                        <a:srgbClr val="FFFFFF"/>
                      </a:solidFill>
                      <a:ln w="9525" cmpd="sng" cap="flat">
                        <a:solidFill>
                          <a:srgbClr val="000000"/>
                        </a:solidFill>
                        <a:prstDash val="solid"/>
                        <a:miter/>
                      </a:ln>
                    </wpg:grpSpPr>
                    <wps:wsp>
                      <wps:cNvPr id="157" name="矩形 157"/>
                      <wps:cNvSpPr/>
                      <wps:spPr>
                        <a:xfrm rot="0">
                          <a:off x="71755" y="0"/>
                          <a:ext cx="3483610" cy="406400"/>
                        </a:xfrm>
                        <a:prstGeom prst="rect"/>
                        <a:noFill/>
                        <a:ln w="9525" cmpd="sng" cap="flat">
                          <a:noFill/>
                          <a:prstDash val="solid"/>
                          <a:miter/>
                        </a:ln>
                      </wps:spPr>
                      <wps:txbx id="158">
                        <w:txbxContent>
                          <w:p/>
                        </w:txbxContent>
                      </wps:txbx>
                      <wps:bodyPr vert="horz" wrap="square" lIns="91440" tIns="45720" rIns="91440" bIns="45720" anchor="t" anchorCtr="0" upright="1">
                        <a:noAutofit/>
                      </wps:bodyPr>
                    </wps:wsp>
                    <wps:wsp>
                      <wps:cNvPr id="159" name="矩形 159"/>
                      <wps:cNvSpPr/>
                      <wps:spPr>
                        <a:xfrm rot="0">
                          <a:off x="0" y="104140"/>
                          <a:ext cx="133985" cy="208914"/>
                        </a:xfrm>
                        <a:prstGeom prst="rect"/>
                        <a:solidFill>
                          <a:srgbClr val="000000"/>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160" o:spid="_x0000_s160" coordorigin="0,595" coordsize="5599,640" style="position:absolute;margin-left:0.0pt;margin-top:29.75pt;width:279.95pt;height:32.0pt;z-index:66;mso-position-horizontal:absolute;mso-position-horizontal-relative:page;mso-position-vertical:absolute;mso-position-vertical-relative:page;mso-wrap-distance-left:8.99983pt;mso-wrap-distance-right:8.99983pt;">
              <v:rect type="#_x0000_t1" id="矩形 161" o:spid="_x0000_s161" style="position:absolute;left:113;top:595;width:5486;height:640;mso-wrap-style:square;" filled="f" stroked="f">
                <v:textbox id="879" inset="2.54mm,1.27mm,2.54mm,1.27mm" o:insetmode="custom" style="layout-flow:horizontal;v-text-anchor:top;">
                  <w:txbxContent>
                    <w:p/>
                  </w:txbxContent>
                </v:textbox>
                <v:stroke color="#000000"/>
              </v:rect>
              <v:rect type="#_x0000_t1" id="矩形 162" o:spid="_x0000_s162" style="position:absolute;left:0;top:759;width:211;height:328;" fillcolor="#000000" stroked="f">
                <v:stroke color="#000000"/>
              </v:rect>
            </v:group>
          </w:pict>
        </mc:Fallback>
      </mc:AlternateContent>
    </w: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pP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pPr>
  </w:p>
</w:hdr>
</file>

<file path=word/header4.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pPr>
    <w:r>
      <mc:AlternateContent>
        <mc:Choice Requires="wps">
          <w:drawing>
            <wp:anchor distT="0" distB="0" distL="114297" distR="114297" simplePos="0" relativeHeight="56" behindDoc="0" locked="0" layoutInCell="1" hidden="0" allowOverlap="1">
              <wp:simplePos x="0" y="0"/>
              <wp:positionH relativeFrom="page">
                <wp:posOffset>0</wp:posOffset>
              </wp:positionH>
              <wp:positionV relativeFrom="paragraph">
                <wp:posOffset>682625</wp:posOffset>
              </wp:positionV>
              <wp:extent cx="7553959" cy="2066"/>
              <wp:effectExtent l="0" t="0" r="0" b="0"/>
              <wp:wrapNone/>
              <wp:docPr id="46" name="组合"/>
              <wp:cNvGraphicFramePr>
                <a:graphicFrameLocks noChangeAspect="0"/>
              </wp:cNvGraphicFramePr>
              <a:graphic>
                <a:graphicData uri="http://schemas.microsoft.com/office/word/2010/wordprocessingGroup">
                  <wpg:wgp>
                    <wpg:cNvPr id="47" name="组合 47"/>
                    <wpg:cNvGrpSpPr/>
                    <wpg:grpSpPr>
                      <a:xfrm rot="0">
                        <a:off x="0" y="0"/>
                        <a:ext cx="7553959" cy="2066"/>
                        <a:chOff x="0" y="0"/>
                        <a:chExt cx="7553959" cy="2066"/>
                      </a:xfrm>
                      <a:prstGeom prst="rect"/>
                      <a:solidFill>
                        <a:srgbClr val="FFFFFF"/>
                      </a:solidFill>
                      <a:ln w="9525" cmpd="sng" cap="flat">
                        <a:solidFill>
                          <a:srgbClr val="000000"/>
                        </a:solidFill>
                        <a:prstDash val="solid"/>
                        <a:miter/>
                      </a:ln>
                    </wpg:grpSpPr>
                    <wps:wsp>
                      <wps:cNvPr id="48" name="矩形 48"/>
                      <wps:cNvSpPr/>
                      <wps:spPr>
                        <a:xfrm rot="0">
                          <a:off x="0" y="2000"/>
                          <a:ext cx="7551419" cy="66"/>
                        </a:xfrm>
                        <a:prstGeom prst="rect"/>
                        <a:solidFill>
                          <a:srgbClr val="FFD966"/>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49" o:spid="_x0000_s49" coordorigin="0,1925" coordsize="11895,3" style="position:absolute;margin-left:0.0pt;margin-top:53.749996pt;width:594.7999pt;height:0.16274396pt;z-index:56;mso-position-horizontal:absolute;mso-position-horizontal-relative:page;mso-position-vertical:absolute;mso-wrap-distance-left:8.99983pt;mso-wrap-distance-right:8.99983pt;">
              <v:rect type="#_x0000_t1" id="矩形 50" o:spid="_x0000_s50" style="position:absolute;left:0;top:1929;width:11891;height:0;" fillcolor="#FFD966" stroked="f">
                <v:stroke color="#000000"/>
              </v:rect>
              <v:shape type="#_x0000_t75" id="图片 51" o:spid="_x0000_s51" style="position:absolute;left:9268;top:1928;width:2611;height:1;" filled="f" stroked="f">
                <v:imagedata/>
                <o:lock aspectratio="t"/>
                <v:stroke color="#000000"/>
              </v:shape>
              <v:shape type="#_x0000_t75" id="图片 52" o:spid="_x0000_s52" style="position:absolute;left:9558;top:1925;width:2337;height:1;" filled="f" stroked="f">
                <v:imagedata/>
                <o:lock aspectratio="t"/>
                <v:stroke color="#000000"/>
              </v:shape>
            </v:group>
          </w:pict>
        </mc:Fallback>
      </mc:AlternateContent>
    </w:r>
    <w:r>
      <mc:AlternateContent>
        <mc:Choice Requires="wps">
          <w:drawing>
            <wp:anchor distT="0" distB="0" distL="114297" distR="114297" simplePos="0" relativeHeight="57" behindDoc="0" locked="0" layoutInCell="1" hidden="0" allowOverlap="1">
              <wp:simplePos x="0" y="0"/>
              <wp:positionH relativeFrom="page">
                <wp:posOffset>-26670</wp:posOffset>
              </wp:positionH>
              <wp:positionV relativeFrom="page">
                <wp:posOffset>598805</wp:posOffset>
              </wp:positionV>
              <wp:extent cx="2991484" cy="1152"/>
              <wp:effectExtent l="0" t="0" r="0" b="0"/>
              <wp:wrapNone/>
              <wp:docPr id="53" name="组合"/>
              <wp:cNvGraphicFramePr>
                <a:graphicFrameLocks noChangeAspect="0"/>
              </wp:cNvGraphicFramePr>
              <a:graphic>
                <a:graphicData uri="http://schemas.microsoft.com/office/word/2010/wordprocessingGroup">
                  <wpg:wgp>
                    <wpg:cNvPr id="54" name="组合 54"/>
                    <wpg:cNvGrpSpPr/>
                    <wpg:grpSpPr>
                      <a:xfrm rot="0">
                        <a:off x="0" y="0"/>
                        <a:ext cx="2991484" cy="1152"/>
                        <a:chOff x="0" y="0"/>
                        <a:chExt cx="2991484" cy="1152"/>
                      </a:xfrm>
                      <a:prstGeom prst="rect"/>
                      <a:solidFill>
                        <a:srgbClr val="FFFFFF"/>
                      </a:solidFill>
                      <a:ln w="9525" cmpd="sng" cap="flat">
                        <a:solidFill>
                          <a:srgbClr val="000000"/>
                        </a:solidFill>
                        <a:prstDash val="solid"/>
                        <a:miter/>
                      </a:ln>
                    </wpg:grpSpPr>
                    <wps:wsp>
                      <wps:cNvPr id="55" name="矩形 55"/>
                      <wps:cNvSpPr/>
                      <wps:spPr>
                        <a:xfrm rot="0">
                          <a:off x="58432" y="0"/>
                          <a:ext cx="2933052" cy="1047"/>
                        </a:xfrm>
                        <a:prstGeom prst="rect"/>
                        <a:noFill/>
                        <a:ln w="9525" cmpd="sng" cap="flat">
                          <a:noFill/>
                          <a:prstDash val="solid"/>
                          <a:miter/>
                        </a:ln>
                      </wps:spPr>
                      <wps:txbx id="56">
                        <w:txbxContent>
                          <w:p>
                            <w:pPr>
                              <w:rPr>
                                <w:rFonts w:ascii="微软雅黑" w:eastAsia="微软雅黑" w:cs="微软雅黑"/>
                                <w:b/>
                                <w:bCs/>
                                <w:sz w:val="32"/>
                                <w:szCs w:val="40"/>
                              </w:rPr>
                            </w:pPr>
                            <w:r>
                              <w:rPr>
                                <w:rFonts w:ascii="微软雅黑" w:eastAsia="微软雅黑" w:cs="微软雅黑" w:hint="eastAsia"/>
                                <w:b/>
                                <w:bCs/>
                                <w:sz w:val="32"/>
                                <w:szCs w:val="40"/>
                              </w:rPr>
                              <w:t>第一部分</w:t>
                            </w:r>
                            <w:r>
                              <w:rPr>
                                <w:rFonts w:ascii="微软雅黑" w:eastAsia="微软雅黑" w:cs="微软雅黑"/>
                                <w:b/>
                                <w:bCs/>
                                <w:sz w:val="32"/>
                                <w:szCs w:val="40"/>
                              </w:rPr>
                              <w:t xml:space="preserve">  </w:t>
                            </w:r>
                            <w:r>
                              <w:rPr>
                                <w:rFonts w:ascii="微软雅黑" w:eastAsia="微软雅黑" w:cs="微软雅黑" w:hint="eastAsia"/>
                                <w:b/>
                                <w:bCs/>
                                <w:sz w:val="32"/>
                                <w:szCs w:val="40"/>
                              </w:rPr>
                              <w:t>部门概况</w:t>
                            </w:r>
                          </w:p>
                        </w:txbxContent>
                      </wps:txbx>
                      <wps:bodyPr vert="horz" wrap="square" lIns="91440" tIns="45720" rIns="91440" bIns="45720" anchor="t" anchorCtr="0" upright="1">
                        <a:noAutofit/>
                      </wps:bodyPr>
                    </wps:wsp>
                    <wps:wsp>
                      <wps:cNvPr id="57" name="矩形 57"/>
                      <wps:cNvSpPr/>
                      <wps:spPr>
                        <a:xfrm rot="0">
                          <a:off x="0" y="1047"/>
                          <a:ext cx="112418" cy="104"/>
                        </a:xfrm>
                        <a:prstGeom prst="rect"/>
                        <a:solidFill>
                          <a:srgbClr val="000000"/>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58" o:spid="_x0000_s58" coordorigin="-42,943" coordsize="4710,1" style="position:absolute;margin-left:-2.1pt;margin-top:47.15pt;width:235.54997pt;height:0.09074455pt;z-index:57;mso-position-horizontal:absolute;mso-position-horizontal-relative:page;mso-position-vertical:absolute;mso-position-vertical-relative:page;mso-wrap-distance-left:8.99983pt;mso-wrap-distance-right:8.99983pt;">
              <v:rect type="#_x0000_t1" id="矩形 59" o:spid="_x0000_s59" style="position:absolute;left:50;top:943;width:4618;height:1;mso-wrap-style:square;" filled="f" stroked="f">
                <v:textbox id="875" inset="2.54mm,1.27mm,2.54mm,1.27mm" o:insetmode="custom" style="layout-flow:horizontal;v-text-anchor:top;">
                  <w:txbxContent>
                    <w:p>
                      <w:pPr>
                        <w:rPr>
                          <w:rFonts w:ascii="微软雅黑" w:eastAsia="微软雅黑" w:cs="微软雅黑"/>
                          <w:b/>
                          <w:bCs/>
                          <w:sz w:val="32"/>
                          <w:szCs w:val="40"/>
                        </w:rPr>
                      </w:pPr>
                      <w:r>
                        <w:rPr>
                          <w:rFonts w:ascii="微软雅黑" w:eastAsia="微软雅黑" w:cs="微软雅黑" w:hint="eastAsia"/>
                          <w:b/>
                          <w:bCs/>
                          <w:sz w:val="32"/>
                          <w:szCs w:val="40"/>
                        </w:rPr>
                        <w:t>第一部分</w:t>
                      </w:r>
                      <w:r>
                        <w:rPr>
                          <w:rFonts w:ascii="微软雅黑" w:eastAsia="微软雅黑" w:cs="微软雅黑"/>
                          <w:b/>
                          <w:bCs/>
                          <w:sz w:val="32"/>
                          <w:szCs w:val="40"/>
                        </w:rPr>
                        <w:t xml:space="preserve">  </w:t>
                      </w:r>
                      <w:r>
                        <w:rPr>
                          <w:rFonts w:ascii="微软雅黑" w:eastAsia="微软雅黑" w:cs="微软雅黑" w:hint="eastAsia"/>
                          <w:b/>
                          <w:bCs/>
                          <w:sz w:val="32"/>
                          <w:szCs w:val="40"/>
                        </w:rPr>
                        <w:t>部门概况</w:t>
                      </w:r>
                    </w:p>
                  </w:txbxContent>
                </v:textbox>
                <v:stroke color="#000000"/>
              </v:rect>
              <v:rect type="#_x0000_t1" id="矩形 60" o:spid="_x0000_s60" style="position:absolute;left:-42;top:944;width:177;height:0;" fillcolor="#000000" stroked="f">
                <v:stroke color="#000000"/>
              </v:rect>
            </v:group>
          </w:pict>
        </mc:Fallback>
      </mc:AlternateContent>
    </w:r>
  </w:p>
</w:hdr>
</file>

<file path=word/header5.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pPr>
    <w:r>
      <mc:AlternateContent>
        <mc:Choice Requires="wps">
          <w:drawing>
            <wp:anchor distT="0" distB="0" distL="114297" distR="114297" simplePos="0" relativeHeight="58" behindDoc="0" locked="0" layoutInCell="1" hidden="0" allowOverlap="1">
              <wp:simplePos x="0" y="0"/>
              <wp:positionH relativeFrom="page">
                <wp:posOffset>28575</wp:posOffset>
              </wp:positionH>
              <wp:positionV relativeFrom="page">
                <wp:posOffset>581025</wp:posOffset>
              </wp:positionV>
              <wp:extent cx="3044190" cy="952"/>
              <wp:effectExtent l="0" t="0" r="0" b="0"/>
              <wp:wrapNone/>
              <wp:docPr id="71" name="组合"/>
              <wp:cNvGraphicFramePr>
                <a:graphicFrameLocks noChangeAspect="0"/>
              </wp:cNvGraphicFramePr>
              <a:graphic>
                <a:graphicData uri="http://schemas.microsoft.com/office/word/2010/wordprocessingGroup">
                  <wpg:wgp>
                    <wpg:cNvPr id="72" name="组合 72"/>
                    <wpg:cNvGrpSpPr/>
                    <wpg:grpSpPr>
                      <a:xfrm rot="0">
                        <a:off x="0" y="0"/>
                        <a:ext cx="3044190" cy="952"/>
                        <a:chOff x="0" y="0"/>
                        <a:chExt cx="3044190" cy="952"/>
                      </a:xfrm>
                      <a:prstGeom prst="rect"/>
                      <a:solidFill>
                        <a:srgbClr val="FFFFFF"/>
                      </a:solidFill>
                      <a:ln w="9525" cmpd="sng" cap="flat">
                        <a:solidFill>
                          <a:srgbClr val="000000"/>
                        </a:solidFill>
                        <a:prstDash val="solid"/>
                        <a:miter/>
                      </a:ln>
                    </wpg:grpSpPr>
                    <wps:wsp>
                      <wps:cNvPr id="73" name="矩形 73"/>
                      <wps:cNvSpPr/>
                      <wps:spPr>
                        <a:xfrm rot="0">
                          <a:off x="112395" y="0"/>
                          <a:ext cx="2931795" cy="952"/>
                        </a:xfrm>
                        <a:prstGeom prst="rect"/>
                        <a:noFill/>
                        <a:ln w="9525" cmpd="sng" cap="flat">
                          <a:noFill/>
                          <a:prstDash val="solid"/>
                          <a:miter/>
                        </a:ln>
                      </wps:spPr>
                      <wps:txbx id="74">
                        <w:txbxContent>
                          <w:p>
                            <w:pPr>
                              <w:rPr>
                                <w:rFonts w:ascii="微软雅黑" w:eastAsia="微软雅黑" w:cs="微软雅黑"/>
                                <w:b/>
                                <w:bCs/>
                                <w:sz w:val="32"/>
                                <w:szCs w:val="40"/>
                              </w:rPr>
                            </w:pPr>
                            <w:r>
                              <w:rPr>
                                <w:rFonts w:ascii="微软雅黑" w:eastAsia="微软雅黑" w:cs="微软雅黑" w:hint="eastAsia"/>
                                <w:b/>
                                <w:bCs/>
                                <w:sz w:val="32"/>
                                <w:szCs w:val="40"/>
                              </w:rPr>
                              <w:t>第二部分</w:t>
                            </w:r>
                            <w:r>
                              <w:rPr>
                                <w:rFonts w:ascii="微软雅黑" w:eastAsia="微软雅黑" w:cs="微软雅黑"/>
                                <w:b/>
                                <w:bCs/>
                                <w:sz w:val="32"/>
                                <w:szCs w:val="40"/>
                              </w:rPr>
                              <w:t xml:space="preserve">  </w:t>
                            </w:r>
                            <w:r>
                              <w:rPr>
                                <w:rFonts w:ascii="微软雅黑" w:eastAsia="微软雅黑" w:cs="微软雅黑" w:hint="eastAsia"/>
                                <w:b/>
                                <w:bCs/>
                                <w:sz w:val="32"/>
                                <w:szCs w:val="40"/>
                              </w:rPr>
                              <w:t>部门决算情况说明</w:t>
                            </w:r>
                          </w:p>
                        </w:txbxContent>
                      </wps:txbx>
                      <wps:bodyPr vert="horz" wrap="square" lIns="91440" tIns="45720" rIns="91440" bIns="45720" anchor="t" anchorCtr="0" upright="1">
                        <a:noAutofit/>
                      </wps:bodyPr>
                    </wps:wsp>
                    <wps:wsp>
                      <wps:cNvPr id="75" name="矩形 75"/>
                      <wps:cNvSpPr/>
                      <wps:spPr>
                        <a:xfrm rot="0">
                          <a:off x="0" y="0"/>
                          <a:ext cx="112395" cy="95"/>
                        </a:xfrm>
                        <a:prstGeom prst="rect"/>
                        <a:solidFill>
                          <a:srgbClr val="000000"/>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76" o:spid="_x0000_s76" coordorigin="45,915" coordsize="4794,1" style="position:absolute;margin-left:2.25pt;margin-top:45.75pt;width:239.70004pt;height:0.074997716pt;z-index:58;mso-position-horizontal:absolute;mso-position-horizontal-relative:page;mso-position-vertical:absolute;mso-position-vertical-relative:page;mso-wrap-distance-left:8.99983pt;mso-wrap-distance-right:8.99983pt;">
              <v:rect type="#_x0000_t1" id="矩形 77" o:spid="_x0000_s77" style="position:absolute;left:222;top:915;width:4617;height:1;mso-wrap-style:square;" filled="f" stroked="f">
                <v:textbox id="876" inset="2.54mm,1.27mm,2.54mm,1.27mm" o:insetmode="custom" style="layout-flow:horizontal;v-text-anchor:top;">
                  <w:txbxContent>
                    <w:p>
                      <w:pPr>
                        <w:rPr>
                          <w:rFonts w:ascii="微软雅黑" w:eastAsia="微软雅黑" w:cs="微软雅黑"/>
                          <w:b/>
                          <w:bCs/>
                          <w:sz w:val="32"/>
                          <w:szCs w:val="40"/>
                        </w:rPr>
                      </w:pPr>
                      <w:r>
                        <w:rPr>
                          <w:rFonts w:ascii="微软雅黑" w:eastAsia="微软雅黑" w:cs="微软雅黑" w:hint="eastAsia"/>
                          <w:b/>
                          <w:bCs/>
                          <w:sz w:val="32"/>
                          <w:szCs w:val="40"/>
                        </w:rPr>
                        <w:t>第二部分</w:t>
                      </w:r>
                      <w:r>
                        <w:rPr>
                          <w:rFonts w:ascii="微软雅黑" w:eastAsia="微软雅黑" w:cs="微软雅黑"/>
                          <w:b/>
                          <w:bCs/>
                          <w:sz w:val="32"/>
                          <w:szCs w:val="40"/>
                        </w:rPr>
                        <w:t xml:space="preserve">  </w:t>
                      </w:r>
                      <w:r>
                        <w:rPr>
                          <w:rFonts w:ascii="微软雅黑" w:eastAsia="微软雅黑" w:cs="微软雅黑" w:hint="eastAsia"/>
                          <w:b/>
                          <w:bCs/>
                          <w:sz w:val="32"/>
                          <w:szCs w:val="40"/>
                        </w:rPr>
                        <w:t>部门决算情况说明</w:t>
                      </w:r>
                    </w:p>
                  </w:txbxContent>
                </v:textbox>
                <v:stroke color="#000000"/>
              </v:rect>
              <v:rect type="#_x0000_t1" id="矩形 78" o:spid="_x0000_s78" style="position:absolute;left:45;top:915;width:177;height:0;" fillcolor="#000000" stroked="f">
                <v:stroke color="#000000"/>
              </v:rect>
            </v:group>
          </w:pict>
        </mc:Fallback>
      </mc:AlternateContent>
    </w:r>
    <w:r>
      <mc:AlternateContent>
        <mc:Choice Requires="wps">
          <w:drawing>
            <wp:anchor distT="0" distB="0" distL="114297" distR="114297" simplePos="0" relativeHeight="59" behindDoc="0" locked="0" layoutInCell="1" hidden="0" allowOverlap="1">
              <wp:simplePos x="0" y="0"/>
              <wp:positionH relativeFrom="page">
                <wp:posOffset>34290</wp:posOffset>
              </wp:positionH>
              <wp:positionV relativeFrom="paragraph">
                <wp:posOffset>596265</wp:posOffset>
              </wp:positionV>
              <wp:extent cx="7579994" cy="1400"/>
              <wp:effectExtent l="0" t="0" r="0" b="0"/>
              <wp:wrapNone/>
              <wp:docPr id="79" name="组合"/>
              <wp:cNvGraphicFramePr>
                <a:graphicFrameLocks noChangeAspect="0"/>
              </wp:cNvGraphicFramePr>
              <a:graphic>
                <a:graphicData uri="http://schemas.microsoft.com/office/word/2010/wordprocessingGroup">
                  <wpg:wgp>
                    <wpg:cNvPr id="80" name="组合 80"/>
                    <wpg:cNvGrpSpPr/>
                    <wpg:grpSpPr>
                      <a:xfrm rot="0">
                        <a:off x="0" y="0"/>
                        <a:ext cx="7579994" cy="1400"/>
                        <a:chOff x="0" y="0"/>
                        <a:chExt cx="7579994" cy="1400"/>
                      </a:xfrm>
                      <a:prstGeom prst="rect"/>
                      <a:solidFill>
                        <a:srgbClr val="FFFFFF"/>
                      </a:solidFill>
                      <a:ln w="9525" cmpd="sng" cap="flat">
                        <a:solidFill>
                          <a:srgbClr val="000000"/>
                        </a:solidFill>
                        <a:prstDash val="solid"/>
                        <a:miter/>
                      </a:ln>
                    </wpg:grpSpPr>
                    <wps:wsp>
                      <wps:cNvPr id="81" name="矩形 81"/>
                      <wps:cNvSpPr/>
                      <wps:spPr>
                        <a:xfrm rot="0">
                          <a:off x="0" y="1333"/>
                          <a:ext cx="7550781" cy="66"/>
                        </a:xfrm>
                        <a:prstGeom prst="rect"/>
                        <a:solidFill>
                          <a:srgbClr val="FFD966"/>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82" o:spid="_x0000_s82" coordorigin="54,1790" coordsize="11937,2" style="position:absolute;margin-left:2.7pt;margin-top:46.95pt;width:596.85pt;height:0.110253565pt;z-index:59;mso-position-horizontal:absolute;mso-position-horizontal-relative:page;mso-position-vertical:absolute;mso-wrap-distance-left:8.99983pt;mso-wrap-distance-right:8.99983pt;">
              <v:rect type="#_x0000_t1" id="矩形 83" o:spid="_x0000_s83" style="position:absolute;left:54;top:1792;width:11890;height:0;" fillcolor="#FFD966" stroked="f">
                <v:stroke color="#000000"/>
              </v:rect>
              <v:shape type="#_x0000_t75" id="图片 84" o:spid="_x0000_s84" style="position:absolute;left:9324;top:1791;width:2611;height:1;" filled="f" stroked="f">
                <v:imagedata/>
                <o:lock aspectratio="t"/>
                <v:stroke color="#000000"/>
              </v:shape>
              <v:shape type="#_x0000_t75" id="图片 85" o:spid="_x0000_s85" style="position:absolute;left:9613;top:1790;width:2377;height:1;" filled="f" stroked="f">
                <v:imagedata/>
                <o:lock aspectratio="t"/>
                <v:stroke color="#000000"/>
              </v:shape>
            </v:group>
          </w:pict>
        </mc:Fallback>
      </mc:AlternateContent>
    </w:r>
  </w:p>
</w:hdr>
</file>

<file path=word/header6.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pPr>
    <w:r>
      <mc:AlternateContent>
        <mc:Choice Requires="wps">
          <w:drawing>
            <wp:anchor distT="0" distB="0" distL="114297" distR="114297" simplePos="0" relativeHeight="60" behindDoc="0" locked="0" layoutInCell="1" hidden="0" allowOverlap="1">
              <wp:simplePos x="0" y="0"/>
              <wp:positionH relativeFrom="page">
                <wp:posOffset>0</wp:posOffset>
              </wp:positionH>
              <wp:positionV relativeFrom="paragraph">
                <wp:posOffset>549910</wp:posOffset>
              </wp:positionV>
              <wp:extent cx="7553959" cy="2066"/>
              <wp:effectExtent l="0" t="0" r="0" b="0"/>
              <wp:wrapNone/>
              <wp:docPr id="93" name="组合"/>
              <wp:cNvGraphicFramePr>
                <a:graphicFrameLocks noChangeAspect="0"/>
              </wp:cNvGraphicFramePr>
              <a:graphic>
                <a:graphicData uri="http://schemas.microsoft.com/office/word/2010/wordprocessingGroup">
                  <wpg:wgp>
                    <wpg:cNvPr id="94" name="组合 94"/>
                    <wpg:cNvGrpSpPr/>
                    <wpg:grpSpPr>
                      <a:xfrm rot="0">
                        <a:off x="0" y="0"/>
                        <a:ext cx="7553959" cy="2066"/>
                        <a:chOff x="0" y="0"/>
                        <a:chExt cx="7553959" cy="2066"/>
                      </a:xfrm>
                      <a:prstGeom prst="rect"/>
                      <a:solidFill>
                        <a:srgbClr val="FFFFFF"/>
                      </a:solidFill>
                      <a:ln w="9525" cmpd="sng" cap="flat">
                        <a:solidFill>
                          <a:srgbClr val="000000"/>
                        </a:solidFill>
                        <a:prstDash val="solid"/>
                        <a:miter/>
                      </a:ln>
                    </wpg:grpSpPr>
                    <wps:wsp>
                      <wps:cNvPr id="95" name="矩形 95"/>
                      <wps:cNvSpPr/>
                      <wps:spPr>
                        <a:xfrm rot="0">
                          <a:off x="0" y="2000"/>
                          <a:ext cx="7551419" cy="66"/>
                        </a:xfrm>
                        <a:prstGeom prst="rect"/>
                        <a:solidFill>
                          <a:srgbClr val="FFD966"/>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96" o:spid="_x0000_s96" coordorigin="0,865" coordsize="11895,3" style="position:absolute;margin-left:0.0pt;margin-top:43.3pt;width:594.7999pt;height:0.1627411pt;z-index:60;mso-position-horizontal:absolute;mso-position-horizontal-relative:page;mso-position-vertical:absolute;mso-wrap-distance-left:8.99983pt;mso-wrap-distance-right:8.99983pt;">
              <v:rect type="#_x0000_t1" id="矩形 97" o:spid="_x0000_s97" style="position:absolute;left:0;top:869;width:11891;height:0;" fillcolor="#FFD966" stroked="f">
                <v:stroke color="#000000"/>
              </v:rect>
              <v:shape type="#_x0000_t75" id="图片 98" o:spid="_x0000_s98" style="position:absolute;left:9268;top:868;width:2611;height:1;" filled="f" stroked="f">
                <v:imagedata/>
                <o:lock aspectratio="t"/>
                <v:stroke color="#000000"/>
              </v:shape>
              <v:shape type="#_x0000_t75" id="图片 99" o:spid="_x0000_s99" style="position:absolute;left:9558;top:865;width:2337;height:1;" filled="f" stroked="f">
                <v:imagedata/>
                <o:lock aspectratio="t"/>
                <v:stroke color="#000000"/>
              </v:shape>
            </v:group>
          </w:pict>
        </mc:Fallback>
      </mc:AlternateContent>
    </w:r>
    <w:r>
      <mc:AlternateContent>
        <mc:Choice Requires="wps">
          <w:drawing>
            <wp:anchor distT="0" distB="0" distL="114297" distR="114297" simplePos="0" relativeHeight="61" behindDoc="0" locked="0" layoutInCell="1" hidden="0" allowOverlap="1">
              <wp:simplePos x="0" y="0"/>
              <wp:positionH relativeFrom="page">
                <wp:posOffset>-26670</wp:posOffset>
              </wp:positionH>
              <wp:positionV relativeFrom="page">
                <wp:posOffset>598805</wp:posOffset>
              </wp:positionV>
              <wp:extent cx="2991484" cy="1152"/>
              <wp:effectExtent l="0" t="0" r="0" b="0"/>
              <wp:wrapNone/>
              <wp:docPr id="100" name="组合"/>
              <wp:cNvGraphicFramePr>
                <a:graphicFrameLocks noChangeAspect="0"/>
              </wp:cNvGraphicFramePr>
              <a:graphic>
                <a:graphicData uri="http://schemas.microsoft.com/office/word/2010/wordprocessingGroup">
                  <wpg:wgp>
                    <wpg:cNvPr id="101" name="组合 101"/>
                    <wpg:cNvGrpSpPr/>
                    <wpg:grpSpPr>
                      <a:xfrm rot="0">
                        <a:off x="0" y="0"/>
                        <a:ext cx="2991484" cy="1152"/>
                        <a:chOff x="0" y="0"/>
                        <a:chExt cx="2991484" cy="1152"/>
                      </a:xfrm>
                      <a:prstGeom prst="rect"/>
                      <a:solidFill>
                        <a:srgbClr val="FFFFFF"/>
                      </a:solidFill>
                      <a:ln w="9525" cmpd="sng" cap="flat">
                        <a:solidFill>
                          <a:srgbClr val="000000"/>
                        </a:solidFill>
                        <a:prstDash val="solid"/>
                        <a:miter/>
                      </a:ln>
                    </wpg:grpSpPr>
                    <wps:wsp>
                      <wps:cNvPr id="102" name="矩形 102"/>
                      <wps:cNvSpPr/>
                      <wps:spPr>
                        <a:xfrm rot="0">
                          <a:off x="58432" y="0"/>
                          <a:ext cx="2933052" cy="1047"/>
                        </a:xfrm>
                        <a:prstGeom prst="rect"/>
                        <a:noFill/>
                        <a:ln w="9525" cmpd="sng" cap="flat">
                          <a:noFill/>
                          <a:prstDash val="solid"/>
                          <a:miter/>
                        </a:ln>
                      </wps:spPr>
                      <wps:txbx id="103">
                        <w:txbxContent>
                          <w:p>
                            <w:pPr>
                              <w:rPr>
                                <w:rFonts w:ascii="微软雅黑" w:eastAsia="微软雅黑" w:cs="微软雅黑"/>
                                <w:b/>
                                <w:bCs/>
                                <w:sz w:val="32"/>
                                <w:szCs w:val="40"/>
                              </w:rPr>
                            </w:pPr>
                            <w:r>
                              <w:rPr>
                                <w:rFonts w:ascii="微软雅黑" w:eastAsia="微软雅黑" w:cs="微软雅黑" w:hint="eastAsia"/>
                                <w:b/>
                                <w:bCs/>
                                <w:sz w:val="32"/>
                                <w:szCs w:val="40"/>
                              </w:rPr>
                              <w:t>第三部分</w:t>
                            </w:r>
                            <w:r>
                              <w:rPr>
                                <w:rFonts w:ascii="微软雅黑" w:eastAsia="微软雅黑" w:cs="微软雅黑"/>
                                <w:b/>
                                <w:bCs/>
                                <w:sz w:val="32"/>
                                <w:szCs w:val="40"/>
                              </w:rPr>
                              <w:t xml:space="preserve">  </w:t>
                            </w:r>
                            <w:r>
                              <w:rPr>
                                <w:rFonts w:ascii="微软雅黑" w:eastAsia="微软雅黑" w:cs="微软雅黑" w:hint="eastAsia"/>
                                <w:b/>
                                <w:bCs/>
                                <w:sz w:val="32"/>
                                <w:szCs w:val="40"/>
                              </w:rPr>
                              <w:t>名词解释</w:t>
                            </w:r>
                          </w:p>
                        </w:txbxContent>
                      </wps:txbx>
                      <wps:bodyPr vert="horz" wrap="square" lIns="91440" tIns="45720" rIns="91440" bIns="45720" anchor="t" anchorCtr="0" upright="1">
                        <a:noAutofit/>
                      </wps:bodyPr>
                    </wps:wsp>
                    <wps:wsp>
                      <wps:cNvPr id="104" name="矩形 104"/>
                      <wps:cNvSpPr/>
                      <wps:spPr>
                        <a:xfrm rot="0">
                          <a:off x="0" y="1047"/>
                          <a:ext cx="112418" cy="104"/>
                        </a:xfrm>
                        <a:prstGeom prst="rect"/>
                        <a:solidFill>
                          <a:srgbClr val="000000"/>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105" o:spid="_x0000_s105" coordorigin="-42,943" coordsize="4710,1" style="position:absolute;margin-left:-2.1pt;margin-top:47.15pt;width:235.54997pt;height:0.09074455pt;z-index:61;mso-position-horizontal:absolute;mso-position-horizontal-relative:page;mso-position-vertical:absolute;mso-position-vertical-relative:page;mso-wrap-distance-left:8.99983pt;mso-wrap-distance-right:8.99983pt;">
              <v:rect type="#_x0000_t1" id="矩形 106" o:spid="_x0000_s106" style="position:absolute;left:50;top:943;width:4618;height:1;mso-wrap-style:square;" filled="f" stroked="f">
                <v:textbox id="877" inset="2.54mm,1.27mm,2.54mm,1.27mm" o:insetmode="custom" style="layout-flow:horizontal;v-text-anchor:top;">
                  <w:txbxContent>
                    <w:p>
                      <w:pPr>
                        <w:rPr>
                          <w:rFonts w:ascii="微软雅黑" w:eastAsia="微软雅黑" w:cs="微软雅黑"/>
                          <w:b/>
                          <w:bCs/>
                          <w:sz w:val="32"/>
                          <w:szCs w:val="40"/>
                        </w:rPr>
                      </w:pPr>
                      <w:r>
                        <w:rPr>
                          <w:rFonts w:ascii="微软雅黑" w:eastAsia="微软雅黑" w:cs="微软雅黑" w:hint="eastAsia"/>
                          <w:b/>
                          <w:bCs/>
                          <w:sz w:val="32"/>
                          <w:szCs w:val="40"/>
                        </w:rPr>
                        <w:t>第三部分</w:t>
                      </w:r>
                      <w:r>
                        <w:rPr>
                          <w:rFonts w:ascii="微软雅黑" w:eastAsia="微软雅黑" w:cs="微软雅黑"/>
                          <w:b/>
                          <w:bCs/>
                          <w:sz w:val="32"/>
                          <w:szCs w:val="40"/>
                        </w:rPr>
                        <w:t xml:space="preserve">  </w:t>
                      </w:r>
                      <w:r>
                        <w:rPr>
                          <w:rFonts w:ascii="微软雅黑" w:eastAsia="微软雅黑" w:cs="微软雅黑" w:hint="eastAsia"/>
                          <w:b/>
                          <w:bCs/>
                          <w:sz w:val="32"/>
                          <w:szCs w:val="40"/>
                        </w:rPr>
                        <w:t>名词解释</w:t>
                      </w:r>
                    </w:p>
                  </w:txbxContent>
                </v:textbox>
                <v:stroke color="#000000"/>
              </v:rect>
              <v:rect type="#_x0000_t1" id="矩形 107" o:spid="_x0000_s107" style="position:absolute;left:-42;top:944;width:177;height:0;" fillcolor="#000000" stroked="f">
                <v:stroke color="#000000"/>
              </v:rect>
            </v:group>
          </w:pict>
        </mc:Fallback>
      </mc:AlternateContent>
    </w:r>
  </w:p>
</w:hdr>
</file>

<file path=word/header7.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pPr>
    <w:r>
      <mc:AlternateContent>
        <mc:Choice Requires="wps">
          <w:drawing>
            <wp:anchor distT="0" distB="0" distL="114297" distR="114297" simplePos="0" relativeHeight="62" behindDoc="0" locked="0" layoutInCell="1" hidden="0" allowOverlap="1">
              <wp:simplePos x="0" y="0"/>
              <wp:positionH relativeFrom="page">
                <wp:align>left</wp:align>
              </wp:positionH>
              <wp:positionV relativeFrom="page">
                <wp:posOffset>377825</wp:posOffset>
              </wp:positionV>
              <wp:extent cx="2000249" cy="1152"/>
              <wp:effectExtent l="0" t="0" r="0" b="0"/>
              <wp:wrapNone/>
              <wp:docPr id="108" name="组合"/>
              <wp:cNvGraphicFramePr>
                <a:graphicFrameLocks noChangeAspect="0"/>
              </wp:cNvGraphicFramePr>
              <a:graphic>
                <a:graphicData uri="http://schemas.microsoft.com/office/word/2010/wordprocessingGroup">
                  <wpg:wgp>
                    <wpg:cNvPr id="109" name="组合 109"/>
                    <wpg:cNvGrpSpPr/>
                    <wpg:grpSpPr>
                      <a:xfrm rot="0">
                        <a:off x="0" y="0"/>
                        <a:ext cx="2000249" cy="1152"/>
                        <a:chOff x="0" y="0"/>
                        <a:chExt cx="2000249" cy="1152"/>
                      </a:xfrm>
                      <a:prstGeom prst="rect"/>
                      <a:solidFill>
                        <a:srgbClr val="FFFFFF"/>
                      </a:solidFill>
                      <a:ln w="9525" cmpd="sng" cap="flat">
                        <a:solidFill>
                          <a:srgbClr val="000000"/>
                        </a:solidFill>
                        <a:prstDash val="solid"/>
                        <a:miter/>
                      </a:ln>
                    </wpg:grpSpPr>
                    <wps:wsp>
                      <wps:cNvPr id="110" name="矩形 110"/>
                      <wps:cNvSpPr/>
                      <wps:spPr>
                        <a:xfrm rot="0">
                          <a:off x="40017" y="0"/>
                          <a:ext cx="1960231" cy="1047"/>
                        </a:xfrm>
                        <a:prstGeom prst="rect"/>
                        <a:noFill/>
                        <a:ln w="9525" cmpd="sng" cap="flat">
                          <a:noFill/>
                          <a:prstDash val="solid"/>
                          <a:miter/>
                        </a:ln>
                      </wps:spPr>
                      <wps:txbx id="111">
                        <w:txbxContent>
                          <w:p>
                            <w:pPr>
                              <w:rPr>
                                <w:rFonts w:ascii="微软雅黑" w:eastAsia="微软雅黑" w:cs="微软雅黑"/>
                                <w:b/>
                                <w:bCs/>
                                <w:sz w:val="28"/>
                                <w:szCs w:val="36"/>
                              </w:rPr>
                            </w:pPr>
                            <w:r>
                              <w:rPr>
                                <w:rFonts w:ascii="微软雅黑" w:eastAsia="微软雅黑" w:cs="微软雅黑"/>
                                <w:b/>
                                <w:bCs/>
                                <w:sz w:val="28"/>
                                <w:szCs w:val="36"/>
                              </w:rPr>
                              <w:t xml:space="preserve">20XX </w:t>
                            </w:r>
                            <w:r>
                              <w:rPr>
                                <w:rFonts w:ascii="微软雅黑" w:eastAsia="微软雅黑" w:cs="微软雅黑" w:hint="eastAsia"/>
                                <w:b/>
                                <w:bCs/>
                                <w:sz w:val="28"/>
                                <w:szCs w:val="36"/>
                              </w:rPr>
                              <w:t>企业业务制定</w:t>
                            </w:r>
                          </w:p>
                        </w:txbxContent>
                      </wps:txbx>
                      <wps:bodyPr vert="horz" wrap="square" lIns="91440" tIns="45720" rIns="91440" bIns="45720" anchor="t" anchorCtr="0" upright="1">
                        <a:noAutofit/>
                      </wps:bodyPr>
                    </wps:wsp>
                    <wps:wsp>
                      <wps:cNvPr id="112" name="矩形 112"/>
                      <wps:cNvSpPr/>
                      <wps:spPr>
                        <a:xfrm rot="0">
                          <a:off x="0" y="1047"/>
                          <a:ext cx="74953" cy="104"/>
                        </a:xfrm>
                        <a:prstGeom prst="rect"/>
                        <a:solidFill>
                          <a:srgbClr val="000000"/>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113" o:spid="_x0000_s113" coordorigin="0,595" coordsize="3149,1" style="position:absolute;margin-left:0.0pt;margin-top:29.75pt;width:157.49997pt;height:0.09074455pt;z-index:62;mso-position-horizontal:left;mso-position-horizontal-relative:page;mso-position-vertical:absolute;mso-position-vertical-relative:page;mso-wrap-distance-left:8.99983pt;mso-wrap-distance-right:8.99983pt;">
              <v:rect type="#_x0000_t1" id="矩形 114" o:spid="_x0000_s114" style="position:absolute;left:63;top:595;width:3086;height:1;mso-wrap-style:square;" filled="f" stroked="f">
                <v:textbox id="878" inset="2.54mm,1.27mm,2.54mm,1.27mm" o:insetmode="custom" style="layout-flow:horizontal;v-text-anchor:top;">
                  <w:txbxContent>
                    <w:p>
                      <w:pPr>
                        <w:rPr>
                          <w:rFonts w:ascii="微软雅黑" w:eastAsia="微软雅黑" w:cs="微软雅黑"/>
                          <w:b/>
                          <w:bCs/>
                          <w:sz w:val="28"/>
                          <w:szCs w:val="36"/>
                        </w:rPr>
                      </w:pPr>
                      <w:r>
                        <w:rPr>
                          <w:rFonts w:ascii="微软雅黑" w:eastAsia="微软雅黑" w:cs="微软雅黑"/>
                          <w:b/>
                          <w:bCs/>
                          <w:sz w:val="28"/>
                          <w:szCs w:val="36"/>
                        </w:rPr>
                        <w:t xml:space="preserve">20XX </w:t>
                      </w:r>
                      <w:r>
                        <w:rPr>
                          <w:rFonts w:ascii="微软雅黑" w:eastAsia="微软雅黑" w:cs="微软雅黑" w:hint="eastAsia"/>
                          <w:b/>
                          <w:bCs/>
                          <w:sz w:val="28"/>
                          <w:szCs w:val="36"/>
                        </w:rPr>
                        <w:t>企业业务制定</w:t>
                      </w:r>
                    </w:p>
                  </w:txbxContent>
                </v:textbox>
                <v:stroke color="#000000"/>
              </v:rect>
              <v:rect type="#_x0000_t1" id="矩形 115" o:spid="_x0000_s115" style="position:absolute;left:0;top:596;width:118;height:0;" fillcolor="#000000" stroked="f">
                <v:stroke color="#000000"/>
              </v:rect>
            </v:group>
          </w:pict>
        </mc:Fallback>
      </mc:AlternateContent>
    </w:r>
    <w:r>
      <mc:AlternateContent>
        <mc:Choice Requires="wps">
          <w:drawing>
            <wp:anchor distT="0" distB="0" distL="114297" distR="114297" simplePos="0" relativeHeight="63" behindDoc="0" locked="0" layoutInCell="1" hidden="0" allowOverlap="1">
              <wp:simplePos x="0" y="0"/>
              <wp:positionH relativeFrom="page">
                <wp:align>center</wp:align>
              </wp:positionH>
              <wp:positionV relativeFrom="paragraph">
                <wp:align>bottom</wp:align>
              </wp:positionV>
              <wp:extent cx="7574915" cy="2200"/>
              <wp:effectExtent l="0" t="0" r="0" b="0"/>
              <wp:wrapNone/>
              <wp:docPr id="116" name="组合"/>
              <wp:cNvGraphicFramePr>
                <a:graphicFrameLocks noChangeAspect="0"/>
              </wp:cNvGraphicFramePr>
              <a:graphic>
                <a:graphicData uri="http://schemas.microsoft.com/office/word/2010/wordprocessingGroup">
                  <wpg:wgp>
                    <wpg:cNvPr id="117" name="组合 117"/>
                    <wpg:cNvGrpSpPr/>
                    <wpg:grpSpPr>
                      <a:xfrm rot="0">
                        <a:off x="0" y="0"/>
                        <a:ext cx="7574915" cy="2200"/>
                        <a:chOff x="0" y="0"/>
                        <a:chExt cx="7574915" cy="2200"/>
                      </a:xfrm>
                      <a:prstGeom prst="rect"/>
                      <a:solidFill>
                        <a:srgbClr val="FFFFFF"/>
                      </a:solidFill>
                      <a:ln w="9525" cmpd="sng" cap="flat">
                        <a:solidFill>
                          <a:srgbClr val="000000"/>
                        </a:solidFill>
                        <a:prstDash val="solid"/>
                        <a:miter/>
                      </a:ln>
                    </wpg:grpSpPr>
                    <wps:wsp>
                      <wps:cNvPr id="118" name="矩形 118"/>
                      <wps:cNvSpPr/>
                      <wps:spPr>
                        <a:xfrm rot="0">
                          <a:off x="0" y="2095"/>
                          <a:ext cx="7571740" cy="104"/>
                        </a:xfrm>
                        <a:prstGeom prst="rect"/>
                        <a:solidFill>
                          <a:srgbClr val="FFD966"/>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119" o:spid="_x0000_s119" coordorigin="510,1073" coordsize="11929,3" style="position:absolute;margin-left:0.0pt;margin-top:0.0pt;width:596.45pt;height:0.17326091pt;z-index:63;mso-position-horizontal:center;mso-position-horizontal-relative:page;mso-position-vertical:bottom;mso-wrap-distance-left:8.99983pt;mso-wrap-distance-right:8.99983pt;">
              <v:rect type="#_x0000_t1" id="矩形 120" o:spid="_x0000_s120" style="position:absolute;left:510;top:1076;width:11924;height:0;" fillcolor="#FFD966" stroked="f">
                <v:stroke color="#000000"/>
              </v:rect>
              <v:shape type="#_x0000_t75" id="图片 121" o:spid="_x0000_s121" style="position:absolute;left:9805;top:1073;width:2618;height:1;" filled="f" stroked="f">
                <v:imagedata/>
                <o:lock aspectratio="t"/>
                <v:stroke color="#000000"/>
              </v:shape>
              <v:shape type="#_x0000_t75" id="图片 122" o:spid="_x0000_s122" style="position:absolute;left:10095;top:1073;width:2343;height:1;" filled="f" stroked="f">
                <v:imagedata/>
                <o:lock aspectratio="t"/>
                <v:stroke color="#000000"/>
              </v:shape>
            </v:group>
          </w:pict>
        </mc:Fallback>
      </mc:AlternateContent>
    </w:r>
  </w:p>
</w:hdr>
</file>

<file path=word/header8.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pPr>
  </w:p>
</w:hdr>
</file>

<file path=word/header9.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pPr>
    <w:r>
      <mc:AlternateContent>
        <mc:Choice Requires="wps">
          <w:drawing>
            <wp:anchor distT="0" distB="0" distL="114297" distR="114297" simplePos="0" relativeHeight="64" behindDoc="0" locked="0" layoutInCell="1" hidden="0" allowOverlap="1">
              <wp:simplePos x="0" y="0"/>
              <wp:positionH relativeFrom="page">
                <wp:posOffset>-27305</wp:posOffset>
              </wp:positionH>
              <wp:positionV relativeFrom="paragraph">
                <wp:posOffset>749300</wp:posOffset>
              </wp:positionV>
              <wp:extent cx="7578091" cy="2066"/>
              <wp:effectExtent l="0" t="0" r="0" b="0"/>
              <wp:wrapNone/>
              <wp:docPr id="133" name="组合"/>
              <wp:cNvGraphicFramePr>
                <a:graphicFrameLocks noChangeAspect="0"/>
              </wp:cNvGraphicFramePr>
              <a:graphic>
                <a:graphicData uri="http://schemas.microsoft.com/office/word/2010/wordprocessingGroup">
                  <wpg:wgp>
                    <wpg:cNvPr id="134" name="组合 134"/>
                    <wpg:cNvGrpSpPr/>
                    <wpg:grpSpPr>
                      <a:xfrm rot="0">
                        <a:off x="0" y="0"/>
                        <a:ext cx="7578091" cy="2066"/>
                        <a:chOff x="0" y="0"/>
                        <a:chExt cx="7578091" cy="2066"/>
                      </a:xfrm>
                      <a:prstGeom prst="rect"/>
                      <a:solidFill>
                        <a:srgbClr val="FFFFFF"/>
                      </a:solidFill>
                      <a:ln w="9525" cmpd="sng" cap="flat">
                        <a:solidFill>
                          <a:srgbClr val="000000"/>
                        </a:solidFill>
                        <a:prstDash val="solid"/>
                        <a:miter/>
                      </a:ln>
                    </wpg:grpSpPr>
                    <wps:wsp>
                      <wps:cNvPr id="135" name="矩形 135"/>
                      <wps:cNvSpPr/>
                      <wps:spPr>
                        <a:xfrm rot="0">
                          <a:off x="0" y="2000"/>
                          <a:ext cx="7550151" cy="66"/>
                        </a:xfrm>
                        <a:prstGeom prst="rect"/>
                        <a:solidFill>
                          <a:srgbClr val="FFD966"/>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136" o:spid="_x0000_s136" coordorigin="-43,2030" coordsize="11934,3" style="position:absolute;margin-left:-2.15pt;margin-top:58.999996pt;width:596.70013pt;height:0.1627554pt;z-index:64;mso-position-horizontal:absolute;mso-position-horizontal-relative:page;mso-position-vertical:absolute;mso-wrap-distance-left:8.99983pt;mso-wrap-distance-right:8.99983pt;">
              <v:rect type="#_x0000_t1" id="矩形 137" o:spid="_x0000_s137" style="position:absolute;left:-43;top:2034;width:11890;height:0;" fillcolor="#FFD966" stroked="f">
                <v:stroke color="#000000"/>
              </v:rect>
              <v:shape type="#_x0000_t75" id="图片 138" o:spid="_x0000_s138" style="position:absolute;left:9225;top:2033;width:2611;height:1;" filled="f" stroked="f">
                <v:imagedata/>
                <o:lock aspectratio="t"/>
                <v:stroke color="#000000"/>
              </v:shape>
              <v:shape type="#_x0000_t75" id="图片 139" o:spid="_x0000_s139" style="position:absolute;left:9514;top:2030;width:2377;height:1;" filled="f" stroked="f">
                <v:imagedata/>
                <o:lock aspectratio="t"/>
                <v:stroke color="#000000"/>
              </v:shape>
            </v:group>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45DB9A87"/>
    <w:multiLevelType w:val="singleLevel"/>
    <w:tmpl w:val="45DB9A87"/>
    <w:lvl w:ilvl="0">
      <w:start w:val="3"/>
      <w:numFmt w:val="chineseCounting"/>
      <w:lvlRestart w:val="0"/>
      <w:suff w:val="nothing"/>
      <w:lvlText w:val="（%1）"/>
      <w:lvlJc w:val="left"/>
      <w:pPr>
        <w:tabs>
          <w:tab w:val="num" w:pos="0"/>
        </w:tabs>
        <w:ind w:left="0" w:hanging="0"/>
      </w:pPr>
      <w:rPr>
        <w:rFonts w:cs="Times New Roman" w:hint="eastAsia"/>
      </w:rPr>
    </w:lvl>
  </w:abstractNum>
  <w:abstractNum w:abstractNumId="1">
    <w:nsid w:val="5F222FFA"/>
    <w:multiLevelType w:val="singleLevel"/>
    <w:tmpl w:val="5F222FFA"/>
    <w:lvl w:ilvl="0">
      <w:start w:val="1"/>
      <w:numFmt w:val="decimal"/>
      <w:lvlRestart w:val="0"/>
      <w:suff w:val="nothing"/>
      <w:lvlText w:val="（%1）"/>
      <w:lvlJc w:val="left"/>
      <w:pPr>
        <w:tabs>
          <w:tab w:val="num" w:pos="0"/>
        </w:tabs>
        <w:ind w:left="0" w:hanging="0"/>
      </w:pPr>
      <w:rPr>
        <w:rFonts w:cs="Times New Roman"/>
      </w:rPr>
    </w:lvl>
  </w:abstractNum>
  <w:abstractNum w:abstractNumId="2">
    <w:nsid w:val="5FBC7514"/>
    <w:multiLevelType w:val="singleLevel"/>
    <w:tmpl w:val="5FBC7514"/>
    <w:lvl w:ilvl="0">
      <w:start w:val="2"/>
      <w:numFmt w:val="decimal"/>
      <w:lvlRestart w:val="0"/>
      <w:suff w:val="nothing"/>
      <w:lvlText w:val="%1."/>
      <w:lvlJc w:val="left"/>
      <w:pPr>
        <w:tabs>
          <w:tab w:val="num" w:pos="0"/>
        </w:tabs>
        <w:ind w:left="0" w:hanging="0"/>
      </w:pPr>
      <w:rPr>
        <w:rFonts w:cs="Times New Roman"/>
      </w:rPr>
    </w:lvl>
  </w:abstractNum>
  <w:num w:numId="1">
    <w:abstractNumId w:val="0"/>
  </w:num>
  <w:num w:numId="2">
    <w:abstractNumId w:val="1"/>
  </w:num>
  <w:num w:numId="3">
    <w:abstractNumId w:val="2"/>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63"/>
  <w:displayHorizontalDrawingGridEvery w:val="2"/>
  <w:displayVerticalDrawingGridEvery w:val="2"/>
  <w:noPunctuationKerning/>
  <w:characterSpacingControl w:val="compressPunctuation"/>
  <w:noLineBreaksAfter w:lang="zh-CN" w:val="$([{£¥·‘“〈《「『【〔〖〝﹙﹛﹝＄（．［｛￡￥"/>
  <w:noLineBreaksBefore w:lang="zh-CN" w:val="!%),.:;&gt;?]}¢¨°·ˇˉ―‖’”…‰′″›℃∶、。〃〉》」』】〕〗〞︶︺︾﹀﹄﹚﹜﹞！＂％＇），．：；？］｀｜｝～￠"/>
  <w:compat>
    <w:spaceForUL/>
    <w:balanceSingleByteDoubleByteWidth/>
    <w:doNotExpandShiftReturn/>
    <w:adjustLineHeightInTable/>
    <w:growAutofit/>
    <w:doNotUseIndentAsNumberingTabStop/>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等线" w:eastAsia="等线" w:cs="Arial"/>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character" w:default="1" w:styleId="10">
    <w:name w:val="Default Paragraph Font"/>
  </w:style>
  <w:style w:type="paragraph" w:styleId="15">
    <w:name w:val="Body Text"/>
    <w:basedOn w:val="0"/>
    <w:rPr>
      <w:rFonts w:ascii="仿宋_GB2312" w:eastAsia="仿宋_GB2312" w:cs="仿宋_GB2312"/>
      <w:sz w:val="32"/>
      <w:szCs w:val="32"/>
      <w:lang w:val="zh-CN"/>
    </w:rPr>
  </w:style>
  <w:style w:type="paragraph" w:styleId="16">
    <w:name w:val="Balloon Text"/>
    <w:basedOn w:val="0"/>
    <w:rPr>
      <w:sz w:val="18"/>
      <w:szCs w:val="18"/>
    </w:rPr>
  </w:style>
  <w:style w:type="paragraph" w:styleId="17">
    <w:name w:val="footer"/>
    <w:basedOn w:val="0"/>
    <w:pPr>
      <w:tabs>
        <w:tab w:val="center" w:pos="4153"/>
        <w:tab w:val="right" w:pos="8306"/>
      </w:tabs>
      <w:snapToGrid w:val="0"/>
      <w:jc w:val="left"/>
    </w:pPr>
    <w:rPr>
      <w:sz w:val="18"/>
      <w:szCs w:val="18"/>
    </w:rPr>
  </w:style>
  <w:style w:type="paragraph" w:styleId="18">
    <w:name w:val="header"/>
    <w:basedOn w:val="0"/>
    <w:pPr>
      <w:tabs>
        <w:tab w:val="center" w:pos="4153"/>
        <w:tab w:val="right" w:pos="8306"/>
      </w:tabs>
      <w:snapToGrid w:val="0"/>
      <w:jc w:val="center"/>
    </w:pPr>
    <w:rPr>
      <w:sz w:val="18"/>
      <w:szCs w:val="18"/>
    </w:rPr>
  </w:style>
  <w:style w:type="paragraph" w:customStyle="1" w:styleId="19">
    <w:name w:val="列出段落1"/>
    <w:basedOn w:val="0"/>
    <w:pPr>
      <w:spacing w:before="2"/>
      <w:ind w:left="119" w:right="434" w:firstLine="643"/>
    </w:pPr>
    <w:rPr>
      <w:rFonts w:ascii="仿宋_GB2312" w:eastAsia="仿宋_GB2312" w:cs="仿宋_GB2312"/>
      <w:lang w:val="zh-CN"/>
    </w:rPr>
  </w:style>
  <w:style w:type="character" w:customStyle="1" w:styleId="20">
    <w:name w:val="font11"/>
    <w:rPr>
      <w:rFonts w:ascii="仿宋_GB2312" w:eastAsia="仿宋_GB2312"/>
      <w:color w:val="000000"/>
      <w:sz w:val="18"/>
      <w:u w:val="none"/>
    </w:rPr>
  </w:style>
  <w:style w:type="character" w:customStyle="1" w:styleId="21">
    <w:name w:val="font112"/>
    <w:rPr>
      <w:rFonts w:ascii="宋体" w:eastAsia="宋体"/>
      <w:color w:val="000000"/>
      <w:sz w:val="18"/>
      <w:u w:val="none"/>
    </w:rPr>
  </w:style>
  <w:style w:type="character" w:customStyle="1" w:styleId="22">
    <w:name w:val="font141"/>
    <w:rPr>
      <w:rFonts w:ascii="Times New Roman" w:hAnsi="Times New Roman"/>
      <w:color w:val="000000"/>
      <w:sz w:val="18"/>
      <w:u w:val="none"/>
    </w:rPr>
  </w:style>
  <w:style w:type="paragraph" w:customStyle="1" w:styleId="23">
    <w:name w:val="列出段落2"/>
    <w:basedOn w:val="0"/>
    <w:pPr>
      <w:ind w:firstLineChars="200" w:firstLine="200"/>
    </w:pPr>
  </w:style>
  <w:style w:type="character" w:customStyle="1" w:styleId="24">
    <w:name w:val="font171"/>
    <w:basedOn w:val="10"/>
    <w:rPr>
      <w:rFonts w:ascii="仿宋_GB2312" w:eastAsia="仿宋_GB2312" w:cs="仿宋_GB2312"/>
      <w:color w:val="000000"/>
      <w:sz w:val="18"/>
      <w:szCs w:val="18"/>
      <w:u w:val="none"/>
    </w:rPr>
  </w:style>
  <w:style w:type="character" w:customStyle="1" w:styleId="25">
    <w:name w:val="font51"/>
    <w:basedOn w:val="10"/>
    <w:rPr>
      <w:rFonts w:ascii="Times New Roman" w:cs="Times New Roman" w:hAnsi="Times New Roman"/>
      <w:color w:val="000000"/>
      <w:sz w:val="18"/>
      <w:szCs w:val="18"/>
      <w:u w:val="none"/>
    </w:rPr>
  </w:style>
  <w:style w:type="character" w:customStyle="1" w:styleId="26">
    <w:name w:val="font161"/>
    <w:basedOn w:val="10"/>
    <w:rPr>
      <w:rFonts w:ascii="宋体" w:eastAsia="宋体" w:cs="宋体"/>
      <w:color w:val="000000"/>
      <w:sz w:val="18"/>
      <w:szCs w:val="18"/>
      <w:u w:val="none"/>
    </w:rPr>
  </w:style>
  <w:style w:type="character" w:customStyle="1" w:styleId="27">
    <w:name w:val="font81"/>
    <w:basedOn w:val="10"/>
    <w:rPr>
      <w:rFonts w:ascii="Times New Roman" w:cs="Times New Roman" w:hAnsi="Times New Roman"/>
      <w:color w:val="000000"/>
      <w:sz w:val="21"/>
      <w:szCs w:val="21"/>
      <w:u w:val="none"/>
    </w:rPr>
  </w:style>
  <w:style w:type="character" w:customStyle="1" w:styleId="28">
    <w:name w:val="font121"/>
    <w:basedOn w:val="10"/>
    <w:rPr>
      <w:rFonts w:ascii="Times New Roman" w:cs="Times New Roman" w:hAnsi="Times New Roman"/>
      <w:color w:val="000000"/>
      <w:sz w:val="20"/>
      <w:szCs w:val="20"/>
      <w:u w:val="none"/>
    </w:rPr>
  </w:style>
  <w:style w:type="character" w:customStyle="1" w:styleId="29">
    <w:name w:val="font131"/>
    <w:basedOn w:val="10"/>
    <w:rPr>
      <w:rFonts w:ascii="宋体" w:eastAsia="宋体" w:cs="宋体"/>
      <w:color w:val="000000"/>
      <w:sz w:val="20"/>
      <w:szCs w:val="20"/>
      <w:u w:val="none"/>
    </w:rPr>
  </w:style>
  <w:style w:type="character" w:styleId="30">
    <w:name w:val="annotation reference"/>
    <w:basedOn w:val="10"/>
    <w:rPr>
      <w:rFonts w:cs="Times New Roman"/>
      <w:sz w:val="21"/>
      <w:szCs w:val="21"/>
    </w:rPr>
  </w:style>
  <w:style w:type="paragraph" w:styleId="31">
    <w:name w:val="annotation text"/>
    <w:basedOn w:val="0"/>
    <w:pPr>
      <w:jc w:val="left"/>
    </w:pPr>
  </w:style>
  <w:style w:type="paragraph" w:styleId="32">
    <w:name w:val="annotation subject"/>
    <w:basedOn w:val="31"/>
    <w:next w:val="31"/>
    <w:rPr>
      <w:b/>
      <w:bC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4.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image" Target="media/70.gif"/><Relationship Id="rId11" Type="http://schemas.openxmlformats.org/officeDocument/2006/relationships/header" Target="header5.xml"/><Relationship Id="rId12" Type="http://schemas.openxmlformats.org/officeDocument/2006/relationships/image" Target="media/92.gif"/><Relationship Id="rId13" Type="http://schemas.openxmlformats.org/officeDocument/2006/relationships/header" Target="header6.xml"/><Relationship Id="rId14" Type="http://schemas.openxmlformats.org/officeDocument/2006/relationships/header" Target="header7.xml"/><Relationship Id="rId15" Type="http://schemas.openxmlformats.org/officeDocument/2006/relationships/footer" Target="footer5.xml"/><Relationship Id="rId16" Type="http://schemas.openxmlformats.org/officeDocument/2006/relationships/footer" Target="footer6.xml"/><Relationship Id="rId17" Type="http://schemas.openxmlformats.org/officeDocument/2006/relationships/header" Target="header8.xml"/><Relationship Id="rId18" Type="http://schemas.openxmlformats.org/officeDocument/2006/relationships/image" Target="media/132.gif"/><Relationship Id="rId19" Type="http://schemas.openxmlformats.org/officeDocument/2006/relationships/header" Target="header9.xml"/><Relationship Id="rId20" Type="http://schemas.openxmlformats.org/officeDocument/2006/relationships/header" Target="header10.xml"/><Relationship Id="rId21" Type="http://schemas.openxmlformats.org/officeDocument/2006/relationships/image" Target="media/143.gif"/><Relationship Id="rId22" Type="http://schemas.openxmlformats.org/officeDocument/2006/relationships/header" Target="header11.xml"/><Relationship Id="rId23" Type="http://schemas.openxmlformats.org/officeDocument/2006/relationships/image" Target="media/147.gif"/><Relationship Id="rId24" Type="http://schemas.openxmlformats.org/officeDocument/2006/relationships/header" Target="header12.xml"/><Relationship Id="rId25" Type="http://schemas.openxmlformats.org/officeDocument/2006/relationships/styles" Target="styles.xml"/><Relationship Id="rId26" Type="http://schemas.openxmlformats.org/officeDocument/2006/relationships/numbering" Target="numbering.xml"/><Relationship Id="rId27" Type="http://schemas.openxmlformats.org/officeDocument/2006/relationships/fontTable" Target="fontTable.xml"/></Relationships>
</file>

<file path=docProps/app.xml><?xml version="1.0" encoding="utf-8"?>
<Properties xmlns="http://schemas.openxmlformats.org/officeDocument/2006/extended-properties">
  <Template>Normal.eit</Template>
  <TotalTime>26</TotalTime>
  <Application>Yozo_Office</Application>
  <Pages>34</Pages>
  <Words>8335</Words>
  <Characters>10357</Characters>
  <Lines>2013</Lines>
  <Paragraphs>1032</Paragraphs>
  <CharactersWithSpaces>10646</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王明新TIAD</dc:creator>
  <cp:lastModifiedBy>user</cp:lastModifiedBy>
  <cp:revision>28</cp:revision>
  <cp:lastPrinted>2020-07-30T02:37:00Z</cp:lastPrinted>
  <dcterms:created xsi:type="dcterms:W3CDTF">2020-07-29T09:42:00Z</dcterms:created>
  <dcterms:modified xsi:type="dcterms:W3CDTF">2021-05-31T03:17:17Z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2052-10.1.0.6135</vt:lpwstr>
  </property>
</Properties>
</file>