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rPr>
          <w:rFonts w:ascii="Times New Roman" w:hAnsi="Times New Roman" w:eastAsia="仿宋_GB2312" w:cs="Times New Roman"/>
          <w:sz w:val="44"/>
          <w:szCs w:val="44"/>
        </w:rPr>
      </w:pPr>
    </w:p>
    <w:p>
      <w:pPr>
        <w:spacing w:line="584" w:lineRule="exact"/>
        <w:jc w:val="center"/>
        <w:rPr>
          <w:rFonts w:ascii="方正小标宋简体" w:hAnsi="Times New Roman" w:eastAsia="方正小标宋简体" w:cs="Times New Roman"/>
          <w:sz w:val="44"/>
          <w:szCs w:val="44"/>
        </w:rPr>
      </w:pPr>
      <w:bookmarkStart w:id="4" w:name="_GoBack"/>
      <w:r>
        <w:rPr>
          <w:rFonts w:hint="eastAsia" w:ascii="方正小标宋简体" w:hAnsi="Times New Roman" w:eastAsia="方正小标宋简体" w:cs="Times New Roman"/>
          <w:sz w:val="44"/>
          <w:szCs w:val="44"/>
        </w:rPr>
        <w:t>廊坊市广阳区南尖塔镇人民政府2019年部门预算信息公开</w:t>
      </w:r>
      <w:bookmarkEnd w:id="4"/>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w:t>
      </w:r>
      <w:r>
        <w:rPr>
          <w:rFonts w:hint="eastAsia" w:ascii="Times New Roman" w:hAnsi="Times New Roman" w:eastAsia="仿宋_GB2312" w:cs="Times New Roman"/>
          <w:sz w:val="32"/>
          <w:szCs w:val="32"/>
          <w:lang w:eastAsia="zh-CN"/>
        </w:rPr>
        <w:t>中华人民共和国</w:t>
      </w:r>
      <w:r>
        <w:rPr>
          <w:rFonts w:ascii="Times New Roman" w:hAnsi="Times New Roman" w:eastAsia="仿宋_GB2312" w:cs="Times New Roman"/>
          <w:sz w:val="32"/>
          <w:szCs w:val="32"/>
        </w:rPr>
        <w:t>预算法》、《地方预决算公开操作规程》和《河北省省级预算公开办法》规定，现将廊坊市</w:t>
      </w:r>
      <w:r>
        <w:rPr>
          <w:rFonts w:hint="eastAsia" w:ascii="Times New Roman" w:hAnsi="Times New Roman" w:eastAsia="仿宋_GB2312" w:cs="Times New Roman"/>
          <w:sz w:val="32"/>
          <w:szCs w:val="32"/>
        </w:rPr>
        <w:t>广阳区南尖塔镇人民政府</w:t>
      </w:r>
      <w:r>
        <w:rPr>
          <w:rFonts w:ascii="Times New Roman" w:hAnsi="Times New Roman" w:eastAsia="仿宋_GB2312" w:cs="Times New Roman"/>
          <w:sz w:val="32"/>
          <w:szCs w:val="32"/>
        </w:rPr>
        <w:t>2019年部门预算公开如下：</w:t>
      </w:r>
    </w:p>
    <w:p>
      <w:pPr>
        <w:spacing w:line="584"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一、部门职责及机构设置情况</w:t>
      </w:r>
    </w:p>
    <w:p>
      <w:pPr>
        <w:spacing w:line="584"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部门职责：</w:t>
      </w:r>
    </w:p>
    <w:p>
      <w:pPr>
        <w:spacing w:line="584" w:lineRule="exact"/>
        <w:ind w:firstLine="643" w:firstLineChars="200"/>
        <w:rPr>
          <w:rFonts w:ascii="Times New Roman" w:hAnsi="Times New Roman" w:eastAsia="楷体_GB2312" w:cs="Times New Roman"/>
          <w:b/>
          <w:sz w:val="32"/>
          <w:szCs w:val="32"/>
        </w:rPr>
      </w:pPr>
      <w:r>
        <w:rPr>
          <w:rFonts w:hint="eastAsia" w:ascii="仿宋_GB2312" w:eastAsia="仿宋_GB2312" w:cs="宋体"/>
          <w:b/>
          <w:color w:val="000000"/>
          <w:kern w:val="0"/>
          <w:sz w:val="32"/>
          <w:szCs w:val="32"/>
        </w:rPr>
        <w:t>（一）转变乡镇职能，明确乡镇工作重点。</w:t>
      </w:r>
      <w:r>
        <w:rPr>
          <w:rFonts w:hint="eastAsia" w:ascii="仿宋_GB2312" w:eastAsia="仿宋_GB2312" w:cs="宋体"/>
          <w:color w:val="000000"/>
          <w:kern w:val="0"/>
          <w:sz w:val="32"/>
          <w:szCs w:val="32"/>
        </w:rPr>
        <w:t>改革中要着力推</w:t>
      </w:r>
      <w:r>
        <w:rPr>
          <w:rFonts w:hint="eastAsia" w:ascii="仿宋_GB2312" w:hAnsi="宋体" w:eastAsia="仿宋_GB2312" w:cs="宋体"/>
          <w:color w:val="000000"/>
          <w:kern w:val="0"/>
          <w:sz w:val="32"/>
          <w:szCs w:val="32"/>
        </w:rPr>
        <w:t>进职能转变，乡镇党委、政府在履行好法律赋予职责的基础上，重点强化一下职责。</w:t>
      </w:r>
      <w:r>
        <w:rPr>
          <w:rFonts w:hint="eastAsia" w:ascii="仿宋_GB2312" w:hAnsi="宋体" w:eastAsia="仿宋_GB2312" w:cs="宋体"/>
          <w:b/>
          <w:color w:val="000000"/>
          <w:kern w:val="0"/>
          <w:sz w:val="32"/>
          <w:szCs w:val="32"/>
        </w:rPr>
        <w:t>第一，促进经济发展、增加农民收入。</w:t>
      </w:r>
      <w:r>
        <w:rPr>
          <w:rFonts w:hint="eastAsia" w:ascii="仿宋_GB2312" w:hAnsi="宋体" w:eastAsia="仿宋_GB2312" w:cs="宋体"/>
          <w:color w:val="000000"/>
          <w:kern w:val="0"/>
          <w:sz w:val="32"/>
          <w:szCs w:val="32"/>
        </w:rPr>
        <w:t>认真贯彻落实党和国家在农村的方针政策和强农惠农措施，坚持科学发展，积极转变经济发展方式，推动产业结构调整。结合实际制定本地产业发展规划，培育特色优势产业和特色经济，扶持壮大龙头企业，促进现代农业发展。稳定和完善农村基本经营制度，支持农民专业合作经济组织发展，健全农村市场和农业服务体系。大力推广先进科学技术，强化劳动力技能培训，做好农村剩余劳动力转移输出，促进农民增产增收。</w:t>
      </w:r>
      <w:r>
        <w:rPr>
          <w:rFonts w:hint="eastAsia" w:ascii="仿宋_GB2312" w:hAnsi="宋体" w:eastAsia="仿宋_GB2312" w:cs="宋体"/>
          <w:b/>
          <w:color w:val="000000"/>
          <w:kern w:val="0"/>
          <w:sz w:val="32"/>
          <w:szCs w:val="32"/>
        </w:rPr>
        <w:t>第二，强化公共服务、着力改善民生。</w:t>
      </w:r>
      <w:r>
        <w:rPr>
          <w:rFonts w:hint="eastAsia" w:ascii="仿宋_GB2312" w:hAnsi="宋体" w:eastAsia="仿宋_GB2312" w:cs="宋体"/>
          <w:color w:val="000000"/>
          <w:kern w:val="0"/>
          <w:sz w:val="32"/>
          <w:szCs w:val="32"/>
        </w:rPr>
        <w:t>做好农村社会保障工作，加快新型农村公共服务体系建设，着力解决群众最关心、最直接、最现实的利益问题。推进新农村建设，不断完善公益设施和基础设施。加强教育、科技、卫生和精神文明建设，繁荣发展农村文化，提高农村人口素质。落实计划生育政策，稳定农村低生育水平。加强生态建设和环境保护，努力改善农村人居环境，不断提高农民生活质量</w:t>
      </w:r>
      <w:r>
        <w:rPr>
          <w:rFonts w:hint="eastAsia" w:ascii="仿宋_GB2312" w:hAnsi="宋体" w:eastAsia="仿宋_GB2312" w:cs="宋体"/>
          <w:b/>
          <w:color w:val="000000"/>
          <w:kern w:val="0"/>
          <w:sz w:val="32"/>
          <w:szCs w:val="32"/>
        </w:rPr>
        <w:t>。第三，加强社会管理、维护农村稳定。</w:t>
      </w:r>
      <w:r>
        <w:rPr>
          <w:rFonts w:hint="eastAsia" w:ascii="仿宋_GB2312" w:hAnsi="宋体" w:eastAsia="仿宋_GB2312" w:cs="宋体"/>
          <w:color w:val="000000"/>
          <w:kern w:val="0"/>
          <w:sz w:val="32"/>
          <w:szCs w:val="32"/>
        </w:rPr>
        <w:t>普及农村法制教育，强化社会治安综合治理，加强信访和民师纠纷调解，维护农村公共秩序和社会稳定。加强安全生产、市场监管、疾病防控和农畜产品治理监控等社会管理，健全农民权益保障机制，维护农村社会公平正义。建立健全应急保障体系，加强突发事件预警和管理，做好防灾减灾工作。第四，推进基层民主、祖静农村和谐。加强农村党的基层组织建设，不断提高党组织领导农村经济社会发展的能力和水平。重视群众组织建设，依法推进村民组织自治，引导农民有序参与村级事务管理，增强农村社会自治功能。</w:t>
      </w:r>
    </w:p>
    <w:p>
      <w:pPr>
        <w:widowControl/>
        <w:spacing w:line="360" w:lineRule="atLeast"/>
        <w:ind w:firstLine="630" w:firstLineChars="196"/>
        <w:jc w:val="left"/>
        <w:rPr>
          <w:rFonts w:ascii="仿宋_GB2312" w:eastAsia="仿宋_GB2312" w:cs="宋体"/>
          <w:color w:val="000000"/>
          <w:kern w:val="0"/>
          <w:sz w:val="32"/>
          <w:szCs w:val="32"/>
        </w:rPr>
      </w:pPr>
      <w:r>
        <w:rPr>
          <w:rFonts w:hint="eastAsia" w:ascii="仿宋_GB2312" w:eastAsia="仿宋_GB2312" w:cs="宋体"/>
          <w:b/>
          <w:color w:val="000000"/>
          <w:kern w:val="0"/>
          <w:sz w:val="32"/>
          <w:szCs w:val="32"/>
        </w:rPr>
        <w:t>（二）理顺职责，合理界定责任。</w:t>
      </w:r>
      <w:r>
        <w:rPr>
          <w:rFonts w:hint="eastAsia" w:ascii="仿宋_GB2312" w:eastAsia="仿宋_GB2312" w:cs="宋体"/>
          <w:color w:val="000000"/>
          <w:kern w:val="0"/>
          <w:sz w:val="32"/>
          <w:szCs w:val="32"/>
        </w:rPr>
        <w:t>进一步明确区和乡镇的事权、财权及相应承担的责任，对等配置区乡权责，赋予乡镇必要的行政管理权。在事权上，以乡镇政府的职能职责为准，该乡镇管的乡镇管，该上级管的上级管。在财权上，为乡镇履职配置相应财力，加大对乡镇财政支付力度，使乡镇有财力兴办公益事业，开展公共服务。乡镇所属机构，在乡镇党委、政府的直接领导下开展工作，人、财、物由乡镇统一管理，区直主管部门加强业务指导。上级派驻乡镇的机构，主动接受乡镇党委、政府的监督管理和考核评议，其部门负责人调动、任免和考核要征求乡镇党委的意见。加强农村民间组织、经济中介组织建设，减少乡镇政府对市场的行政干预。充分发挥村民自治组织的作用，切实指导好村民自治组织建设，实现政府行政管理与基层群众自治有效衔接和良性互动。</w:t>
      </w:r>
    </w:p>
    <w:p>
      <w:pPr>
        <w:spacing w:line="584" w:lineRule="exact"/>
        <w:ind w:firstLine="640" w:firstLineChars="200"/>
        <w:rPr>
          <w:rFonts w:ascii="Times New Roman" w:hAnsi="Times New Roman" w:eastAsia="仿宋_GB2312" w:cs="Times New Roman"/>
          <w:sz w:val="32"/>
          <w:szCs w:val="32"/>
        </w:rPr>
      </w:pPr>
      <w:r>
        <w:rPr>
          <w:rFonts w:hint="eastAsia" w:ascii="仿宋_GB2312" w:eastAsia="仿宋_GB2312" w:cs="宋体"/>
          <w:color w:val="000000"/>
          <w:kern w:val="0"/>
          <w:sz w:val="32"/>
          <w:szCs w:val="32"/>
        </w:rPr>
        <w:t>（三）</w:t>
      </w:r>
      <w:r>
        <w:rPr>
          <w:rFonts w:hint="eastAsia" w:ascii="仿宋_GB2312" w:eastAsia="仿宋_GB2312" w:cs="宋体"/>
          <w:b/>
          <w:color w:val="000000"/>
          <w:kern w:val="0"/>
          <w:sz w:val="32"/>
          <w:szCs w:val="32"/>
        </w:rPr>
        <w:t>创新体制机制，转变乡镇工作方式。</w:t>
      </w:r>
      <w:r>
        <w:rPr>
          <w:rFonts w:hint="eastAsia" w:ascii="仿宋_GB2312" w:eastAsia="仿宋_GB2312" w:cs="宋体"/>
          <w:color w:val="000000"/>
          <w:kern w:val="0"/>
          <w:sz w:val="32"/>
          <w:szCs w:val="32"/>
        </w:rPr>
        <w:t>适应新形势、新任务需要，不断解放思想，改进方法，切实履行好各项职能。</w:t>
      </w:r>
      <w:r>
        <w:rPr>
          <w:rFonts w:hint="eastAsia" w:ascii="仿宋_GB2312" w:eastAsia="仿宋_GB2312" w:cs="宋体"/>
          <w:b/>
          <w:color w:val="000000"/>
          <w:kern w:val="0"/>
          <w:sz w:val="32"/>
          <w:szCs w:val="32"/>
        </w:rPr>
        <w:t>一是切实转变乡镇工作的方式方法。</w:t>
      </w:r>
      <w:r>
        <w:rPr>
          <w:rFonts w:hint="eastAsia" w:ascii="仿宋_GB2312" w:eastAsia="仿宋_GB2312" w:cs="宋体"/>
          <w:color w:val="000000"/>
          <w:kern w:val="0"/>
          <w:sz w:val="32"/>
          <w:szCs w:val="32"/>
        </w:rPr>
        <w:t>努力拓宽服务渠道，改进服务方式，积极探索方便群众办事的措施方法，大力推行“一站式”服务、办事代理制、远程信息技术指导等多种形式的便民服务措施，最大限度地满足农民群众的需求。</w:t>
      </w:r>
      <w:r>
        <w:rPr>
          <w:rFonts w:hint="eastAsia" w:ascii="仿宋_GB2312" w:eastAsia="仿宋_GB2312" w:cs="宋体"/>
          <w:b/>
          <w:color w:val="000000"/>
          <w:kern w:val="0"/>
          <w:sz w:val="32"/>
          <w:szCs w:val="32"/>
        </w:rPr>
        <w:t>二是转变抓经济工作的方式。</w:t>
      </w:r>
      <w:r>
        <w:rPr>
          <w:rFonts w:hint="eastAsia" w:ascii="仿宋_GB2312" w:eastAsia="仿宋_GB2312" w:cs="宋体"/>
          <w:color w:val="000000"/>
          <w:kern w:val="0"/>
          <w:sz w:val="32"/>
          <w:szCs w:val="32"/>
        </w:rPr>
        <w:t>把经济工作的着力电放在政策引导、规划指导、扶持典型、带动示范和营造发展环境上来，尊重农民的生产经营自主权，不干预具体生产经营活动，积极搭建服务平台，提高农村经济发展的质量和水平。</w:t>
      </w:r>
      <w:r>
        <w:rPr>
          <w:rFonts w:hint="eastAsia" w:ascii="仿宋_GB2312" w:eastAsia="仿宋_GB2312" w:cs="宋体"/>
          <w:b/>
          <w:color w:val="000000"/>
          <w:kern w:val="0"/>
          <w:sz w:val="32"/>
          <w:szCs w:val="32"/>
        </w:rPr>
        <w:t>三是强化社会管理和公共服务职能。</w:t>
      </w:r>
      <w:r>
        <w:rPr>
          <w:rFonts w:hint="eastAsia" w:ascii="仿宋_GB2312" w:eastAsia="仿宋_GB2312" w:cs="宋体"/>
          <w:color w:val="000000"/>
          <w:kern w:val="0"/>
          <w:sz w:val="32"/>
          <w:szCs w:val="32"/>
        </w:rPr>
        <w:t>将乡镇工作中心转移到加强社会管理和更好地提供公共服务上来，不断增强服务意识，始终围绕农民群众的愿望和要求开展工作，切实把维护好农村经济社会发展秩序，保护好农民合法权益，解决好农村民生问题作为乡镇重要工作来抓。</w:t>
      </w:r>
      <w:r>
        <w:rPr>
          <w:rFonts w:hint="eastAsia" w:ascii="仿宋_GB2312" w:eastAsia="仿宋_GB2312" w:cs="宋体"/>
          <w:b/>
          <w:color w:val="000000"/>
          <w:kern w:val="0"/>
          <w:sz w:val="32"/>
          <w:szCs w:val="32"/>
        </w:rPr>
        <w:t>四是合理调整职能，推动行政管理与基层群众自治有效衔接。</w:t>
      </w:r>
      <w:r>
        <w:rPr>
          <w:rFonts w:hint="eastAsia" w:ascii="仿宋_GB2312" w:eastAsia="仿宋_GB2312" w:cs="宋体"/>
          <w:color w:val="000000"/>
          <w:kern w:val="0"/>
          <w:sz w:val="32"/>
          <w:szCs w:val="32"/>
        </w:rPr>
        <w:t>将承担的行业性服务职能交给社会中介组织，切实加强公益性职能，用主要精力发展农村经济，抓好农村社会管理。将应该属于村街组织的权利和事务，交给村级组织，充分发挥农村基础自治组织的作用。</w:t>
      </w: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ascii="Times New Roman" w:hAnsi="Times New Roman" w:eastAsia="仿宋_GB2312" w:cs="Times New Roman"/>
          <w:b/>
          <w:sz w:val="32"/>
          <w:szCs w:val="24"/>
        </w:rPr>
        <w:t>部门机构设置情况</w:t>
      </w:r>
    </w:p>
    <w:tbl>
      <w:tblPr>
        <w:tblStyle w:val="8"/>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134"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276"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2902"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c>
          <w:tcPr>
            <w:tcW w:w="1134"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c>
          <w:tcPr>
            <w:tcW w:w="1276"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c>
          <w:tcPr>
            <w:tcW w:w="2902"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left"/>
              <w:rPr>
                <w:rFonts w:ascii="Times New Roman" w:hAnsi="Times New Roman" w:eastAsia="仿宋_GB2312" w:cs="Times New Roman"/>
                <w:b/>
              </w:rPr>
            </w:pPr>
            <w:r>
              <w:rPr>
                <w:rFonts w:hint="eastAsia" w:ascii="Times New Roman" w:hAnsi="Times New Roman" w:eastAsia="仿宋_GB2312" w:cs="Times New Roman"/>
              </w:rPr>
              <w:t>廊坊市广阳区南尖塔镇财政所</w:t>
            </w:r>
          </w:p>
        </w:tc>
        <w:tc>
          <w:tcPr>
            <w:tcW w:w="1134"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rPr>
              <w:t>行政</w:t>
            </w:r>
          </w:p>
        </w:tc>
        <w:tc>
          <w:tcPr>
            <w:tcW w:w="1276"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rPr>
              <w:t>正科级</w:t>
            </w:r>
          </w:p>
        </w:tc>
        <w:tc>
          <w:tcPr>
            <w:tcW w:w="2902"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left"/>
              <w:rPr>
                <w:rFonts w:ascii="Times New Roman" w:hAnsi="Times New Roman" w:eastAsia="仿宋_GB2312" w:cs="Times New Roman"/>
              </w:rPr>
            </w:pPr>
            <w:r>
              <w:rPr>
                <w:rFonts w:hint="eastAsia" w:ascii="Times New Roman" w:hAnsi="Times New Roman" w:eastAsia="仿宋_GB2312" w:cs="Times New Roman"/>
              </w:rPr>
              <w:t>廊坊市广阳区南尖塔镇计生办</w:t>
            </w:r>
          </w:p>
        </w:tc>
        <w:tc>
          <w:tcPr>
            <w:tcW w:w="1134" w:type="dxa"/>
            <w:shd w:val="clear" w:color="auto" w:fill="auto"/>
            <w:vAlign w:val="center"/>
          </w:tcPr>
          <w:p>
            <w:pPr>
              <w:spacing w:line="584" w:lineRule="exact"/>
              <w:jc w:val="center"/>
              <w:rPr>
                <w:rFonts w:ascii="Times New Roman" w:hAnsi="Times New Roman" w:eastAsia="仿宋_GB2312" w:cs="Times New Roman"/>
              </w:rPr>
            </w:pPr>
            <w:r>
              <w:rPr>
                <w:rFonts w:hint="eastAsia" w:ascii="Times New Roman" w:hAnsi="Times New Roman" w:eastAsia="仿宋_GB2312" w:cs="Times New Roman"/>
              </w:rPr>
              <w:t>行政</w:t>
            </w:r>
          </w:p>
        </w:tc>
        <w:tc>
          <w:tcPr>
            <w:tcW w:w="1276" w:type="dxa"/>
            <w:shd w:val="clear" w:color="auto" w:fill="auto"/>
            <w:vAlign w:val="center"/>
          </w:tcPr>
          <w:p>
            <w:pPr>
              <w:spacing w:line="584" w:lineRule="exact"/>
              <w:jc w:val="center"/>
              <w:rPr>
                <w:rFonts w:ascii="Times New Roman" w:hAnsi="Times New Roman" w:eastAsia="仿宋_GB2312" w:cs="Times New Roman"/>
              </w:rPr>
            </w:pPr>
            <w:r>
              <w:rPr>
                <w:rFonts w:hint="eastAsia" w:ascii="Times New Roman" w:hAnsi="Times New Roman" w:eastAsia="仿宋_GB2312" w:cs="Times New Roman"/>
              </w:rPr>
              <w:t>正科级</w:t>
            </w:r>
          </w:p>
        </w:tc>
        <w:tc>
          <w:tcPr>
            <w:tcW w:w="2902" w:type="dxa"/>
            <w:shd w:val="clear" w:color="auto" w:fill="auto"/>
            <w:vAlign w:val="center"/>
          </w:tcPr>
          <w:p>
            <w:pPr>
              <w:spacing w:line="584" w:lineRule="exact"/>
              <w:jc w:val="center"/>
              <w:rPr>
                <w:rFonts w:ascii="Times New Roman" w:hAnsi="Times New Roman" w:eastAsia="仿宋_GB2312" w:cs="Times New Roman"/>
              </w:rPr>
            </w:pPr>
            <w:r>
              <w:rPr>
                <w:rFonts w:hint="eastAsia" w:ascii="Times New Roman" w:hAnsi="Times New Roman" w:eastAsia="仿宋_GB2312" w:cs="Times New Roman"/>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left"/>
              <w:rPr>
                <w:rFonts w:ascii="Times New Roman" w:hAnsi="Times New Roman" w:eastAsia="仿宋_GB2312" w:cs="Times New Roman"/>
              </w:rPr>
            </w:pPr>
            <w:r>
              <w:rPr>
                <w:rFonts w:hint="eastAsia" w:ascii="Times New Roman" w:hAnsi="Times New Roman" w:eastAsia="仿宋_GB2312" w:cs="Times New Roman"/>
              </w:rPr>
              <w:t>廊坊市广阳区南尖塔镇农业办</w:t>
            </w:r>
          </w:p>
        </w:tc>
        <w:tc>
          <w:tcPr>
            <w:tcW w:w="1134" w:type="dxa"/>
            <w:shd w:val="clear" w:color="auto" w:fill="auto"/>
            <w:vAlign w:val="center"/>
          </w:tcPr>
          <w:p>
            <w:pPr>
              <w:spacing w:line="584" w:lineRule="exact"/>
              <w:jc w:val="center"/>
              <w:rPr>
                <w:rFonts w:ascii="Times New Roman" w:hAnsi="Times New Roman" w:eastAsia="仿宋_GB2312" w:cs="Times New Roman"/>
              </w:rPr>
            </w:pPr>
            <w:r>
              <w:rPr>
                <w:rFonts w:hint="eastAsia" w:ascii="Times New Roman" w:hAnsi="Times New Roman" w:eastAsia="仿宋_GB2312" w:cs="Times New Roman"/>
              </w:rPr>
              <w:t>行政</w:t>
            </w:r>
          </w:p>
        </w:tc>
        <w:tc>
          <w:tcPr>
            <w:tcW w:w="1276" w:type="dxa"/>
            <w:shd w:val="clear" w:color="auto" w:fill="auto"/>
            <w:vAlign w:val="center"/>
          </w:tcPr>
          <w:p>
            <w:pPr>
              <w:spacing w:line="584" w:lineRule="exact"/>
              <w:jc w:val="center"/>
              <w:rPr>
                <w:rFonts w:ascii="Times New Roman" w:hAnsi="Times New Roman" w:eastAsia="仿宋_GB2312" w:cs="Times New Roman"/>
              </w:rPr>
            </w:pPr>
            <w:r>
              <w:rPr>
                <w:rFonts w:hint="eastAsia" w:ascii="Times New Roman" w:hAnsi="Times New Roman" w:eastAsia="仿宋_GB2312" w:cs="Times New Roman"/>
              </w:rPr>
              <w:t>正科级</w:t>
            </w:r>
          </w:p>
        </w:tc>
        <w:tc>
          <w:tcPr>
            <w:tcW w:w="2902" w:type="dxa"/>
            <w:shd w:val="clear" w:color="auto" w:fill="auto"/>
            <w:vAlign w:val="center"/>
          </w:tcPr>
          <w:p>
            <w:pPr>
              <w:spacing w:line="584" w:lineRule="exact"/>
              <w:jc w:val="center"/>
              <w:rPr>
                <w:rFonts w:ascii="Times New Roman" w:hAnsi="Times New Roman" w:eastAsia="仿宋_GB2312" w:cs="Times New Roman"/>
              </w:rPr>
            </w:pPr>
            <w:r>
              <w:rPr>
                <w:rFonts w:hint="eastAsia" w:ascii="Times New Roman" w:hAnsi="Times New Roman" w:eastAsia="仿宋_GB2312" w:cs="Times New Roman"/>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left"/>
              <w:rPr>
                <w:rFonts w:ascii="Times New Roman" w:hAnsi="Times New Roman" w:eastAsia="仿宋_GB2312" w:cs="Times New Roman"/>
              </w:rPr>
            </w:pPr>
            <w:r>
              <w:rPr>
                <w:rFonts w:hint="eastAsia" w:ascii="Times New Roman" w:hAnsi="Times New Roman" w:eastAsia="仿宋_GB2312" w:cs="Times New Roman"/>
              </w:rPr>
              <w:t>廊坊市广阳区南尖塔镇人民政府</w:t>
            </w:r>
          </w:p>
        </w:tc>
        <w:tc>
          <w:tcPr>
            <w:tcW w:w="1134" w:type="dxa"/>
            <w:shd w:val="clear" w:color="auto" w:fill="auto"/>
            <w:vAlign w:val="center"/>
          </w:tcPr>
          <w:p>
            <w:pPr>
              <w:spacing w:line="584" w:lineRule="exact"/>
              <w:jc w:val="center"/>
              <w:rPr>
                <w:rFonts w:ascii="Times New Roman" w:hAnsi="Times New Roman" w:eastAsia="仿宋_GB2312" w:cs="Times New Roman"/>
              </w:rPr>
            </w:pPr>
            <w:r>
              <w:rPr>
                <w:rFonts w:hint="eastAsia" w:ascii="Times New Roman" w:hAnsi="Times New Roman" w:eastAsia="仿宋_GB2312" w:cs="Times New Roman"/>
              </w:rPr>
              <w:t>行政</w:t>
            </w:r>
          </w:p>
        </w:tc>
        <w:tc>
          <w:tcPr>
            <w:tcW w:w="1276" w:type="dxa"/>
            <w:shd w:val="clear" w:color="auto" w:fill="auto"/>
            <w:vAlign w:val="center"/>
          </w:tcPr>
          <w:p>
            <w:pPr>
              <w:spacing w:line="584" w:lineRule="exact"/>
              <w:jc w:val="center"/>
              <w:rPr>
                <w:rFonts w:ascii="Times New Roman" w:hAnsi="Times New Roman" w:eastAsia="仿宋_GB2312" w:cs="Times New Roman"/>
              </w:rPr>
            </w:pPr>
            <w:r>
              <w:rPr>
                <w:rFonts w:hint="eastAsia" w:ascii="Times New Roman" w:hAnsi="Times New Roman" w:eastAsia="仿宋_GB2312" w:cs="Times New Roman"/>
              </w:rPr>
              <w:t>正科级</w:t>
            </w:r>
          </w:p>
        </w:tc>
        <w:tc>
          <w:tcPr>
            <w:tcW w:w="2902" w:type="dxa"/>
            <w:shd w:val="clear" w:color="auto" w:fill="auto"/>
            <w:vAlign w:val="center"/>
          </w:tcPr>
          <w:p>
            <w:pPr>
              <w:spacing w:line="584" w:lineRule="exact"/>
              <w:jc w:val="center"/>
              <w:rPr>
                <w:rFonts w:ascii="Times New Roman" w:hAnsi="Times New Roman" w:eastAsia="仿宋_GB2312" w:cs="Times New Roman"/>
              </w:rPr>
            </w:pPr>
            <w:r>
              <w:rPr>
                <w:rFonts w:hint="eastAsia" w:ascii="Times New Roman" w:hAnsi="Times New Roman" w:eastAsia="仿宋_GB2312" w:cs="Times New Roman"/>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left"/>
              <w:rPr>
                <w:rFonts w:ascii="Times New Roman" w:hAnsi="Times New Roman" w:eastAsia="仿宋_GB2312" w:cs="Times New Roman"/>
              </w:rPr>
            </w:pPr>
            <w:r>
              <w:rPr>
                <w:rFonts w:hint="eastAsia" w:ascii="Times New Roman" w:hAnsi="Times New Roman" w:eastAsia="仿宋_GB2312" w:cs="Times New Roman"/>
              </w:rPr>
              <w:t>廊坊市广阳区南尖塔镇小学</w:t>
            </w:r>
          </w:p>
        </w:tc>
        <w:tc>
          <w:tcPr>
            <w:tcW w:w="1134" w:type="dxa"/>
            <w:shd w:val="clear" w:color="auto" w:fill="auto"/>
            <w:vAlign w:val="center"/>
          </w:tcPr>
          <w:p>
            <w:pPr>
              <w:spacing w:line="584" w:lineRule="exact"/>
              <w:jc w:val="center"/>
              <w:rPr>
                <w:rFonts w:ascii="Times New Roman" w:hAnsi="Times New Roman" w:eastAsia="仿宋_GB2312" w:cs="Times New Roman"/>
              </w:rPr>
            </w:pPr>
            <w:r>
              <w:rPr>
                <w:rFonts w:hint="eastAsia" w:ascii="Times New Roman" w:hAnsi="Times New Roman" w:eastAsia="仿宋_GB2312" w:cs="Times New Roman"/>
              </w:rPr>
              <w:t>全额事业</w:t>
            </w:r>
          </w:p>
        </w:tc>
        <w:tc>
          <w:tcPr>
            <w:tcW w:w="1276" w:type="dxa"/>
            <w:shd w:val="clear" w:color="auto" w:fill="auto"/>
            <w:vAlign w:val="center"/>
          </w:tcPr>
          <w:p>
            <w:pPr>
              <w:spacing w:line="584" w:lineRule="exact"/>
              <w:jc w:val="center"/>
              <w:rPr>
                <w:rFonts w:ascii="Times New Roman" w:hAnsi="Times New Roman" w:eastAsia="仿宋_GB2312" w:cs="Times New Roman"/>
              </w:rPr>
            </w:pPr>
            <w:r>
              <w:rPr>
                <w:rFonts w:hint="eastAsia" w:ascii="Times New Roman" w:hAnsi="Times New Roman" w:eastAsia="仿宋_GB2312" w:cs="Times New Roman"/>
              </w:rPr>
              <w:t>正科级</w:t>
            </w:r>
          </w:p>
        </w:tc>
        <w:tc>
          <w:tcPr>
            <w:tcW w:w="2902" w:type="dxa"/>
            <w:shd w:val="clear" w:color="auto" w:fill="auto"/>
            <w:vAlign w:val="center"/>
          </w:tcPr>
          <w:p>
            <w:pPr>
              <w:spacing w:line="584" w:lineRule="exact"/>
              <w:jc w:val="center"/>
              <w:rPr>
                <w:rFonts w:ascii="Times New Roman" w:hAnsi="Times New Roman" w:eastAsia="仿宋_GB2312" w:cs="Times New Roman"/>
              </w:rPr>
            </w:pPr>
            <w:r>
              <w:rPr>
                <w:rFonts w:hint="eastAsia" w:ascii="Times New Roman" w:hAnsi="Times New Roman" w:eastAsia="仿宋_GB2312" w:cs="Times New Roman"/>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left"/>
              <w:rPr>
                <w:rFonts w:ascii="Times New Roman" w:hAnsi="Times New Roman" w:eastAsia="仿宋_GB2312" w:cs="Times New Roman"/>
              </w:rPr>
            </w:pPr>
            <w:r>
              <w:rPr>
                <w:rFonts w:hint="eastAsia" w:ascii="Times New Roman" w:hAnsi="Times New Roman" w:eastAsia="仿宋_GB2312" w:cs="Times New Roman"/>
              </w:rPr>
              <w:t>廊坊市广阳区南尖塔镇中学</w:t>
            </w:r>
          </w:p>
        </w:tc>
        <w:tc>
          <w:tcPr>
            <w:tcW w:w="1134" w:type="dxa"/>
            <w:shd w:val="clear" w:color="auto" w:fill="auto"/>
            <w:vAlign w:val="center"/>
          </w:tcPr>
          <w:p>
            <w:pPr>
              <w:spacing w:line="584" w:lineRule="exact"/>
              <w:jc w:val="center"/>
              <w:rPr>
                <w:rFonts w:ascii="Times New Roman" w:hAnsi="Times New Roman" w:eastAsia="仿宋_GB2312" w:cs="Times New Roman"/>
              </w:rPr>
            </w:pPr>
            <w:r>
              <w:rPr>
                <w:rFonts w:hint="eastAsia" w:ascii="Times New Roman" w:hAnsi="Times New Roman" w:eastAsia="仿宋_GB2312" w:cs="Times New Roman"/>
              </w:rPr>
              <w:t>全额事业</w:t>
            </w:r>
          </w:p>
        </w:tc>
        <w:tc>
          <w:tcPr>
            <w:tcW w:w="1276" w:type="dxa"/>
            <w:shd w:val="clear" w:color="auto" w:fill="auto"/>
            <w:vAlign w:val="center"/>
          </w:tcPr>
          <w:p>
            <w:pPr>
              <w:spacing w:line="584" w:lineRule="exact"/>
              <w:jc w:val="center"/>
              <w:rPr>
                <w:rFonts w:ascii="Times New Roman" w:hAnsi="Times New Roman" w:eastAsia="仿宋_GB2312" w:cs="Times New Roman"/>
              </w:rPr>
            </w:pPr>
            <w:r>
              <w:rPr>
                <w:rFonts w:hint="eastAsia" w:ascii="Times New Roman" w:hAnsi="Times New Roman" w:eastAsia="仿宋_GB2312" w:cs="Times New Roman"/>
              </w:rPr>
              <w:t>正科级</w:t>
            </w:r>
          </w:p>
        </w:tc>
        <w:tc>
          <w:tcPr>
            <w:tcW w:w="2902" w:type="dxa"/>
            <w:shd w:val="clear" w:color="auto" w:fill="auto"/>
            <w:vAlign w:val="center"/>
          </w:tcPr>
          <w:p>
            <w:pPr>
              <w:spacing w:line="584" w:lineRule="exact"/>
              <w:jc w:val="center"/>
              <w:rPr>
                <w:rFonts w:ascii="Times New Roman" w:hAnsi="Times New Roman" w:eastAsia="仿宋_GB2312" w:cs="Times New Roman"/>
              </w:rPr>
            </w:pPr>
            <w:r>
              <w:rPr>
                <w:rFonts w:hint="eastAsia" w:ascii="Times New Roman" w:hAnsi="Times New Roman" w:eastAsia="仿宋_GB2312" w:cs="Times New Roman"/>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left"/>
              <w:rPr>
                <w:rFonts w:ascii="Times New Roman" w:hAnsi="Times New Roman" w:eastAsia="仿宋_GB2312" w:cs="Times New Roman"/>
              </w:rPr>
            </w:pPr>
            <w:r>
              <w:rPr>
                <w:rFonts w:hint="eastAsia" w:ascii="Times New Roman" w:hAnsi="Times New Roman" w:eastAsia="仿宋_GB2312" w:cs="Times New Roman"/>
              </w:rPr>
              <w:t>廊坊市广阳区南尖塔镇其他教育</w:t>
            </w:r>
          </w:p>
        </w:tc>
        <w:tc>
          <w:tcPr>
            <w:tcW w:w="1134" w:type="dxa"/>
            <w:shd w:val="clear" w:color="auto" w:fill="auto"/>
            <w:vAlign w:val="center"/>
          </w:tcPr>
          <w:p>
            <w:pPr>
              <w:spacing w:line="584" w:lineRule="exact"/>
              <w:jc w:val="center"/>
              <w:rPr>
                <w:rFonts w:ascii="Times New Roman" w:hAnsi="Times New Roman" w:eastAsia="仿宋_GB2312" w:cs="Times New Roman"/>
              </w:rPr>
            </w:pPr>
            <w:r>
              <w:rPr>
                <w:rFonts w:hint="eastAsia" w:ascii="Times New Roman" w:hAnsi="Times New Roman" w:eastAsia="仿宋_GB2312" w:cs="Times New Roman"/>
              </w:rPr>
              <w:t>全额事业</w:t>
            </w:r>
          </w:p>
        </w:tc>
        <w:tc>
          <w:tcPr>
            <w:tcW w:w="1276" w:type="dxa"/>
            <w:shd w:val="clear" w:color="auto" w:fill="auto"/>
            <w:vAlign w:val="center"/>
          </w:tcPr>
          <w:p>
            <w:pPr>
              <w:spacing w:line="584" w:lineRule="exact"/>
              <w:jc w:val="center"/>
              <w:rPr>
                <w:rFonts w:ascii="Times New Roman" w:hAnsi="Times New Roman" w:eastAsia="仿宋_GB2312" w:cs="Times New Roman"/>
              </w:rPr>
            </w:pPr>
            <w:r>
              <w:rPr>
                <w:rFonts w:hint="eastAsia" w:ascii="Times New Roman" w:hAnsi="Times New Roman" w:eastAsia="仿宋_GB2312" w:cs="Times New Roman"/>
              </w:rPr>
              <w:t>正科级</w:t>
            </w:r>
          </w:p>
        </w:tc>
        <w:tc>
          <w:tcPr>
            <w:tcW w:w="2902" w:type="dxa"/>
            <w:shd w:val="clear" w:color="auto" w:fill="auto"/>
            <w:vAlign w:val="center"/>
          </w:tcPr>
          <w:p>
            <w:pPr>
              <w:spacing w:line="584" w:lineRule="exact"/>
              <w:jc w:val="center"/>
              <w:rPr>
                <w:rFonts w:ascii="Times New Roman" w:hAnsi="Times New Roman" w:eastAsia="仿宋_GB2312" w:cs="Times New Roman"/>
              </w:rPr>
            </w:pPr>
            <w:r>
              <w:rPr>
                <w:rFonts w:hint="eastAsia" w:ascii="Times New Roman" w:hAnsi="Times New Roman" w:eastAsia="仿宋_GB2312" w:cs="Times New Roman"/>
              </w:rPr>
              <w:t>财政性资金基本保证</w:t>
            </w:r>
          </w:p>
        </w:tc>
      </w:tr>
    </w:tbl>
    <w:p>
      <w:pPr>
        <w:spacing w:line="584"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二、部门预算安排的总体情况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部门预算的编制实行综合预算制度，即全部收入和支出都反映在预算中。廊坊市</w:t>
      </w:r>
      <w:r>
        <w:rPr>
          <w:rFonts w:hint="eastAsia" w:ascii="Times New Roman" w:hAnsi="Times New Roman" w:eastAsia="仿宋_GB2312" w:cs="Times New Roman"/>
          <w:sz w:val="32"/>
          <w:szCs w:val="32"/>
        </w:rPr>
        <w:t>广阳区南尖塔镇人民政府</w:t>
      </w:r>
      <w:r>
        <w:rPr>
          <w:rFonts w:ascii="Times New Roman" w:hAnsi="Times New Roman" w:eastAsia="仿宋_GB2312" w:cs="Times New Roman"/>
          <w:sz w:val="32"/>
          <w:szCs w:val="32"/>
        </w:rPr>
        <w:t>机关及所属事业单位的收支包含在部门预算中。</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反映本部门当年全部收入。201</w:t>
      </w:r>
      <w:r>
        <w:rPr>
          <w:rFonts w:hint="eastAsia" w:ascii="Times New Roman" w:hAnsi="Times New Roman" w:eastAsia="仿宋_GB2312" w:cs="Times New Roman"/>
          <w:sz w:val="32"/>
          <w:szCs w:val="32"/>
        </w:rPr>
        <w:t>9</w:t>
      </w:r>
      <w:r>
        <w:rPr>
          <w:rFonts w:ascii="Times New Roman" w:hAnsi="Times New Roman" w:eastAsia="仿宋_GB2312" w:cs="Times New Roman"/>
          <w:sz w:val="32"/>
          <w:szCs w:val="32"/>
        </w:rPr>
        <w:t>年预算收入</w:t>
      </w:r>
      <w:r>
        <w:rPr>
          <w:rFonts w:hint="eastAsia" w:ascii="Times New Roman" w:hAnsi="Times New Roman" w:eastAsia="仿宋_GB2312" w:cs="Times New Roman"/>
          <w:sz w:val="32"/>
          <w:szCs w:val="32"/>
        </w:rPr>
        <w:t>5223.87</w:t>
      </w:r>
      <w:r>
        <w:rPr>
          <w:rFonts w:ascii="Times New Roman" w:hAnsi="Times New Roman" w:eastAsia="仿宋_GB2312" w:cs="Times New Roman"/>
          <w:sz w:val="32"/>
          <w:szCs w:val="32"/>
        </w:rPr>
        <w:t>万元，其中：一般公共预算收入</w:t>
      </w:r>
      <w:r>
        <w:rPr>
          <w:rFonts w:hint="eastAsia" w:ascii="Times New Roman" w:hAnsi="Times New Roman" w:eastAsia="仿宋_GB2312" w:cs="Times New Roman"/>
          <w:sz w:val="32"/>
          <w:szCs w:val="32"/>
        </w:rPr>
        <w:t>5223.87</w:t>
      </w:r>
      <w:r>
        <w:rPr>
          <w:rFonts w:ascii="Times New Roman" w:hAnsi="Times New Roman" w:eastAsia="仿宋_GB2312" w:cs="Times New Roman"/>
          <w:sz w:val="32"/>
          <w:szCs w:val="32"/>
        </w:rPr>
        <w:t>万元，基金预算收入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万元，财政专户核拨收入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万元，其他来源收入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收支预算总表支出栏、基本支出表、项目支出表按经济分类和支出功能分类科目编制，反映廊坊市</w:t>
      </w:r>
      <w:r>
        <w:rPr>
          <w:rFonts w:hint="eastAsia" w:ascii="Times New Roman" w:hAnsi="Times New Roman" w:eastAsia="仿宋_GB2312" w:cs="Times New Roman"/>
          <w:sz w:val="32"/>
          <w:szCs w:val="32"/>
        </w:rPr>
        <w:t>广阳区南尖塔镇人民政府</w:t>
      </w:r>
      <w:r>
        <w:rPr>
          <w:rFonts w:ascii="Times New Roman" w:hAnsi="Times New Roman" w:eastAsia="仿宋_GB2312" w:cs="Times New Roman"/>
          <w:sz w:val="32"/>
          <w:szCs w:val="32"/>
        </w:rPr>
        <w:t>年度部门预算中支出预算的总体情况。201</w:t>
      </w:r>
      <w:r>
        <w:rPr>
          <w:rFonts w:hint="eastAsia" w:ascii="Times New Roman" w:hAnsi="Times New Roman" w:eastAsia="仿宋_GB2312" w:cs="Times New Roman"/>
          <w:sz w:val="32"/>
          <w:szCs w:val="32"/>
        </w:rPr>
        <w:t>9</w:t>
      </w:r>
      <w:r>
        <w:rPr>
          <w:rFonts w:ascii="Times New Roman" w:hAnsi="Times New Roman" w:eastAsia="仿宋_GB2312" w:cs="Times New Roman"/>
          <w:sz w:val="32"/>
          <w:szCs w:val="32"/>
        </w:rPr>
        <w:t>年支出预算</w:t>
      </w:r>
      <w:r>
        <w:rPr>
          <w:rFonts w:hint="eastAsia" w:ascii="Times New Roman" w:hAnsi="Times New Roman" w:eastAsia="仿宋_GB2312" w:cs="Times New Roman"/>
          <w:sz w:val="32"/>
          <w:szCs w:val="32"/>
        </w:rPr>
        <w:t>5223.87</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rPr>
        <w:t>5070.91</w:t>
      </w:r>
      <w:r>
        <w:rPr>
          <w:rFonts w:ascii="Times New Roman" w:hAnsi="Times New Roman" w:eastAsia="仿宋_GB2312" w:cs="Times New Roman"/>
          <w:sz w:val="32"/>
          <w:szCs w:val="32"/>
        </w:rPr>
        <w:t>万元，包括人员经费</w:t>
      </w:r>
      <w:r>
        <w:rPr>
          <w:rFonts w:hint="eastAsia" w:ascii="Times New Roman" w:hAnsi="Times New Roman" w:eastAsia="仿宋_GB2312" w:cs="Times New Roman"/>
          <w:sz w:val="32"/>
          <w:szCs w:val="32"/>
        </w:rPr>
        <w:t>4930.11</w:t>
      </w:r>
      <w:r>
        <w:rPr>
          <w:rFonts w:ascii="Times New Roman" w:hAnsi="Times New Roman" w:eastAsia="仿宋_GB2312" w:cs="Times New Roman"/>
          <w:sz w:val="32"/>
          <w:szCs w:val="32"/>
        </w:rPr>
        <w:t>万元和日常公用经费</w:t>
      </w:r>
      <w:r>
        <w:rPr>
          <w:rFonts w:hint="eastAsia" w:ascii="Times New Roman" w:hAnsi="Times New Roman" w:eastAsia="仿宋_GB2312" w:cs="Times New Roman"/>
          <w:sz w:val="32"/>
          <w:szCs w:val="32"/>
        </w:rPr>
        <w:t>140.8</w:t>
      </w:r>
      <w:r>
        <w:rPr>
          <w:rFonts w:ascii="Times New Roman" w:hAnsi="Times New Roman" w:eastAsia="仿宋_GB2312" w:cs="Times New Roman"/>
          <w:sz w:val="32"/>
          <w:szCs w:val="32"/>
        </w:rPr>
        <w:t>万元；项目支出</w:t>
      </w:r>
      <w:r>
        <w:rPr>
          <w:rFonts w:hint="eastAsia" w:ascii="Times New Roman" w:hAnsi="Times New Roman" w:eastAsia="仿宋_GB2312" w:cs="Times New Roman"/>
          <w:sz w:val="32"/>
          <w:szCs w:val="32"/>
        </w:rPr>
        <w:t>152.96</w:t>
      </w:r>
      <w:r>
        <w:rPr>
          <w:rFonts w:ascii="Times New Roman" w:hAnsi="Times New Roman" w:eastAsia="仿宋_GB2312" w:cs="Times New Roman"/>
          <w:sz w:val="32"/>
          <w:szCs w:val="32"/>
        </w:rPr>
        <w:t>万元，包括本级支出</w:t>
      </w:r>
      <w:r>
        <w:rPr>
          <w:rFonts w:hint="eastAsia" w:ascii="Times New Roman" w:hAnsi="Times New Roman" w:eastAsia="仿宋_GB2312" w:cs="Times New Roman"/>
          <w:sz w:val="32"/>
          <w:szCs w:val="32"/>
        </w:rPr>
        <w:t>152.96</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rPr>
        <w:t>社区经费及民办教师经费支出。</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3、比上年增减情况</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201</w:t>
      </w:r>
      <w:r>
        <w:rPr>
          <w:rFonts w:hint="eastAsia" w:ascii="Times New Roman" w:hAnsi="Times New Roman" w:eastAsia="仿宋_GB2312" w:cs="Times New Roman"/>
          <w:sz w:val="32"/>
          <w:szCs w:val="32"/>
        </w:rPr>
        <w:t>9</w:t>
      </w:r>
      <w:r>
        <w:rPr>
          <w:rFonts w:ascii="Times New Roman" w:hAnsi="Times New Roman" w:eastAsia="仿宋_GB2312" w:cs="Times New Roman"/>
          <w:sz w:val="32"/>
          <w:szCs w:val="32"/>
        </w:rPr>
        <w:t>年预算收支安排</w:t>
      </w:r>
      <w:r>
        <w:rPr>
          <w:rFonts w:hint="eastAsia" w:ascii="Times New Roman" w:hAnsi="Times New Roman" w:eastAsia="仿宋_GB2312" w:cs="Times New Roman"/>
          <w:sz w:val="32"/>
          <w:szCs w:val="32"/>
        </w:rPr>
        <w:t>5223.87</w:t>
      </w:r>
      <w:r>
        <w:rPr>
          <w:rFonts w:ascii="Times New Roman" w:hAnsi="Times New Roman" w:eastAsia="仿宋_GB2312" w:cs="Times New Roman"/>
          <w:sz w:val="32"/>
          <w:szCs w:val="32"/>
        </w:rPr>
        <w:t>万元，较201</w:t>
      </w:r>
      <w:r>
        <w:rPr>
          <w:rFonts w:hint="eastAsia" w:ascii="Times New Roman" w:hAnsi="Times New Roman" w:eastAsia="仿宋_GB2312" w:cs="Times New Roman"/>
          <w:sz w:val="32"/>
          <w:szCs w:val="32"/>
        </w:rPr>
        <w:t>8</w:t>
      </w:r>
      <w:r>
        <w:rPr>
          <w:rFonts w:ascii="Times New Roman" w:hAnsi="Times New Roman" w:eastAsia="仿宋_GB2312" w:cs="Times New Roman"/>
          <w:sz w:val="32"/>
          <w:szCs w:val="32"/>
        </w:rPr>
        <w:t>年预算增加</w:t>
      </w:r>
      <w:r>
        <w:rPr>
          <w:rFonts w:hint="eastAsia" w:ascii="Times New Roman" w:hAnsi="Times New Roman" w:eastAsia="仿宋_GB2312" w:cs="Times New Roman"/>
          <w:sz w:val="32"/>
          <w:szCs w:val="32"/>
        </w:rPr>
        <w:t>455.33</w:t>
      </w:r>
      <w:r>
        <w:rPr>
          <w:rFonts w:ascii="Times New Roman" w:hAnsi="Times New Roman" w:eastAsia="仿宋_GB2312" w:cs="Times New Roman"/>
          <w:sz w:val="32"/>
          <w:szCs w:val="32"/>
        </w:rPr>
        <w:t>万元，其中：基本支出增加</w:t>
      </w:r>
      <w:r>
        <w:rPr>
          <w:rFonts w:hint="eastAsia" w:ascii="Times New Roman" w:hAnsi="Times New Roman" w:eastAsia="仿宋_GB2312" w:cs="Times New Roman"/>
          <w:sz w:val="32"/>
          <w:szCs w:val="32"/>
        </w:rPr>
        <w:t>548.82</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rPr>
        <w:t>人员经费</w:t>
      </w:r>
      <w:r>
        <w:rPr>
          <w:rFonts w:ascii="Times New Roman" w:hAnsi="Times New Roman" w:eastAsia="仿宋_GB2312" w:cs="Times New Roman"/>
          <w:sz w:val="32"/>
          <w:szCs w:val="32"/>
        </w:rPr>
        <w:t>支出；项目支出</w:t>
      </w:r>
      <w:r>
        <w:rPr>
          <w:rFonts w:hint="eastAsia" w:ascii="Times New Roman" w:hAnsi="Times New Roman" w:eastAsia="仿宋_GB2312" w:cs="Times New Roman"/>
          <w:sz w:val="32"/>
          <w:szCs w:val="32"/>
        </w:rPr>
        <w:t>减少93.49</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rPr>
        <w:t>减少乡镇卫生清运</w:t>
      </w:r>
      <w:r>
        <w:rPr>
          <w:rFonts w:ascii="Times New Roman" w:hAnsi="Times New Roman" w:eastAsia="仿宋_GB2312" w:cs="Times New Roman"/>
          <w:sz w:val="32"/>
          <w:szCs w:val="32"/>
        </w:rPr>
        <w:t>项目支出。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三、机关运行经费安排情况</w:t>
      </w:r>
    </w:p>
    <w:p>
      <w:pPr>
        <w:autoSpaceDE w:val="0"/>
        <w:autoSpaceDN w:val="0"/>
        <w:adjustRightInd w:val="0"/>
        <w:spacing w:line="584"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201</w:t>
      </w:r>
      <w:r>
        <w:rPr>
          <w:rFonts w:hint="eastAsia" w:ascii="Times New Roman" w:hAnsi="Times New Roman" w:eastAsia="仿宋_GB2312" w:cs="Times New Roman"/>
          <w:sz w:val="32"/>
          <w:szCs w:val="32"/>
        </w:rPr>
        <w:t>9</w:t>
      </w:r>
      <w:r>
        <w:rPr>
          <w:rFonts w:ascii="Times New Roman" w:hAnsi="Times New Roman" w:eastAsia="仿宋_GB2312" w:cs="Times New Roman"/>
          <w:sz w:val="32"/>
          <w:szCs w:val="32"/>
        </w:rPr>
        <w:t>年，我</w:t>
      </w:r>
      <w:r>
        <w:rPr>
          <w:rFonts w:hint="eastAsia" w:ascii="Times New Roman" w:hAnsi="Times New Roman" w:eastAsia="仿宋_GB2312" w:cs="Times New Roman"/>
          <w:sz w:val="32"/>
          <w:szCs w:val="32"/>
        </w:rPr>
        <w:t>部门</w:t>
      </w:r>
      <w:r>
        <w:rPr>
          <w:rFonts w:ascii="Times New Roman" w:hAnsi="Times New Roman" w:eastAsia="仿宋_GB2312" w:cs="Times New Roman"/>
          <w:sz w:val="32"/>
          <w:szCs w:val="32"/>
        </w:rPr>
        <w:t>机关运行经费共计安排</w:t>
      </w:r>
      <w:r>
        <w:rPr>
          <w:rFonts w:hint="eastAsia" w:ascii="Times New Roman" w:hAnsi="Times New Roman" w:eastAsia="仿宋_GB2312" w:cs="Times New Roman"/>
          <w:sz w:val="32"/>
          <w:szCs w:val="32"/>
        </w:rPr>
        <w:t>9.42</w:t>
      </w:r>
      <w:r>
        <w:rPr>
          <w:rFonts w:ascii="Times New Roman" w:hAnsi="Times New Roman" w:eastAsia="仿宋_GB2312" w:cs="Times New Roman"/>
          <w:sz w:val="32"/>
          <w:szCs w:val="32"/>
        </w:rPr>
        <w:t>万元，主要用于</w:t>
      </w:r>
      <w:r>
        <w:rPr>
          <w:rFonts w:hint="eastAsia" w:ascii="Times New Roman" w:hAnsi="Times New Roman" w:eastAsia="仿宋_GB2312" w:cs="Times New Roman"/>
          <w:sz w:val="32"/>
          <w:szCs w:val="32"/>
        </w:rPr>
        <w:t>机关</w:t>
      </w:r>
      <w:r>
        <w:rPr>
          <w:rFonts w:ascii="Times New Roman" w:hAnsi="Times New Roman" w:eastAsia="仿宋_GB2312" w:cs="Times New Roman"/>
          <w:sz w:val="32"/>
          <w:szCs w:val="32"/>
        </w:rPr>
        <w:t>办公区的日常维修、办公用房水电费、办公用房取暖费、办公用房物业管理费等日常运行支出。</w:t>
      </w:r>
    </w:p>
    <w:p>
      <w:pPr>
        <w:autoSpaceDE w:val="0"/>
        <w:autoSpaceDN w:val="0"/>
        <w:adjustRightInd w:val="0"/>
        <w:spacing w:line="584" w:lineRule="exact"/>
        <w:ind w:firstLine="640" w:firstLineChars="200"/>
        <w:jc w:val="left"/>
        <w:rPr>
          <w:rFonts w:ascii="Times New Roman" w:hAnsi="黑体" w:eastAsia="黑体" w:cs="Times New Roman"/>
          <w:sz w:val="32"/>
          <w:szCs w:val="32"/>
        </w:rPr>
      </w:pPr>
      <w:r>
        <w:rPr>
          <w:rFonts w:ascii="Times New Roman" w:hAnsi="黑体" w:eastAsia="黑体" w:cs="Times New Roman"/>
          <w:sz w:val="32"/>
          <w:szCs w:val="32"/>
        </w:rPr>
        <w:t>四、财政拨款“三公”经费预算情况及增减变化原因</w:t>
      </w:r>
    </w:p>
    <w:p>
      <w:pPr>
        <w:spacing w:line="584" w:lineRule="exact"/>
        <w:ind w:firstLine="640" w:firstLineChars="200"/>
        <w:jc w:val="left"/>
        <w:rPr>
          <w:rFonts w:ascii="Times New Roman" w:hAnsi="Times New Roman" w:eastAsia="仿宋_GB2312" w:cs="Times New Roman"/>
          <w:color w:val="FF0000"/>
          <w:sz w:val="32"/>
          <w:szCs w:val="32"/>
        </w:rPr>
      </w:pPr>
      <w:r>
        <w:rPr>
          <w:rFonts w:hint="eastAsia" w:ascii="Times New Roman" w:hAnsi="Times New Roman" w:eastAsia="仿宋_GB2312" w:cs="Times New Roman"/>
          <w:sz w:val="32"/>
          <w:szCs w:val="32"/>
        </w:rPr>
        <w:t>2019年</w:t>
      </w:r>
      <w:r>
        <w:rPr>
          <w:rFonts w:ascii="Times New Roman" w:hAnsi="Times New Roman" w:eastAsia="仿宋_GB2312" w:cs="Times New Roman"/>
          <w:sz w:val="32"/>
          <w:szCs w:val="32"/>
        </w:rPr>
        <w:t>，我</w:t>
      </w:r>
      <w:r>
        <w:rPr>
          <w:rFonts w:hint="eastAsia" w:ascii="Times New Roman" w:hAnsi="Times New Roman" w:eastAsia="仿宋_GB2312" w:cs="Times New Roman"/>
          <w:sz w:val="32"/>
          <w:szCs w:val="32"/>
        </w:rPr>
        <w:t>部门</w:t>
      </w:r>
      <w:r>
        <w:rPr>
          <w:rFonts w:ascii="Times New Roman" w:hAnsi="Times New Roman" w:eastAsia="仿宋_GB2312" w:cs="Times New Roman"/>
          <w:sz w:val="32"/>
          <w:szCs w:val="32"/>
        </w:rPr>
        <w:t>财政拨款“三公”经费预算安排</w:t>
      </w:r>
      <w:r>
        <w:rPr>
          <w:rFonts w:hint="eastAsia" w:ascii="Times New Roman" w:hAnsi="Times New Roman" w:eastAsia="仿宋_GB2312" w:cs="Times New Roman"/>
          <w:sz w:val="32"/>
          <w:szCs w:val="32"/>
        </w:rPr>
        <w:t>4.37</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万元；公务用车购置及运维费</w:t>
      </w:r>
      <w:r>
        <w:rPr>
          <w:rFonts w:hint="eastAsia" w:ascii="Times New Roman" w:hAnsi="Times New Roman" w:eastAsia="仿宋_GB2312" w:cs="Times New Roman"/>
          <w:sz w:val="32"/>
          <w:szCs w:val="32"/>
        </w:rPr>
        <w:t>4.37</w:t>
      </w:r>
      <w:r>
        <w:rPr>
          <w:rFonts w:ascii="Times New Roman" w:hAnsi="Times New Roman" w:eastAsia="仿宋_GB2312" w:cs="Times New Roman"/>
          <w:sz w:val="32"/>
          <w:szCs w:val="32"/>
        </w:rPr>
        <w:t>万元（其中：公务用车购置费为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rPr>
        <w:t>4.37</w:t>
      </w:r>
      <w:r>
        <w:rPr>
          <w:rFonts w:ascii="Times New Roman" w:hAnsi="Times New Roman" w:eastAsia="仿宋_GB2312" w:cs="Times New Roman"/>
          <w:sz w:val="32"/>
          <w:szCs w:val="32"/>
        </w:rPr>
        <w:t>万元)；公务接待费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万元。与201</w:t>
      </w:r>
      <w:r>
        <w:rPr>
          <w:rFonts w:hint="eastAsia" w:ascii="Times New Roman" w:hAnsi="Times New Roman" w:eastAsia="仿宋_GB2312" w:cs="Times New Roman"/>
          <w:sz w:val="32"/>
          <w:szCs w:val="32"/>
        </w:rPr>
        <w:t>8</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相比减少0.23</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其中，</w:t>
      </w:r>
      <w:r>
        <w:rPr>
          <w:rFonts w:ascii="Times New Roman" w:hAnsi="Times New Roman" w:eastAsia="仿宋_GB2312" w:cs="Times New Roman"/>
          <w:sz w:val="32"/>
          <w:szCs w:val="32"/>
        </w:rPr>
        <w:t>公务用车购置及运维费</w:t>
      </w:r>
      <w:r>
        <w:rPr>
          <w:rFonts w:hint="eastAsia" w:ascii="Times New Roman" w:hAnsi="Times New Roman" w:eastAsia="仿宋_GB2312" w:cs="Times New Roman"/>
          <w:sz w:val="32"/>
          <w:szCs w:val="32"/>
        </w:rPr>
        <w:t>减少0.23</w:t>
      </w:r>
      <w:r>
        <w:rPr>
          <w:rFonts w:ascii="Times New Roman" w:hAnsi="Times New Roman" w:eastAsia="仿宋_GB2312" w:cs="Times New Roman"/>
          <w:sz w:val="32"/>
          <w:szCs w:val="32"/>
        </w:rPr>
        <w:t>万元（其中：公务用车购置费</w:t>
      </w:r>
      <w:r>
        <w:rPr>
          <w:rFonts w:hint="eastAsia" w:ascii="Times New Roman" w:hAnsi="Times New Roman" w:eastAsia="仿宋_GB2312" w:cs="Times New Roman"/>
          <w:sz w:val="32"/>
          <w:szCs w:val="32"/>
        </w:rPr>
        <w:t>减少0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rPr>
        <w:t>减少0.23</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主要原因是</w:t>
      </w:r>
      <w:r>
        <w:rPr>
          <w:rFonts w:hint="eastAsia" w:ascii="Times New Roman" w:hAnsi="Times New Roman" w:eastAsia="仿宋_GB2312" w:cs="Times New Roman"/>
          <w:sz w:val="32"/>
          <w:szCs w:val="32"/>
        </w:rPr>
        <w:t>我部门切实落实勤俭节约各项规定，严格控制公务接待费支出；</w:t>
      </w:r>
      <w:r>
        <w:rPr>
          <w:rFonts w:ascii="Times New Roman" w:hAnsi="Times New Roman" w:eastAsia="仿宋_GB2312" w:cs="Times New Roman"/>
          <w:sz w:val="32"/>
          <w:szCs w:val="32"/>
        </w:rPr>
        <w:t>公务接待费</w:t>
      </w:r>
      <w:r>
        <w:rPr>
          <w:rFonts w:hint="eastAsia" w:ascii="Times New Roman" w:hAnsi="Times New Roman" w:eastAsia="仿宋_GB2312" w:cs="Times New Roman"/>
          <w:sz w:val="32"/>
          <w:szCs w:val="32"/>
        </w:rPr>
        <w:t>0万元，</w:t>
      </w:r>
      <w:r>
        <w:rPr>
          <w:rFonts w:ascii="Times New Roman" w:hAnsi="Times New Roman" w:eastAsia="仿宋_GB2312" w:cs="Times New Roman"/>
          <w:color w:val="000000" w:themeColor="text1"/>
          <w:sz w:val="32"/>
          <w:szCs w:val="32"/>
        </w:rPr>
        <w:t>与201</w:t>
      </w:r>
      <w:r>
        <w:rPr>
          <w:rFonts w:hint="eastAsia" w:ascii="Times New Roman" w:hAnsi="Times New Roman" w:eastAsia="仿宋_GB2312" w:cs="Times New Roman"/>
          <w:color w:val="000000" w:themeColor="text1"/>
          <w:sz w:val="32"/>
          <w:szCs w:val="32"/>
        </w:rPr>
        <w:t>8</w:t>
      </w:r>
      <w:r>
        <w:rPr>
          <w:rFonts w:ascii="Times New Roman" w:hAnsi="Times New Roman" w:eastAsia="仿宋_GB2312" w:cs="Times New Roman"/>
          <w:color w:val="000000" w:themeColor="text1"/>
          <w:sz w:val="32"/>
          <w:szCs w:val="32"/>
        </w:rPr>
        <w:t>年相比持平，无增减变化。</w:t>
      </w:r>
    </w:p>
    <w:p>
      <w:pPr>
        <w:spacing w:line="584"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五、绩效预算信息</w:t>
      </w:r>
    </w:p>
    <w:p>
      <w:pPr>
        <w:spacing w:line="584" w:lineRule="exact"/>
        <w:ind w:firstLine="643" w:firstLineChars="200"/>
        <w:jc w:val="left"/>
        <w:rPr>
          <w:rFonts w:ascii="Times New Roman" w:hAnsi="Times New Roman" w:eastAsia="楷体_GB2312" w:cs="Times New Roman"/>
          <w:b/>
          <w:sz w:val="32"/>
          <w:szCs w:val="32"/>
        </w:rPr>
      </w:pPr>
      <w:bookmarkStart w:id="0" w:name="_Toc471398463"/>
      <w:r>
        <w:rPr>
          <w:rFonts w:ascii="Times New Roman" w:hAnsi="Times New Roman" w:eastAsia="楷体_GB2312" w:cs="Times New Roman"/>
          <w:b/>
          <w:sz w:val="32"/>
          <w:szCs w:val="32"/>
        </w:rPr>
        <w:t>总体绩效目标：</w:t>
      </w:r>
    </w:p>
    <w:p>
      <w:pPr>
        <w:spacing w:line="500" w:lineRule="exact"/>
        <w:ind w:firstLine="560"/>
        <w:rPr>
          <w:rFonts w:ascii="仿宋_GB2312" w:hAnsi="Calibri" w:eastAsia="仿宋_GB2312" w:cs="Times New Roman"/>
          <w:sz w:val="32"/>
          <w:szCs w:val="32"/>
        </w:rPr>
      </w:pPr>
      <w:r>
        <w:rPr>
          <w:rFonts w:hint="eastAsia" w:ascii="仿宋_GB2312" w:hAnsi="Calibri" w:eastAsia="仿宋_GB2312" w:cs="Times New Roman"/>
          <w:sz w:val="32"/>
          <w:szCs w:val="32"/>
        </w:rPr>
        <w:t>2019年是继续贯彻党的十九大精神的关键一年，摆在我们面前的经济社会发展任务光荣而又艰巨，必须进一步动员全镇上下以习近平新时代中国特色社会主义思想为统领，不忘初心</w:t>
      </w:r>
      <w:r>
        <w:rPr>
          <w:rFonts w:hint="eastAsia" w:ascii="仿宋_GB2312" w:hAnsi="Calibri" w:eastAsia="仿宋_GB2312" w:cs="Times New Roman"/>
          <w:sz w:val="32"/>
          <w:szCs w:val="32"/>
          <w:lang w:val="en-US" w:eastAsia="zh-CN"/>
        </w:rPr>
        <w:t>、</w:t>
      </w:r>
      <w:r>
        <w:rPr>
          <w:rFonts w:hint="eastAsia" w:ascii="仿宋_GB2312" w:hAnsi="Calibri" w:eastAsia="仿宋_GB2312" w:cs="Times New Roman"/>
          <w:sz w:val="32"/>
          <w:szCs w:val="32"/>
        </w:rPr>
        <w:t>牢记使命，苦干实干，奋勇争先，努力把尖塔建设成为广阳高质量发展的新高地。</w:t>
      </w:r>
    </w:p>
    <w:p>
      <w:pPr>
        <w:spacing w:line="500" w:lineRule="exact"/>
        <w:ind w:firstLine="560"/>
        <w:rPr>
          <w:rFonts w:ascii="仿宋_GB2312" w:hAnsi="Calibri" w:eastAsia="仿宋_GB2312" w:cs="Times New Roman"/>
          <w:sz w:val="32"/>
          <w:szCs w:val="32"/>
        </w:rPr>
      </w:pPr>
      <w:r>
        <w:rPr>
          <w:rFonts w:hint="eastAsia" w:ascii="仿宋_GB2312" w:hAnsi="Calibri" w:eastAsia="仿宋_GB2312" w:cs="Times New Roman"/>
          <w:sz w:val="32"/>
          <w:szCs w:val="32"/>
        </w:rPr>
        <w:t>面对新的一年我们还有许多仍需努力的地方，我们将坚持问题导向、提高政治站位、强化责任担当，坚持以习近平新时代中国特色社会主义为统领，深入学习贯彻党的十九大精神，坚定执行中央和省市区党委的重大决策部署，坚持稳中求进工作基调，全面落实新发展理念，持续推动高质量发展，围绕强镇新城发展定位，为新时代加快建设魅力新城，富强尖塔而不懈努力。</w:t>
      </w:r>
    </w:p>
    <w:p>
      <w:pPr>
        <w:spacing w:line="500" w:lineRule="exact"/>
        <w:ind w:firstLine="560"/>
        <w:rPr>
          <w:rFonts w:ascii="仿宋_GB2312" w:hAnsi="Calibri" w:eastAsia="仿宋_GB2312" w:cs="Times New Roman"/>
          <w:sz w:val="32"/>
          <w:szCs w:val="32"/>
        </w:rPr>
      </w:pPr>
      <w:r>
        <w:rPr>
          <w:rFonts w:hint="eastAsia" w:ascii="仿宋_GB2312" w:hAnsi="Calibri" w:eastAsia="仿宋_GB2312" w:cs="Times New Roman"/>
          <w:sz w:val="32"/>
          <w:szCs w:val="32"/>
        </w:rPr>
        <w:t>（一）、坚定不移发展高端经济，促进高质量发展</w:t>
      </w:r>
    </w:p>
    <w:p>
      <w:pPr>
        <w:spacing w:line="500" w:lineRule="exact"/>
        <w:ind w:firstLine="560"/>
        <w:rPr>
          <w:rFonts w:ascii="仿宋_GB2312" w:hAnsi="Calibri" w:eastAsia="仿宋_GB2312" w:cs="Times New Roman"/>
          <w:sz w:val="32"/>
          <w:szCs w:val="32"/>
        </w:rPr>
      </w:pPr>
      <w:r>
        <w:rPr>
          <w:rFonts w:hint="eastAsia" w:ascii="仿宋_GB2312" w:hAnsi="Calibri" w:eastAsia="仿宋_GB2312" w:cs="Times New Roman"/>
          <w:sz w:val="32"/>
          <w:szCs w:val="32"/>
        </w:rPr>
        <w:t>一是抓好回迁房建设。把回迁房建设民生，现代服务业为主要平台，借助城中村改造腾出的发展空间，通过顶层设计，谋划中央科技创新区，打造城市配套区和经济增长极。二是坚持创新发展战略。抓好村街股改，最大限度发展集体经济，以项目建设带动结构调整，大力发展楼宇经济、园区建设，推动传统第三产业的转型升级，努力构建以现代化服务业为主体的产业布局。三是做好招商引资。借助京津冀一体化、北京副中心、临空经济区的三大机遇，营造良好的投资和营商环境，强化招商引资，做大做强区域经济。</w:t>
      </w:r>
    </w:p>
    <w:p>
      <w:pPr>
        <w:spacing w:line="500" w:lineRule="exact"/>
        <w:ind w:firstLine="560"/>
        <w:rPr>
          <w:rFonts w:ascii="仿宋_GB2312" w:hAnsi="Calibri" w:eastAsia="仿宋_GB2312" w:cs="Times New Roman"/>
          <w:sz w:val="32"/>
          <w:szCs w:val="32"/>
        </w:rPr>
      </w:pPr>
      <w:r>
        <w:rPr>
          <w:rFonts w:hint="eastAsia" w:ascii="仿宋_GB2312" w:hAnsi="Calibri" w:eastAsia="仿宋_GB2312" w:cs="Times New Roman"/>
          <w:sz w:val="32"/>
          <w:szCs w:val="32"/>
        </w:rPr>
        <w:t>（二）、坚定不移推动辖区建设，有序推进城镇化</w:t>
      </w:r>
    </w:p>
    <w:p>
      <w:pPr>
        <w:spacing w:line="500" w:lineRule="exact"/>
        <w:ind w:firstLine="560"/>
        <w:rPr>
          <w:rFonts w:ascii="仿宋_GB2312" w:hAnsi="Calibri" w:eastAsia="仿宋_GB2312" w:cs="Times New Roman"/>
          <w:sz w:val="32"/>
          <w:szCs w:val="32"/>
        </w:rPr>
      </w:pPr>
      <w:r>
        <w:rPr>
          <w:rFonts w:hint="eastAsia" w:ascii="仿宋_GB2312" w:hAnsi="Calibri" w:eastAsia="仿宋_GB2312" w:cs="Times New Roman"/>
          <w:sz w:val="32"/>
          <w:szCs w:val="32"/>
        </w:rPr>
        <w:t>一方面力推回迁建设。我镇现有6个拆迁村街、4个回迁片区需要回迁，这是关乎民生福祉和镇域经济发展的头等大事。2019年我们将主动出击、积极配合相关各方，千方百计获取开工条件，让百姓早日回归家园。另一方面攻坚转型升级。利用拆迁出的2000多亩土地，发展高端项目，我们将以艺术大道和银河北路为坐标，全力打造高端服务业新区，培育总部经济、楼宇经济等新业态，实现规范管理，发挥城市功能，创新体制机制，提供优质服务，围绕教育、文化、娱乐整建设，完善尖塔新型城市功能，尽快完成区位优势和资源优势向项目优势的转型升级。</w:t>
      </w:r>
    </w:p>
    <w:p>
      <w:pPr>
        <w:spacing w:line="500" w:lineRule="exact"/>
        <w:ind w:firstLine="560"/>
        <w:rPr>
          <w:rFonts w:ascii="仿宋_GB2312" w:hAnsi="Calibri" w:eastAsia="仿宋_GB2312" w:cs="Times New Roman"/>
          <w:sz w:val="32"/>
          <w:szCs w:val="32"/>
        </w:rPr>
      </w:pPr>
      <w:r>
        <w:rPr>
          <w:rFonts w:hint="eastAsia" w:ascii="仿宋_GB2312" w:hAnsi="Calibri" w:eastAsia="仿宋_GB2312" w:cs="Times New Roman"/>
          <w:sz w:val="32"/>
          <w:szCs w:val="32"/>
        </w:rPr>
        <w:t>（三）、坚定不移开展环境治理</w:t>
      </w:r>
    </w:p>
    <w:p>
      <w:pPr>
        <w:spacing w:line="500" w:lineRule="exact"/>
        <w:ind w:firstLine="560"/>
        <w:rPr>
          <w:rFonts w:ascii="仿宋_GB2312" w:hAnsi="Calibri" w:eastAsia="仿宋_GB2312" w:cs="Times New Roman"/>
          <w:sz w:val="32"/>
          <w:szCs w:val="32"/>
        </w:rPr>
      </w:pPr>
      <w:r>
        <w:rPr>
          <w:rFonts w:hint="eastAsia" w:ascii="仿宋_GB2312" w:hAnsi="Calibri" w:eastAsia="仿宋_GB2312" w:cs="Times New Roman"/>
          <w:sz w:val="32"/>
          <w:szCs w:val="32"/>
        </w:rPr>
        <w:t>一是强化水环境治理，严格落实“河长制”，继续抓好河渠清淤、水质提升工作；二是强化卫生环境治理，继续完善垃圾一体化处理及实行环境卫生整治网格化管理，做到垃圾的随产随清，提升辖区环境；三是持续推动大气污染防治，加强村街“气代煤”安全运营的管理，排查安全隐患；四是继续强化工地扬尘管控、散煤禁烧、秸秆还田等工作，降低粉尘污染；五是实施乡村振兴，推动城乡协同发展，抓好村街环境整治，逐步建立垃圾分类收集处置工作机制，同时抓好污水处理、“厕所革命”等任务，发扬乡风文明，打造美丽新农村。</w:t>
      </w:r>
    </w:p>
    <w:p>
      <w:pPr>
        <w:spacing w:line="500" w:lineRule="exact"/>
        <w:ind w:firstLine="560"/>
        <w:rPr>
          <w:rFonts w:ascii="仿宋_GB2312" w:hAnsi="Calibri" w:eastAsia="仿宋_GB2312" w:cs="Times New Roman"/>
          <w:sz w:val="32"/>
          <w:szCs w:val="32"/>
        </w:rPr>
      </w:pPr>
      <w:r>
        <w:rPr>
          <w:rFonts w:hint="eastAsia" w:ascii="仿宋_GB2312" w:hAnsi="Calibri" w:eastAsia="仿宋_GB2312" w:cs="Times New Roman"/>
          <w:sz w:val="32"/>
          <w:szCs w:val="32"/>
        </w:rPr>
        <w:t>（四）、坚定不移发展民生、社会事业</w:t>
      </w:r>
    </w:p>
    <w:p>
      <w:pPr>
        <w:spacing w:line="500" w:lineRule="exact"/>
        <w:ind w:firstLine="560"/>
        <w:rPr>
          <w:rFonts w:ascii="仿宋_GB2312" w:hAnsi="Calibri" w:eastAsia="仿宋_GB2312" w:cs="Times New Roman"/>
          <w:sz w:val="32"/>
          <w:szCs w:val="32"/>
        </w:rPr>
      </w:pPr>
      <w:r>
        <w:rPr>
          <w:rFonts w:hint="eastAsia" w:ascii="仿宋_GB2312" w:hAnsi="Calibri" w:eastAsia="仿宋_GB2312" w:cs="Times New Roman"/>
          <w:sz w:val="32"/>
          <w:szCs w:val="32"/>
        </w:rPr>
        <w:t>明年是全面建成小康社会的关键之年，进入三年攻坚。一是退役军人服务政策落到实处。继续完善退役军人信息登记，给予服务，实现对口帮扶。二是民生保障持续推进。提升农村新型合作医疗、社会养老保险的参保率；大力发展教育事业，教育质量得到提升，改善校园硬件设施水平。三是大力推进文化繁荣。不断强化意识形态主体责任，加强思想文化阵地建设，积极宣传贯彻党的十九大精神和社会主义核心价值观，培育优质文艺团体和文艺工作者，提升公共文化服务水平。四是全面提升社区水平。工作重心逐步向社区倾斜，继续开展精品社区复制和智慧社区建设，全面提升社区硬件设施和服务创新水平，把社区服务推向规范化、科学化、高端化。</w:t>
      </w:r>
    </w:p>
    <w:p>
      <w:pPr>
        <w:spacing w:line="500" w:lineRule="exact"/>
        <w:ind w:firstLine="560"/>
        <w:rPr>
          <w:rFonts w:ascii="仿宋_GB2312" w:hAnsi="Calibri" w:eastAsia="仿宋_GB2312" w:cs="Times New Roman"/>
          <w:sz w:val="32"/>
          <w:szCs w:val="32"/>
        </w:rPr>
      </w:pPr>
      <w:r>
        <w:rPr>
          <w:rFonts w:hint="eastAsia" w:ascii="仿宋_GB2312" w:hAnsi="Calibri" w:eastAsia="仿宋_GB2312" w:cs="Times New Roman"/>
          <w:sz w:val="32"/>
          <w:szCs w:val="32"/>
        </w:rPr>
        <w:t>（五）、坚定不移维护社会稳定</w:t>
      </w:r>
    </w:p>
    <w:p>
      <w:pPr>
        <w:spacing w:line="500" w:lineRule="exact"/>
        <w:ind w:firstLine="560"/>
        <w:rPr>
          <w:rFonts w:ascii="仿宋_GB2312" w:hAnsi="Calibri" w:eastAsia="仿宋_GB2312" w:cs="Times New Roman"/>
          <w:sz w:val="32"/>
          <w:szCs w:val="32"/>
        </w:rPr>
      </w:pPr>
      <w:r>
        <w:rPr>
          <w:rFonts w:hint="eastAsia" w:ascii="仿宋_GB2312" w:hAnsi="Calibri" w:eastAsia="仿宋_GB2312" w:cs="Times New Roman"/>
          <w:sz w:val="32"/>
          <w:szCs w:val="32"/>
        </w:rPr>
        <w:t>一是全力维护社会治安。坚决打击暴力犯罪，对非法集资、非法传销等问题加大排查并严厉打击，持续推挤扫黑除恶工作；全力做好重大时间节点期间安保维稳工作。二是扎实做好信访工作。开展信访案件大排查、大调解、大清账集中行动，加快解决信访历史遗留问题，实现常态化维稳，尽量实现赴京上访案件为零的目标。三是不打折扣做好安全生产工作。明确责任，扎实开展安全生产隐患排查整改“百日攻坚”行动，重要时间节点安排人员驻厂，务必做到安全生产不出问题。高度关注“气代煤”安全使用工作，充分发挥安全协管员作用，切实做到隐患排查整改无死角、全覆盖。四是大力推进食品安全工作。加强辖区食品药品监管，尤其对村街、学校周边加大监管力度；加大对辖区清真食品、清真饭店的排查，确保货源没有问题。</w:t>
      </w:r>
    </w:p>
    <w:p>
      <w:pPr>
        <w:spacing w:line="500" w:lineRule="exact"/>
        <w:ind w:firstLine="560"/>
        <w:rPr>
          <w:rFonts w:ascii="仿宋_GB2312" w:hAnsi="Calibri" w:eastAsia="仿宋_GB2312" w:cs="Times New Roman"/>
          <w:sz w:val="32"/>
          <w:szCs w:val="32"/>
        </w:rPr>
      </w:pPr>
      <w:r>
        <w:rPr>
          <w:rFonts w:hint="eastAsia" w:ascii="仿宋_GB2312" w:hAnsi="Calibri" w:eastAsia="仿宋_GB2312" w:cs="Times New Roman"/>
          <w:sz w:val="32"/>
          <w:szCs w:val="32"/>
        </w:rPr>
        <w:t>（六）、坚持党对各项工作的领导</w:t>
      </w:r>
    </w:p>
    <w:p>
      <w:pPr>
        <w:spacing w:line="500" w:lineRule="exact"/>
        <w:ind w:firstLine="560"/>
        <w:rPr>
          <w:rFonts w:ascii="仿宋_GB2312" w:hAnsi="Calibri" w:eastAsia="仿宋_GB2312" w:cs="Times New Roman"/>
          <w:sz w:val="32"/>
          <w:szCs w:val="32"/>
        </w:rPr>
      </w:pPr>
      <w:r>
        <w:rPr>
          <w:rFonts w:hint="eastAsia" w:ascii="仿宋_GB2312" w:hAnsi="Calibri" w:eastAsia="仿宋_GB2312" w:cs="Times New Roman"/>
          <w:sz w:val="32"/>
          <w:szCs w:val="32"/>
        </w:rPr>
        <w:t>我们将严格落实这一要求，切实加强党对一切工作的领导。巩固基层组织建设。巩固换届成果，强化新当选“两委”班子成员的学习教育；建章立制，继续完善“1115”工作体系。在干部队伍建设方面。大力提倡“四讲四事”，即“讲政治、讲大局、讲规矩、讲纪律，会干事、想干事、敢干事、不出事”。在加强学习方面。用习近平新时代中国特色社会主义思想武装头脑，补齐学习短板，有计划、有组织的开展中心组理论学习等活动，不断增强基层组织的战斗力。反腐倡廉警钟常鸣。始终坚持把纪律摆在前，时时、事事、处处坚持责任导向，通过民主生活会，保持反腐高压态势，营造风清气正的政治生态。</w:t>
      </w:r>
    </w:p>
    <w:p>
      <w:pPr>
        <w:spacing w:line="500" w:lineRule="exact"/>
        <w:ind w:firstLine="560"/>
        <w:rPr>
          <w:rFonts w:ascii="仿宋_GB2312" w:hAnsi="Calibri" w:eastAsia="仿宋_GB2312" w:cs="Times New Roman"/>
          <w:sz w:val="32"/>
          <w:szCs w:val="32"/>
        </w:rPr>
      </w:pPr>
      <w:r>
        <w:rPr>
          <w:rFonts w:hint="eastAsia" w:ascii="仿宋_GB2312" w:hAnsi="Calibri" w:eastAsia="仿宋_GB2312" w:cs="Times New Roman"/>
          <w:sz w:val="32"/>
          <w:szCs w:val="32"/>
        </w:rPr>
        <w:t>2019年我们肩负尖塔新时代高质量发展的历史使命，前程光明，任重道远，我们要以实实在在的成绩，达到既定目的，为全区发展贡献尖塔的一切力量。</w:t>
      </w:r>
    </w:p>
    <w:p>
      <w:pPr>
        <w:jc w:val="left"/>
        <w:rPr>
          <w:rFonts w:ascii="楷体_GB2312" w:hAnsi="Calibri" w:eastAsia="楷体_GB2312" w:cs="Times New Roman"/>
          <w:b/>
          <w:sz w:val="32"/>
          <w:szCs w:val="32"/>
        </w:rPr>
      </w:pPr>
      <w:r>
        <w:rPr>
          <w:rFonts w:hint="eastAsia" w:ascii="仿宋_GB2312" w:hAnsi="Calibri" w:eastAsia="仿宋_GB2312" w:cs="Times New Roman"/>
          <w:b/>
          <w:sz w:val="32"/>
          <w:szCs w:val="32"/>
        </w:rPr>
        <w:t xml:space="preserve">    </w:t>
      </w:r>
      <w:r>
        <w:rPr>
          <w:rFonts w:hint="eastAsia" w:ascii="楷体_GB2312" w:hAnsi="Calibri" w:eastAsia="楷体_GB2312" w:cs="Times New Roman"/>
          <w:b/>
          <w:sz w:val="32"/>
          <w:szCs w:val="32"/>
        </w:rPr>
        <w:t>职责分类绩效目标：</w:t>
      </w:r>
    </w:p>
    <w:p>
      <w:pPr>
        <w:spacing w:line="500" w:lineRule="exact"/>
        <w:ind w:firstLine="560"/>
        <w:rPr>
          <w:rFonts w:ascii="仿宋_GB2312" w:hAnsi="Calibri" w:eastAsia="仿宋_GB2312" w:cs="Times New Roman"/>
          <w:sz w:val="32"/>
          <w:szCs w:val="32"/>
        </w:rPr>
      </w:pPr>
      <w:r>
        <w:rPr>
          <w:rFonts w:hint="eastAsia" w:ascii="仿宋_GB2312" w:hAnsi="Calibri" w:eastAsia="仿宋_GB2312" w:cs="Times New Roman"/>
          <w:sz w:val="32"/>
          <w:szCs w:val="32"/>
        </w:rPr>
        <w:t>政务服务职责：负责政务公开、乡镇会议管理、督察督办、政务联络、乡镇日常工作等。</w:t>
      </w:r>
    </w:p>
    <w:p>
      <w:pPr>
        <w:spacing w:line="500" w:lineRule="exact"/>
        <w:ind w:firstLine="560"/>
        <w:rPr>
          <w:rFonts w:ascii="仿宋_GB2312" w:hAnsi="Calibri" w:eastAsia="仿宋_GB2312" w:cs="Times New Roman"/>
          <w:sz w:val="32"/>
          <w:szCs w:val="32"/>
        </w:rPr>
      </w:pPr>
      <w:r>
        <w:rPr>
          <w:rFonts w:hint="eastAsia" w:ascii="仿宋_GB2312" w:hAnsi="Calibri" w:eastAsia="仿宋_GB2312" w:cs="Times New Roman"/>
          <w:sz w:val="32"/>
          <w:szCs w:val="32"/>
        </w:rPr>
        <w:t>应急管理职责：负责基层政府值班工作，及时报告重要情况，传达和督促落实镇政府领导指示。协助镇政府领导做好需由基层政府组织处理的突发事件应急处置工作。</w:t>
      </w:r>
    </w:p>
    <w:p>
      <w:pPr>
        <w:spacing w:line="500" w:lineRule="exact"/>
        <w:ind w:firstLine="560"/>
        <w:rPr>
          <w:rFonts w:ascii="仿宋_GB2312" w:hAnsi="Calibri" w:eastAsia="仿宋_GB2312" w:cs="Times New Roman"/>
          <w:sz w:val="32"/>
          <w:szCs w:val="32"/>
        </w:rPr>
      </w:pPr>
      <w:r>
        <w:rPr>
          <w:rFonts w:hint="eastAsia" w:ascii="仿宋_GB2312" w:hAnsi="Calibri" w:eastAsia="仿宋_GB2312" w:cs="Times New Roman"/>
          <w:sz w:val="32"/>
          <w:szCs w:val="32"/>
        </w:rPr>
        <w:t>电子政务管理职责：负责政务信息服务工作和政府系统机关电子政务工作，保各类会议顺利进行；保障街道网络系统安全、稳定运行，技术设备安全可用。严格执行会议技术保障服务流程和电视电话会议室管理制度。切实提高技术保障和服务能力，力争领导满意、群众满意、部门满意。</w:t>
      </w:r>
    </w:p>
    <w:p>
      <w:pPr>
        <w:spacing w:line="500" w:lineRule="exact"/>
        <w:ind w:firstLine="560"/>
        <w:rPr>
          <w:rFonts w:ascii="仿宋_GB2312" w:hAnsi="Calibri" w:eastAsia="仿宋_GB2312" w:cs="Times New Roman"/>
          <w:sz w:val="32"/>
          <w:szCs w:val="32"/>
        </w:rPr>
      </w:pPr>
      <w:r>
        <w:rPr>
          <w:rFonts w:hint="eastAsia" w:ascii="仿宋_GB2312" w:hAnsi="Calibri" w:eastAsia="仿宋_GB2312" w:cs="Times New Roman"/>
          <w:sz w:val="32"/>
          <w:szCs w:val="32"/>
        </w:rPr>
        <w:t>地方志事务职责：负责全乡镇地方志事务管理。弘扬和传承优秀文化传统，充分发挥志书“资政、存史、教化”的综合功能，为社会各界方便快捷提供县情，为本县经济社会建设服务，为地方志工作者提供资料和工具。</w:t>
      </w:r>
    </w:p>
    <w:p>
      <w:pPr>
        <w:spacing w:line="500" w:lineRule="exact"/>
        <w:ind w:firstLine="560"/>
        <w:rPr>
          <w:rFonts w:ascii="仿宋_GB2312" w:hAnsi="Calibri" w:eastAsia="仿宋_GB2312" w:cs="Times New Roman"/>
          <w:sz w:val="32"/>
          <w:szCs w:val="32"/>
        </w:rPr>
      </w:pPr>
      <w:r>
        <w:rPr>
          <w:rFonts w:hint="eastAsia" w:ascii="仿宋_GB2312" w:eastAsia="仿宋_GB2312"/>
          <w:sz w:val="32"/>
          <w:szCs w:val="32"/>
        </w:rPr>
        <w:t xml:space="preserve"> </w:t>
      </w:r>
      <w:r>
        <w:rPr>
          <w:rFonts w:hint="eastAsia" w:ascii="仿宋_GB2312" w:hAnsi="Calibri" w:eastAsia="仿宋_GB2312" w:cs="Times New Roman"/>
          <w:sz w:val="32"/>
          <w:szCs w:val="32"/>
        </w:rPr>
        <w:t>残疾人综合职责：对持证残疾人需求情况进行调查，对残疾人状况进行动态监测，加强和规范残疾人基层组织建设，加大残疾人就业保障金的征收力度，加强残疾人工作信息化建设和基础研究。摸清残疾人底数，增强基层服务残疾人的能力，确保残疾人就业保障金的稳定增收；构建残疾人公共服务网络化平台。</w:t>
      </w:r>
    </w:p>
    <w:p>
      <w:pPr>
        <w:spacing w:line="500" w:lineRule="exact"/>
        <w:ind w:firstLine="560"/>
        <w:rPr>
          <w:rFonts w:ascii="仿宋_GB2312" w:hAnsi="Calibri" w:eastAsia="仿宋_GB2312" w:cs="Times New Roman"/>
          <w:sz w:val="32"/>
          <w:szCs w:val="32"/>
        </w:rPr>
      </w:pPr>
      <w:r>
        <w:rPr>
          <w:rFonts w:hint="eastAsia" w:ascii="仿宋_GB2312" w:hAnsi="Calibri" w:eastAsia="仿宋_GB2312" w:cs="Times New Roman"/>
          <w:sz w:val="32"/>
          <w:szCs w:val="32"/>
        </w:rPr>
        <w:t>维护妇女儿童合法权益促进妇女儿童发展职责：关注并加强研究涉及妇女切身利益的热点、难点问题，及时向镇委和镇政府反映社情民意，提出对策建议。妇女综合素质和发展能力有较大提升。妇女儿童合法权益得到有效维护，男女平等基本国策宣传进一步深入人心。</w:t>
      </w:r>
    </w:p>
    <w:p>
      <w:pPr>
        <w:spacing w:line="500" w:lineRule="exact"/>
        <w:ind w:firstLine="560"/>
        <w:rPr>
          <w:rFonts w:ascii="仿宋_GB2312" w:hAnsi="Calibri" w:eastAsia="仿宋_GB2312" w:cs="Times New Roman"/>
          <w:sz w:val="32"/>
          <w:szCs w:val="32"/>
        </w:rPr>
      </w:pPr>
      <w:r>
        <w:rPr>
          <w:rFonts w:hint="eastAsia" w:ascii="仿宋_GB2312" w:hAnsi="Calibri" w:eastAsia="仿宋_GB2312" w:cs="Times New Roman"/>
          <w:sz w:val="32"/>
          <w:szCs w:val="32"/>
        </w:rPr>
        <w:t>工会事务管理职责：研究指导全镇工会自身建设；承担镇委、镇政府及全国总工会交办的其他事项。</w:t>
      </w:r>
    </w:p>
    <w:p>
      <w:pPr>
        <w:spacing w:line="500" w:lineRule="exact"/>
        <w:ind w:firstLine="560"/>
        <w:rPr>
          <w:rFonts w:ascii="仿宋_GB2312" w:hAnsi="Calibri" w:eastAsia="仿宋_GB2312" w:cs="Times New Roman"/>
          <w:sz w:val="32"/>
          <w:szCs w:val="32"/>
        </w:rPr>
      </w:pPr>
      <w:r>
        <w:rPr>
          <w:rFonts w:hint="eastAsia" w:ascii="仿宋_GB2312" w:hAnsi="Calibri" w:eastAsia="仿宋_GB2312" w:cs="Times New Roman"/>
          <w:sz w:val="32"/>
          <w:szCs w:val="32"/>
        </w:rPr>
        <w:t>团委事务管理职责：负责团委综合业务管理。</w:t>
      </w:r>
    </w:p>
    <w:p>
      <w:pPr>
        <w:spacing w:line="500" w:lineRule="exact"/>
        <w:ind w:firstLine="560"/>
        <w:rPr>
          <w:rFonts w:ascii="仿宋_GB2312" w:hAnsi="Calibri" w:eastAsia="仿宋_GB2312" w:cs="Times New Roman"/>
          <w:sz w:val="32"/>
          <w:szCs w:val="32"/>
        </w:rPr>
      </w:pPr>
      <w:r>
        <w:rPr>
          <w:rFonts w:hint="eastAsia" w:ascii="仿宋_GB2312" w:hAnsi="Calibri" w:eastAsia="仿宋_GB2312" w:cs="Times New Roman"/>
          <w:sz w:val="32"/>
          <w:szCs w:val="32"/>
        </w:rPr>
        <w:t>宣传事务管理职责：负责系统综合业务管理和机关综合事务管理。确保各项业务工作谋划到位、顺利开展。保障机关工作正常高效运转。</w:t>
      </w:r>
    </w:p>
    <w:p>
      <w:pPr>
        <w:spacing w:line="500" w:lineRule="exact"/>
        <w:ind w:firstLine="560"/>
        <w:rPr>
          <w:rFonts w:ascii="仿宋_GB2312" w:hAnsi="Calibri" w:eastAsia="仿宋_GB2312" w:cs="Times New Roman"/>
          <w:sz w:val="32"/>
          <w:szCs w:val="32"/>
        </w:rPr>
      </w:pPr>
      <w:r>
        <w:rPr>
          <w:rFonts w:hint="eastAsia" w:ascii="仿宋_GB2312" w:hAnsi="Calibri" w:eastAsia="仿宋_GB2312" w:cs="Times New Roman"/>
          <w:sz w:val="32"/>
          <w:szCs w:val="32"/>
        </w:rPr>
        <w:t>党政综合办公室事务管理职责：按照有关要求，做好机关日常办公所需及办公区房屋与附属设施的维修、维护工作；做好机关办公区绿化、美化工作；做好后勤保障和老干部管理服务工作，保证了食品安全和城市拆迁建设工作顺利开展。综合协调各部门区直各单位、做好上传下达、文印收发、信息反馈、档案管理、机关事务，负责基层组织建设、党员教育管理理、干部考核与目标管理、老干部管理、农村精神文明建设、机构编制管理等工作</w:t>
      </w:r>
    </w:p>
    <w:p>
      <w:pPr>
        <w:spacing w:line="500" w:lineRule="exact"/>
        <w:ind w:firstLine="560"/>
        <w:rPr>
          <w:rFonts w:ascii="仿宋_GB2312" w:hAnsi="Calibri" w:eastAsia="仿宋_GB2312" w:cs="Times New Roman"/>
          <w:sz w:val="32"/>
          <w:szCs w:val="32"/>
        </w:rPr>
      </w:pPr>
      <w:r>
        <w:rPr>
          <w:rFonts w:hint="eastAsia" w:ascii="仿宋_GB2312" w:hAnsi="Calibri" w:eastAsia="仿宋_GB2312" w:cs="Times New Roman"/>
          <w:sz w:val="32"/>
          <w:szCs w:val="32"/>
        </w:rPr>
        <w:t>建设与环保政务管理职责：负责环境保护系统综合业务管理和机关综合事务管理。加强城乡建设与环保保护管理工作。</w:t>
      </w:r>
    </w:p>
    <w:p>
      <w:pPr>
        <w:spacing w:line="500" w:lineRule="exact"/>
        <w:ind w:firstLine="560"/>
        <w:rPr>
          <w:rFonts w:ascii="仿宋_GB2312" w:hAnsi="Calibri" w:eastAsia="仿宋_GB2312" w:cs="Times New Roman"/>
          <w:sz w:val="32"/>
          <w:szCs w:val="32"/>
        </w:rPr>
      </w:pPr>
      <w:r>
        <w:rPr>
          <w:rFonts w:hint="eastAsia" w:ascii="仿宋_GB2312" w:hAnsi="Calibri" w:eastAsia="仿宋_GB2312" w:cs="Times New Roman"/>
          <w:sz w:val="32"/>
          <w:szCs w:val="32"/>
        </w:rPr>
        <w:t>选举和任免管理职责：检查监督代表法、选举法及其实施办法的贯彻实施；承担人大换届选举及人事任免服务工作；负责对镇政府组成人员主要负责人的目标责任书、述职报告的督办工作。根据工作需要和镇委的建议，在充分酝酿和审议的基础上，选举产生一府两院的领导成员，确保选出能力突出、责任心强、有开拓精神的同志担任。为确保有关选举的法律法规符合实际，在充分考察调研的基础上，实施对其进行修改。对镇政府组成人员主要负责人进行目标责任监督，确保依法履行职责，完成目标任务。</w:t>
      </w:r>
    </w:p>
    <w:p>
      <w:pPr>
        <w:spacing w:line="500" w:lineRule="exact"/>
        <w:ind w:firstLine="560"/>
        <w:rPr>
          <w:rFonts w:ascii="仿宋_GB2312" w:hAnsi="Calibri" w:eastAsia="仿宋_GB2312" w:cs="Times New Roman"/>
          <w:sz w:val="32"/>
          <w:szCs w:val="32"/>
        </w:rPr>
      </w:pPr>
      <w:r>
        <w:rPr>
          <w:rFonts w:hint="eastAsia" w:ascii="仿宋_GB2312" w:hAnsi="Calibri" w:eastAsia="仿宋_GB2312" w:cs="Times New Roman"/>
          <w:sz w:val="32"/>
          <w:szCs w:val="32"/>
        </w:rPr>
        <w:t>安全生产管理职责：协助安监局对广阳区域内采油站点、油气管线、铁路线路安全检查。协助广阳区安监局及油田铁路相关部门对我区内各采油站点、油气管线、铁路线路进行安全检查。排查安全隐患，保证我区内正常运行。</w:t>
      </w:r>
    </w:p>
    <w:p>
      <w:pPr>
        <w:spacing w:line="500" w:lineRule="exact"/>
        <w:ind w:firstLine="560"/>
        <w:rPr>
          <w:rFonts w:ascii="仿宋_GB2312" w:eastAsia="仿宋_GB2312"/>
          <w:sz w:val="32"/>
          <w:szCs w:val="32"/>
        </w:rPr>
      </w:pPr>
      <w:r>
        <w:rPr>
          <w:rFonts w:hint="eastAsia" w:ascii="仿宋_GB2312" w:hAnsi="Calibri" w:eastAsia="仿宋_GB2312" w:cs="Times New Roman"/>
          <w:sz w:val="32"/>
          <w:szCs w:val="32"/>
        </w:rPr>
        <w:t>政务管理职责：协助领导组织起草或审核上报区政府以及以政府办公室名义发布的公文；办理镇政府各部门和下级政府报送的文电；对部门间出现的争议问题提出处理意见；组织起草街道领导重要讲话及其他重要文稿；组织专题调研；承办领导交办的其他事项。依法行政，构建人民群众满意、勤政廉洁的政府部门；保障工作正常高效运行，相关工作顺利开展。以农村教育为重点，推进义务教育均衡发展，建立中小学校舍安全保障机制，改善薄弱学校办学条件，提高素质教育水平，开展丰富多彩的教学活动。促进公共教育资源向农村和经济欠发达地区倾斜。贯彻执行国家、省、市和区关于少数民族工作的方针政策及有关法律法规；协调处理涉及民族关系的有关事宜，监督办理少数民族权益保障事宜；帮扶民族地方经济发展；研究解决少数民族文化、教育、体育、科技等方面的特殊困难和问题，开展相关保护开发活动，开展民族团结进步宣传教育活动。实施重大动物疫病的预防控制、预测预警、疫情扑灭，促进养殖业发展，保护人体健康，维护公共卫生安全。农村农业各项补贴审核等工作。</w:t>
      </w:r>
    </w:p>
    <w:p>
      <w:pPr>
        <w:spacing w:line="500" w:lineRule="exact"/>
        <w:ind w:firstLine="560"/>
        <w:rPr>
          <w:rFonts w:ascii="Times New Roman" w:hAnsi="Times New Roman" w:eastAsia="楷体_GB2312" w:cs="Times New Roman"/>
          <w:b/>
          <w:sz w:val="32"/>
          <w:szCs w:val="32"/>
        </w:rPr>
      </w:pPr>
      <w:r>
        <w:rPr>
          <w:rFonts w:ascii="Times New Roman" w:hAnsi="Times New Roman" w:eastAsia="楷体_GB2312" w:cs="Times New Roman"/>
          <w:b/>
          <w:sz w:val="32"/>
          <w:szCs w:val="32"/>
        </w:rPr>
        <w:t>部门职责及工作活动绩效目标指标：</w:t>
      </w:r>
    </w:p>
    <w:p>
      <w:pPr>
        <w:spacing w:line="584" w:lineRule="exact"/>
        <w:jc w:val="center"/>
        <w:outlineLvl w:val="0"/>
        <w:rPr>
          <w:rFonts w:ascii="Times New Roman" w:hAnsi="Times New Roman" w:eastAsia="仿宋_GB2312" w:cs="Times New Roman"/>
          <w:b/>
          <w:sz w:val="32"/>
        </w:rPr>
      </w:pPr>
      <w:bookmarkStart w:id="1" w:name="_Toc504489147"/>
      <w:r>
        <w:rPr>
          <w:rFonts w:ascii="Times New Roman" w:hAnsi="Times New Roman" w:eastAsia="仿宋_GB2312" w:cs="Times New Roman"/>
          <w:b/>
          <w:sz w:val="32"/>
        </w:rPr>
        <w:t>部门职责-工作活动绩效目标</w:t>
      </w:r>
      <w:bookmarkEnd w:id="1"/>
    </w:p>
    <w:tbl>
      <w:tblPr>
        <w:tblStyle w:val="8"/>
        <w:tblW w:w="1393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986" w:type="dxa"/>
            <w:gridSpan w:val="5"/>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仿宋_GB2312" w:hAnsi="Calibri" w:eastAsia="仿宋_GB2312" w:cs="Times New Roman"/>
                <w:sz w:val="24"/>
              </w:rPr>
            </w:pPr>
            <w:r>
              <w:rPr>
                <w:rFonts w:hint="eastAsia" w:ascii="仿宋_GB2312" w:hAnsi="Calibri" w:eastAsia="仿宋_GB2312" w:cs="Times New Roman"/>
                <w:sz w:val="24"/>
              </w:rPr>
              <w:t>914廊坊市广阳区南尖塔镇人民政府</w:t>
            </w:r>
          </w:p>
        </w:tc>
        <w:tc>
          <w:tcPr>
            <w:tcW w:w="2948" w:type="dxa"/>
            <w:gridSpan w:val="4"/>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仿宋_GB2312" w:hAnsi="Calibri" w:eastAsia="仿宋_GB2312" w:cs="Times New Roman"/>
                <w:sz w:val="24"/>
              </w:rPr>
            </w:pPr>
            <w:r>
              <w:rPr>
                <w:rFonts w:hint="eastAsia" w:ascii="仿宋_GB2312" w:hAnsi="Calibri" w:eastAsia="仿宋_GB2312" w:cs="Times New Roman"/>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restart"/>
            <w:shd w:val="clear" w:color="auto" w:fill="auto"/>
            <w:vAlign w:val="center"/>
          </w:tcPr>
          <w:p>
            <w:pPr>
              <w:spacing w:line="300" w:lineRule="exact"/>
              <w:jc w:val="center"/>
              <w:rPr>
                <w:rFonts w:ascii="仿宋_GB2312" w:hAnsi="Calibri" w:eastAsia="仿宋_GB2312" w:cs="Times New Roman"/>
                <w:b/>
              </w:rPr>
            </w:pPr>
            <w:r>
              <w:rPr>
                <w:rFonts w:hint="eastAsia" w:ascii="仿宋_GB2312" w:hAnsi="Calibri" w:eastAsia="仿宋_GB2312" w:cs="Times New Roman"/>
                <w:b/>
              </w:rPr>
              <w:t>职责活动</w:t>
            </w:r>
          </w:p>
        </w:tc>
        <w:tc>
          <w:tcPr>
            <w:tcW w:w="1276" w:type="dxa"/>
            <w:vMerge w:val="restart"/>
            <w:shd w:val="clear" w:color="auto" w:fill="auto"/>
            <w:vAlign w:val="center"/>
          </w:tcPr>
          <w:p>
            <w:pPr>
              <w:spacing w:line="300" w:lineRule="exact"/>
              <w:jc w:val="center"/>
              <w:rPr>
                <w:rFonts w:ascii="仿宋_GB2312" w:hAnsi="Calibri" w:eastAsia="仿宋_GB2312" w:cs="Times New Roman"/>
                <w:b/>
              </w:rPr>
            </w:pPr>
            <w:r>
              <w:rPr>
                <w:rFonts w:hint="eastAsia" w:ascii="仿宋_GB2312" w:hAnsi="Calibri" w:eastAsia="仿宋_GB2312" w:cs="Times New Roman"/>
                <w:b/>
              </w:rPr>
              <w:t>年度预算数</w:t>
            </w:r>
          </w:p>
        </w:tc>
        <w:tc>
          <w:tcPr>
            <w:tcW w:w="2976" w:type="dxa"/>
            <w:vMerge w:val="restart"/>
            <w:shd w:val="clear" w:color="auto" w:fill="auto"/>
            <w:vAlign w:val="center"/>
          </w:tcPr>
          <w:p>
            <w:pPr>
              <w:spacing w:line="300" w:lineRule="exact"/>
              <w:jc w:val="center"/>
              <w:rPr>
                <w:rFonts w:ascii="仿宋_GB2312" w:hAnsi="Calibri" w:eastAsia="仿宋_GB2312" w:cs="Times New Roman"/>
                <w:b/>
              </w:rPr>
            </w:pPr>
            <w:r>
              <w:rPr>
                <w:rFonts w:hint="eastAsia" w:ascii="仿宋_GB2312" w:hAnsi="Calibri" w:eastAsia="仿宋_GB2312" w:cs="Times New Roman"/>
                <w:b/>
              </w:rPr>
              <w:t>内容描述</w:t>
            </w:r>
          </w:p>
        </w:tc>
        <w:tc>
          <w:tcPr>
            <w:tcW w:w="2976" w:type="dxa"/>
            <w:vMerge w:val="restart"/>
            <w:shd w:val="clear" w:color="auto" w:fill="auto"/>
            <w:vAlign w:val="center"/>
          </w:tcPr>
          <w:p>
            <w:pPr>
              <w:spacing w:line="300" w:lineRule="exact"/>
              <w:jc w:val="center"/>
              <w:rPr>
                <w:rFonts w:ascii="仿宋_GB2312" w:hAnsi="Calibri" w:eastAsia="仿宋_GB2312" w:cs="Times New Roman"/>
                <w:b/>
              </w:rPr>
            </w:pPr>
            <w:r>
              <w:rPr>
                <w:rFonts w:hint="eastAsia" w:ascii="仿宋_GB2312" w:hAnsi="Calibri" w:eastAsia="仿宋_GB2312" w:cs="Times New Roman"/>
                <w:b/>
              </w:rPr>
              <w:t>绩效目标</w:t>
            </w:r>
          </w:p>
        </w:tc>
        <w:tc>
          <w:tcPr>
            <w:tcW w:w="1417" w:type="dxa"/>
            <w:vMerge w:val="restart"/>
            <w:shd w:val="clear" w:color="auto" w:fill="auto"/>
            <w:vAlign w:val="center"/>
          </w:tcPr>
          <w:p>
            <w:pPr>
              <w:spacing w:line="300" w:lineRule="exact"/>
              <w:jc w:val="center"/>
              <w:rPr>
                <w:rFonts w:ascii="仿宋_GB2312" w:hAnsi="Calibri" w:eastAsia="仿宋_GB2312" w:cs="Times New Roman"/>
                <w:b/>
              </w:rPr>
            </w:pPr>
            <w:r>
              <w:rPr>
                <w:rFonts w:hint="eastAsia" w:ascii="仿宋_GB2312" w:hAnsi="Calibri" w:eastAsia="仿宋_GB2312" w:cs="Times New Roman"/>
                <w:b/>
              </w:rPr>
              <w:t>绩效指标</w:t>
            </w:r>
          </w:p>
        </w:tc>
        <w:tc>
          <w:tcPr>
            <w:tcW w:w="2948" w:type="dxa"/>
            <w:gridSpan w:val="4"/>
            <w:shd w:val="clear" w:color="auto" w:fill="auto"/>
            <w:vAlign w:val="center"/>
          </w:tcPr>
          <w:p>
            <w:pPr>
              <w:spacing w:line="300" w:lineRule="exact"/>
              <w:jc w:val="center"/>
              <w:rPr>
                <w:rFonts w:ascii="仿宋_GB2312" w:hAnsi="Calibri" w:eastAsia="仿宋_GB2312" w:cs="Times New Roman"/>
                <w:b/>
              </w:rPr>
            </w:pPr>
            <w:r>
              <w:rPr>
                <w:rFonts w:hint="eastAsia" w:ascii="仿宋_GB2312" w:hAnsi="Calibri" w:eastAsia="仿宋_GB2312" w:cs="Times New Roman"/>
                <w:b/>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continue"/>
            <w:shd w:val="clear" w:color="auto" w:fill="auto"/>
            <w:vAlign w:val="center"/>
          </w:tcPr>
          <w:p>
            <w:pPr>
              <w:spacing w:line="300" w:lineRule="exact"/>
              <w:jc w:val="left"/>
              <w:outlineLvl w:val="0"/>
              <w:rPr>
                <w:rFonts w:ascii="仿宋_GB2312" w:hAnsi="Calibri" w:eastAsia="仿宋_GB2312" w:cs="Times New Roman"/>
              </w:rPr>
            </w:pPr>
          </w:p>
        </w:tc>
        <w:tc>
          <w:tcPr>
            <w:tcW w:w="1276" w:type="dxa"/>
            <w:vMerge w:val="continue"/>
            <w:shd w:val="clear" w:color="auto" w:fill="auto"/>
            <w:vAlign w:val="center"/>
          </w:tcPr>
          <w:p>
            <w:pPr>
              <w:spacing w:line="300" w:lineRule="exact"/>
              <w:jc w:val="left"/>
              <w:outlineLvl w:val="0"/>
              <w:rPr>
                <w:rFonts w:ascii="仿宋_GB2312" w:hAnsi="Calibri" w:eastAsia="仿宋_GB2312" w:cs="Times New Roman"/>
              </w:rPr>
            </w:pPr>
          </w:p>
        </w:tc>
        <w:tc>
          <w:tcPr>
            <w:tcW w:w="2976" w:type="dxa"/>
            <w:vMerge w:val="continue"/>
            <w:shd w:val="clear" w:color="auto" w:fill="auto"/>
            <w:vAlign w:val="center"/>
          </w:tcPr>
          <w:p>
            <w:pPr>
              <w:spacing w:line="300" w:lineRule="exact"/>
              <w:jc w:val="left"/>
              <w:outlineLvl w:val="0"/>
              <w:rPr>
                <w:rFonts w:ascii="仿宋_GB2312" w:hAnsi="Calibri" w:eastAsia="仿宋_GB2312" w:cs="Times New Roman"/>
              </w:rPr>
            </w:pPr>
          </w:p>
        </w:tc>
        <w:tc>
          <w:tcPr>
            <w:tcW w:w="2976" w:type="dxa"/>
            <w:vMerge w:val="continue"/>
            <w:shd w:val="clear" w:color="auto" w:fill="auto"/>
            <w:vAlign w:val="center"/>
          </w:tcPr>
          <w:p>
            <w:pPr>
              <w:spacing w:line="300" w:lineRule="exact"/>
              <w:jc w:val="left"/>
              <w:outlineLvl w:val="0"/>
              <w:rPr>
                <w:rFonts w:ascii="仿宋_GB2312" w:hAnsi="Calibri" w:eastAsia="仿宋_GB2312" w:cs="Times New Roman"/>
              </w:rPr>
            </w:pPr>
          </w:p>
        </w:tc>
        <w:tc>
          <w:tcPr>
            <w:tcW w:w="1417" w:type="dxa"/>
            <w:vMerge w:val="continue"/>
            <w:shd w:val="clear" w:color="auto" w:fill="auto"/>
            <w:vAlign w:val="center"/>
          </w:tcPr>
          <w:p>
            <w:pPr>
              <w:spacing w:line="300" w:lineRule="exact"/>
              <w:jc w:val="left"/>
              <w:outlineLvl w:val="0"/>
              <w:rPr>
                <w:rFonts w:ascii="仿宋_GB2312" w:hAnsi="Calibri" w:eastAsia="仿宋_GB2312" w:cs="Times New Roman"/>
              </w:rPr>
            </w:pPr>
          </w:p>
        </w:tc>
        <w:tc>
          <w:tcPr>
            <w:tcW w:w="737" w:type="dxa"/>
            <w:shd w:val="clear" w:color="auto" w:fill="auto"/>
            <w:vAlign w:val="center"/>
          </w:tcPr>
          <w:p>
            <w:pPr>
              <w:spacing w:line="300" w:lineRule="exact"/>
              <w:jc w:val="center"/>
              <w:rPr>
                <w:rFonts w:ascii="仿宋_GB2312" w:hAnsi="Calibri" w:eastAsia="仿宋_GB2312" w:cs="Times New Roman"/>
                <w:b/>
              </w:rPr>
            </w:pPr>
            <w:r>
              <w:rPr>
                <w:rFonts w:hint="eastAsia" w:ascii="仿宋_GB2312" w:hAnsi="Calibri" w:eastAsia="仿宋_GB2312" w:cs="Times New Roman"/>
                <w:b/>
              </w:rPr>
              <w:t>优</w:t>
            </w:r>
          </w:p>
        </w:tc>
        <w:tc>
          <w:tcPr>
            <w:tcW w:w="737" w:type="dxa"/>
            <w:shd w:val="clear" w:color="auto" w:fill="auto"/>
            <w:vAlign w:val="center"/>
          </w:tcPr>
          <w:p>
            <w:pPr>
              <w:spacing w:line="300" w:lineRule="exact"/>
              <w:jc w:val="center"/>
              <w:rPr>
                <w:rFonts w:ascii="仿宋_GB2312" w:hAnsi="Calibri" w:eastAsia="仿宋_GB2312" w:cs="Times New Roman"/>
                <w:b/>
              </w:rPr>
            </w:pPr>
            <w:r>
              <w:rPr>
                <w:rFonts w:hint="eastAsia" w:ascii="仿宋_GB2312" w:hAnsi="Calibri" w:eastAsia="仿宋_GB2312" w:cs="Times New Roman"/>
                <w:b/>
              </w:rPr>
              <w:t>良</w:t>
            </w:r>
          </w:p>
        </w:tc>
        <w:tc>
          <w:tcPr>
            <w:tcW w:w="737" w:type="dxa"/>
            <w:shd w:val="clear" w:color="auto" w:fill="auto"/>
            <w:vAlign w:val="center"/>
          </w:tcPr>
          <w:p>
            <w:pPr>
              <w:spacing w:line="300" w:lineRule="exact"/>
              <w:jc w:val="center"/>
              <w:rPr>
                <w:rFonts w:ascii="仿宋_GB2312" w:hAnsi="Calibri" w:eastAsia="仿宋_GB2312" w:cs="Times New Roman"/>
                <w:b/>
              </w:rPr>
            </w:pPr>
            <w:r>
              <w:rPr>
                <w:rFonts w:hint="eastAsia" w:ascii="仿宋_GB2312" w:hAnsi="Calibri" w:eastAsia="仿宋_GB2312" w:cs="Times New Roman"/>
                <w:b/>
              </w:rPr>
              <w:t>中</w:t>
            </w:r>
          </w:p>
        </w:tc>
        <w:tc>
          <w:tcPr>
            <w:tcW w:w="737" w:type="dxa"/>
            <w:shd w:val="clear" w:color="auto" w:fill="auto"/>
            <w:vAlign w:val="center"/>
          </w:tcPr>
          <w:p>
            <w:pPr>
              <w:spacing w:line="300" w:lineRule="exact"/>
              <w:jc w:val="center"/>
              <w:rPr>
                <w:rFonts w:ascii="仿宋_GB2312" w:hAnsi="Calibri" w:eastAsia="仿宋_GB2312" w:cs="Times New Roman"/>
                <w:b/>
              </w:rPr>
            </w:pPr>
            <w:r>
              <w:rPr>
                <w:rFonts w:hint="eastAsia" w:ascii="仿宋_GB2312" w:hAnsi="Calibri" w:eastAsia="仿宋_GB2312" w:cs="Times New Roman"/>
                <w:b/>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hAnsi="Calibri" w:eastAsia="仿宋_GB2312" w:cs="Times New Roman"/>
                <w:b/>
                <w:szCs w:val="21"/>
              </w:rPr>
            </w:pPr>
            <w:r>
              <w:rPr>
                <w:rFonts w:hint="eastAsia" w:ascii="仿宋_GB2312" w:hAnsi="Calibri" w:eastAsia="仿宋_GB2312" w:cs="Times New Roman"/>
                <w:b/>
                <w:szCs w:val="21"/>
              </w:rPr>
              <w:t>一、政务服务</w:t>
            </w:r>
          </w:p>
        </w:tc>
        <w:tc>
          <w:tcPr>
            <w:tcW w:w="1276" w:type="dxa"/>
            <w:shd w:val="clear" w:color="auto" w:fill="auto"/>
            <w:vAlign w:val="center"/>
          </w:tcPr>
          <w:p>
            <w:pPr>
              <w:spacing w:line="300" w:lineRule="exact"/>
              <w:jc w:val="left"/>
              <w:rPr>
                <w:rFonts w:ascii="仿宋_GB2312" w:hAnsi="Calibri" w:eastAsia="仿宋_GB2312" w:cs="Times New Roman"/>
                <w:szCs w:val="21"/>
              </w:rPr>
            </w:pPr>
          </w:p>
        </w:tc>
        <w:tc>
          <w:tcPr>
            <w:tcW w:w="2976"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政务公开、镇政府、街办处会议管理、督察督办、政务联络等工作。</w:t>
            </w:r>
          </w:p>
        </w:tc>
        <w:tc>
          <w:tcPr>
            <w:tcW w:w="2976"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突出政务、加强事务、提升服务，力求重点工作出精品，难点工作求突破、基础工作有创新、常规工作见特色。以机关干部作风量化指标为依据，增强了工作综合服务实力。</w:t>
            </w:r>
          </w:p>
        </w:tc>
        <w:tc>
          <w:tcPr>
            <w:tcW w:w="1417" w:type="dxa"/>
            <w:shd w:val="clear" w:color="auto" w:fill="auto"/>
            <w:vAlign w:val="center"/>
          </w:tcPr>
          <w:p>
            <w:pPr>
              <w:spacing w:line="300" w:lineRule="exact"/>
              <w:jc w:val="left"/>
              <w:rPr>
                <w:rFonts w:ascii="仿宋_GB2312" w:hAnsi="Calibri" w:eastAsia="仿宋_GB2312" w:cs="Times New Roman"/>
                <w:szCs w:val="21"/>
              </w:rPr>
            </w:pPr>
          </w:p>
        </w:tc>
        <w:tc>
          <w:tcPr>
            <w:tcW w:w="737" w:type="dxa"/>
            <w:shd w:val="clear" w:color="auto" w:fill="auto"/>
            <w:vAlign w:val="center"/>
          </w:tcPr>
          <w:p>
            <w:pPr>
              <w:spacing w:line="300" w:lineRule="exact"/>
              <w:jc w:val="center"/>
              <w:rPr>
                <w:rFonts w:ascii="仿宋_GB2312" w:hAnsi="Calibri" w:eastAsia="仿宋_GB2312" w:cs="Times New Roman"/>
                <w:szCs w:val="21"/>
              </w:rPr>
            </w:pPr>
          </w:p>
        </w:tc>
        <w:tc>
          <w:tcPr>
            <w:tcW w:w="737" w:type="dxa"/>
            <w:shd w:val="clear" w:color="auto" w:fill="auto"/>
            <w:vAlign w:val="center"/>
          </w:tcPr>
          <w:p>
            <w:pPr>
              <w:spacing w:line="300" w:lineRule="exact"/>
              <w:jc w:val="center"/>
              <w:rPr>
                <w:rFonts w:ascii="仿宋_GB2312" w:hAnsi="Calibri" w:eastAsia="仿宋_GB2312" w:cs="Times New Roman"/>
                <w:szCs w:val="21"/>
              </w:rPr>
            </w:pPr>
          </w:p>
        </w:tc>
        <w:tc>
          <w:tcPr>
            <w:tcW w:w="737" w:type="dxa"/>
            <w:shd w:val="clear" w:color="auto" w:fill="auto"/>
            <w:vAlign w:val="center"/>
          </w:tcPr>
          <w:p>
            <w:pPr>
              <w:spacing w:line="300" w:lineRule="exact"/>
              <w:jc w:val="center"/>
              <w:rPr>
                <w:rFonts w:ascii="仿宋_GB2312" w:hAnsi="Calibri" w:eastAsia="仿宋_GB2312" w:cs="Times New Roman"/>
                <w:szCs w:val="21"/>
              </w:rPr>
            </w:pPr>
          </w:p>
        </w:tc>
        <w:tc>
          <w:tcPr>
            <w:tcW w:w="737" w:type="dxa"/>
            <w:shd w:val="clear" w:color="auto" w:fill="auto"/>
            <w:vAlign w:val="center"/>
          </w:tcPr>
          <w:p>
            <w:pPr>
              <w:spacing w:line="300" w:lineRule="exact"/>
              <w:jc w:val="center"/>
              <w:rPr>
                <w:rFonts w:ascii="仿宋_GB2312" w:hAnsi="Calibri" w:eastAsia="仿宋_GB2312" w:cs="Times New Roman"/>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hAnsi="Calibri" w:eastAsia="仿宋_GB2312" w:cs="Times New Roman"/>
                <w:b/>
                <w:szCs w:val="21"/>
              </w:rPr>
            </w:pPr>
            <w:r>
              <w:rPr>
                <w:rFonts w:hint="eastAsia" w:ascii="仿宋_GB2312" w:hAnsi="Calibri" w:eastAsia="仿宋_GB2312" w:cs="Times New Roman"/>
                <w:b/>
                <w:szCs w:val="21"/>
              </w:rPr>
              <w:t>　　1、政务公开</w:t>
            </w:r>
          </w:p>
        </w:tc>
        <w:tc>
          <w:tcPr>
            <w:tcW w:w="1276" w:type="dxa"/>
            <w:vMerge w:val="restart"/>
            <w:shd w:val="clear" w:color="auto" w:fill="auto"/>
            <w:vAlign w:val="center"/>
          </w:tcPr>
          <w:p>
            <w:pPr>
              <w:spacing w:line="300" w:lineRule="exact"/>
              <w:jc w:val="left"/>
              <w:rPr>
                <w:rFonts w:ascii="仿宋_GB2312" w:hAnsi="Calibri" w:eastAsia="仿宋_GB2312" w:cs="Times New Roman"/>
                <w:szCs w:val="21"/>
              </w:rPr>
            </w:pPr>
          </w:p>
        </w:tc>
        <w:tc>
          <w:tcPr>
            <w:tcW w:w="2976" w:type="dxa"/>
            <w:vMerge w:val="restart"/>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承担镇、街办处政务公开暨行政权力公开透明运行工作领导小组的日常工作，指导和协调全镇政务公开及政务服务中心建设、推进行政服务体系标准化建设工作。</w:t>
            </w:r>
          </w:p>
        </w:tc>
        <w:tc>
          <w:tcPr>
            <w:tcW w:w="2976" w:type="dxa"/>
            <w:vMerge w:val="restart"/>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通过完成乡镇政务信息公开工作的指导监督工作，使全乡镇信息公开业务队伍素质不断提高，业务水平进一步提升；政府政务信息公开范围不断扩大，公开内容得到进一步细化。</w:t>
            </w: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政务公开次数</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≥90%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≥80%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≥70%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hAnsi="Calibri" w:eastAsia="仿宋_GB2312" w:cs="Times New Roman"/>
                <w:b/>
                <w:szCs w:val="21"/>
              </w:rPr>
            </w:pPr>
          </w:p>
        </w:tc>
        <w:tc>
          <w:tcPr>
            <w:tcW w:w="12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政务公开率</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≥90%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≥80%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≥70%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hAnsi="Calibri" w:eastAsia="仿宋_GB2312" w:cs="Times New Roman"/>
                <w:b/>
                <w:szCs w:val="21"/>
              </w:rPr>
            </w:pPr>
          </w:p>
        </w:tc>
        <w:tc>
          <w:tcPr>
            <w:tcW w:w="12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政务公开内容</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≥90%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≥80%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≥70%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hAnsi="Calibri" w:eastAsia="仿宋_GB2312" w:cs="Times New Roman"/>
                <w:b/>
                <w:szCs w:val="21"/>
              </w:rPr>
            </w:pPr>
            <w:r>
              <w:rPr>
                <w:rFonts w:hint="eastAsia" w:ascii="仿宋_GB2312" w:hAnsi="Calibri" w:eastAsia="仿宋_GB2312" w:cs="Times New Roman"/>
                <w:b/>
                <w:szCs w:val="21"/>
              </w:rPr>
              <w:t>　　2、政务联络</w:t>
            </w:r>
          </w:p>
        </w:tc>
        <w:tc>
          <w:tcPr>
            <w:tcW w:w="1276" w:type="dxa"/>
            <w:vMerge w:val="restart"/>
            <w:shd w:val="clear" w:color="auto" w:fill="auto"/>
            <w:vAlign w:val="center"/>
          </w:tcPr>
          <w:p>
            <w:pPr>
              <w:spacing w:line="300" w:lineRule="exact"/>
              <w:jc w:val="left"/>
              <w:rPr>
                <w:rFonts w:ascii="仿宋_GB2312" w:hAnsi="Calibri" w:eastAsia="仿宋_GB2312" w:cs="Times New Roman"/>
                <w:szCs w:val="21"/>
              </w:rPr>
            </w:pPr>
          </w:p>
        </w:tc>
        <w:tc>
          <w:tcPr>
            <w:tcW w:w="2976" w:type="dxa"/>
            <w:vMerge w:val="restart"/>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负责管理县政府驻外办事处工作。负责县领导、县有关部门公务活动的接待安排；</w:t>
            </w:r>
          </w:p>
        </w:tc>
        <w:tc>
          <w:tcPr>
            <w:tcW w:w="2976" w:type="dxa"/>
            <w:vMerge w:val="restart"/>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做好县际间与我区政务往来服务保障工作</w:t>
            </w: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重大活动联络服务工作完成率</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≥90%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≥80%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≥70%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hAnsi="Calibri" w:eastAsia="仿宋_GB2312" w:cs="Times New Roman"/>
                <w:b/>
                <w:szCs w:val="21"/>
              </w:rPr>
            </w:pPr>
          </w:p>
        </w:tc>
        <w:tc>
          <w:tcPr>
            <w:tcW w:w="12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对外联络任务完成次数</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≥90%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≥80%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≥70%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hAnsi="Calibri" w:eastAsia="仿宋_GB2312" w:cs="Times New Roman"/>
                <w:b/>
                <w:szCs w:val="21"/>
              </w:rPr>
            </w:pPr>
          </w:p>
        </w:tc>
        <w:tc>
          <w:tcPr>
            <w:tcW w:w="12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对外联络任务效果</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≥90%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≥80%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≥70%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hAnsi="Calibri" w:eastAsia="仿宋_GB2312" w:cs="Times New Roman"/>
                <w:b/>
                <w:szCs w:val="21"/>
              </w:rPr>
            </w:pPr>
          </w:p>
        </w:tc>
        <w:tc>
          <w:tcPr>
            <w:tcW w:w="12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对外联络任务完成程度</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≥90%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≥80%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≥70%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hAnsi="Calibri" w:eastAsia="仿宋_GB2312" w:cs="Times New Roman"/>
                <w:b/>
                <w:szCs w:val="21"/>
              </w:rPr>
            </w:pPr>
          </w:p>
        </w:tc>
        <w:tc>
          <w:tcPr>
            <w:tcW w:w="12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重大会议的协调安保工作完成率</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≥90%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≥80%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≥70%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hAnsi="Calibri" w:eastAsia="仿宋_GB2312" w:cs="Times New Roman"/>
                <w:b/>
                <w:szCs w:val="21"/>
              </w:rPr>
            </w:pPr>
          </w:p>
        </w:tc>
        <w:tc>
          <w:tcPr>
            <w:tcW w:w="12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重大会议的内容完成情况</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≥90%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≥80%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≥70%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hAnsi="Calibri" w:eastAsia="仿宋_GB2312" w:cs="Times New Roman"/>
                <w:b/>
                <w:szCs w:val="21"/>
              </w:rPr>
            </w:pPr>
            <w:r>
              <w:rPr>
                <w:rFonts w:hint="eastAsia" w:ascii="仿宋_GB2312" w:hAnsi="Calibri" w:eastAsia="仿宋_GB2312" w:cs="Times New Roman"/>
                <w:b/>
                <w:szCs w:val="21"/>
              </w:rPr>
              <w:t>　　3、会议管理</w:t>
            </w:r>
          </w:p>
        </w:tc>
        <w:tc>
          <w:tcPr>
            <w:tcW w:w="1276" w:type="dxa"/>
            <w:vMerge w:val="restart"/>
            <w:shd w:val="clear" w:color="auto" w:fill="auto"/>
            <w:vAlign w:val="center"/>
          </w:tcPr>
          <w:p>
            <w:pPr>
              <w:spacing w:line="300" w:lineRule="exact"/>
              <w:jc w:val="left"/>
              <w:rPr>
                <w:rFonts w:ascii="仿宋_GB2312" w:hAnsi="Calibri" w:eastAsia="仿宋_GB2312" w:cs="Times New Roman"/>
                <w:szCs w:val="21"/>
              </w:rPr>
            </w:pPr>
          </w:p>
        </w:tc>
        <w:tc>
          <w:tcPr>
            <w:tcW w:w="2976" w:type="dxa"/>
            <w:vMerge w:val="restart"/>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政府会议的准备和服务工作，协助政府领导组织会议决定事项的落实。</w:t>
            </w:r>
          </w:p>
        </w:tc>
        <w:tc>
          <w:tcPr>
            <w:tcW w:w="2976" w:type="dxa"/>
            <w:vMerge w:val="restart"/>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做好村街会议保障；严格召开的会议审批，控制会议费开支规模。</w:t>
            </w: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大型会议执行度</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≥90%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≥80%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≥70%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hAnsi="Calibri" w:eastAsia="仿宋_GB2312" w:cs="Times New Roman"/>
                <w:b/>
                <w:szCs w:val="21"/>
              </w:rPr>
            </w:pPr>
          </w:p>
        </w:tc>
        <w:tc>
          <w:tcPr>
            <w:tcW w:w="12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大型会议控制率</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≥90%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≥80%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≥70%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hAnsi="Calibri" w:eastAsia="仿宋_GB2312" w:cs="Times New Roman"/>
                <w:b/>
                <w:szCs w:val="21"/>
              </w:rPr>
            </w:pPr>
          </w:p>
        </w:tc>
        <w:tc>
          <w:tcPr>
            <w:tcW w:w="12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重大会议的协调安保工作完成率</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≥90%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≥80%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≥70%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hAnsi="Calibri" w:eastAsia="仿宋_GB2312" w:cs="Times New Roman"/>
                <w:b/>
                <w:szCs w:val="21"/>
              </w:rPr>
            </w:pPr>
            <w:r>
              <w:rPr>
                <w:rFonts w:hint="eastAsia" w:ascii="仿宋_GB2312" w:hAnsi="Calibri" w:eastAsia="仿宋_GB2312" w:cs="Times New Roman"/>
                <w:b/>
                <w:szCs w:val="21"/>
              </w:rPr>
              <w:t>二、应急管理</w:t>
            </w:r>
          </w:p>
        </w:tc>
        <w:tc>
          <w:tcPr>
            <w:tcW w:w="1276" w:type="dxa"/>
            <w:shd w:val="clear" w:color="auto" w:fill="auto"/>
            <w:vAlign w:val="center"/>
          </w:tcPr>
          <w:p>
            <w:pPr>
              <w:spacing w:line="300" w:lineRule="exact"/>
              <w:jc w:val="left"/>
              <w:rPr>
                <w:rFonts w:ascii="仿宋_GB2312" w:hAnsi="Calibri" w:eastAsia="仿宋_GB2312" w:cs="Times New Roman"/>
                <w:szCs w:val="21"/>
              </w:rPr>
            </w:pPr>
          </w:p>
        </w:tc>
        <w:tc>
          <w:tcPr>
            <w:tcW w:w="2976"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基层政府值班工作，及时报告重要情况，传达和督促落实镇政府领导指示。协助镇政府领导做好需由基层政府组织处理的突发事件应急处置工作。</w:t>
            </w:r>
          </w:p>
        </w:tc>
        <w:tc>
          <w:tcPr>
            <w:tcW w:w="2976"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建设运行维护好镇政府应急平台，实现各种实用功能，有效保证镇政府日常应急值守和突发事件应对处置工作；进一步加强应急宣传培训工作，拓宽宣教渠道、扩大受众面、增强工作实效；进一步完善应急预案体系建设，认真编制、严格审核应急预案，确保预案内容科学合理，有效组织实施；进一步加强应急演练工作，提升演练效果，确保遇突发事件能够有效应对；充分发挥专家组的决策咨询和技术指导作用，为突发事件应对处置工作提供更大帮助；做好指导、协调各镇镇、各部门应急工作，确保信息报送及时畅通，不出差错和问题。</w:t>
            </w:r>
          </w:p>
        </w:tc>
        <w:tc>
          <w:tcPr>
            <w:tcW w:w="1417" w:type="dxa"/>
            <w:shd w:val="clear" w:color="auto" w:fill="auto"/>
            <w:vAlign w:val="center"/>
          </w:tcPr>
          <w:p>
            <w:pPr>
              <w:spacing w:line="300" w:lineRule="exact"/>
              <w:jc w:val="left"/>
              <w:rPr>
                <w:rFonts w:ascii="仿宋_GB2312" w:hAnsi="Calibri" w:eastAsia="仿宋_GB2312" w:cs="Times New Roman"/>
                <w:szCs w:val="21"/>
              </w:rPr>
            </w:pPr>
          </w:p>
        </w:tc>
        <w:tc>
          <w:tcPr>
            <w:tcW w:w="737" w:type="dxa"/>
            <w:shd w:val="clear" w:color="auto" w:fill="auto"/>
            <w:vAlign w:val="center"/>
          </w:tcPr>
          <w:p>
            <w:pPr>
              <w:spacing w:line="300" w:lineRule="exact"/>
              <w:jc w:val="center"/>
              <w:rPr>
                <w:rFonts w:ascii="仿宋_GB2312" w:hAnsi="Calibri" w:eastAsia="仿宋_GB2312" w:cs="Times New Roman"/>
                <w:szCs w:val="21"/>
              </w:rPr>
            </w:pPr>
          </w:p>
        </w:tc>
        <w:tc>
          <w:tcPr>
            <w:tcW w:w="737" w:type="dxa"/>
            <w:shd w:val="clear" w:color="auto" w:fill="auto"/>
            <w:vAlign w:val="center"/>
          </w:tcPr>
          <w:p>
            <w:pPr>
              <w:spacing w:line="300" w:lineRule="exact"/>
              <w:jc w:val="center"/>
              <w:rPr>
                <w:rFonts w:ascii="仿宋_GB2312" w:hAnsi="Calibri" w:eastAsia="仿宋_GB2312" w:cs="Times New Roman"/>
                <w:szCs w:val="21"/>
              </w:rPr>
            </w:pPr>
          </w:p>
        </w:tc>
        <w:tc>
          <w:tcPr>
            <w:tcW w:w="737" w:type="dxa"/>
            <w:shd w:val="clear" w:color="auto" w:fill="auto"/>
            <w:vAlign w:val="center"/>
          </w:tcPr>
          <w:p>
            <w:pPr>
              <w:spacing w:line="300" w:lineRule="exact"/>
              <w:jc w:val="center"/>
              <w:rPr>
                <w:rFonts w:ascii="仿宋_GB2312" w:hAnsi="Calibri" w:eastAsia="仿宋_GB2312" w:cs="Times New Roman"/>
                <w:szCs w:val="21"/>
              </w:rPr>
            </w:pPr>
          </w:p>
        </w:tc>
        <w:tc>
          <w:tcPr>
            <w:tcW w:w="737" w:type="dxa"/>
            <w:shd w:val="clear" w:color="auto" w:fill="auto"/>
            <w:vAlign w:val="center"/>
          </w:tcPr>
          <w:p>
            <w:pPr>
              <w:spacing w:line="300" w:lineRule="exact"/>
              <w:jc w:val="center"/>
              <w:rPr>
                <w:rFonts w:ascii="仿宋_GB2312" w:hAnsi="Calibri" w:eastAsia="仿宋_GB2312" w:cs="Times New Roman"/>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hAnsi="Calibri" w:eastAsia="仿宋_GB2312" w:cs="Times New Roman"/>
                <w:b/>
                <w:szCs w:val="21"/>
              </w:rPr>
            </w:pPr>
            <w:r>
              <w:rPr>
                <w:rFonts w:hint="eastAsia" w:ascii="仿宋_GB2312" w:hAnsi="Calibri" w:eastAsia="仿宋_GB2312" w:cs="Times New Roman"/>
                <w:b/>
                <w:szCs w:val="21"/>
              </w:rPr>
              <w:t>　　1、应急管理</w:t>
            </w:r>
          </w:p>
        </w:tc>
        <w:tc>
          <w:tcPr>
            <w:tcW w:w="1276" w:type="dxa"/>
            <w:vMerge w:val="restart"/>
            <w:shd w:val="clear" w:color="auto" w:fill="auto"/>
            <w:vAlign w:val="center"/>
          </w:tcPr>
          <w:p>
            <w:pPr>
              <w:spacing w:line="300" w:lineRule="exact"/>
              <w:jc w:val="left"/>
              <w:rPr>
                <w:rFonts w:ascii="仿宋_GB2312" w:hAnsi="Calibri" w:eastAsia="仿宋_GB2312" w:cs="Times New Roman"/>
                <w:szCs w:val="21"/>
              </w:rPr>
            </w:pPr>
          </w:p>
        </w:tc>
        <w:tc>
          <w:tcPr>
            <w:tcW w:w="2976" w:type="dxa"/>
            <w:vMerge w:val="restart"/>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政府值班工作，及时报告重要情况，传达和督促落实镇政府领导指示。协助镇政府领导做好需由镇政府组织处理的突发事件应急处置工作。</w:t>
            </w:r>
          </w:p>
        </w:tc>
        <w:tc>
          <w:tcPr>
            <w:tcW w:w="2976" w:type="dxa"/>
            <w:vMerge w:val="restart"/>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维护好本地政府应急平台，确保乡镇应急工作顺利完成；各类突发事件得到及时妥善处置</w:t>
            </w: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突发事件处理程度</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≥90%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≥80%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≥70%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hAnsi="Calibri" w:eastAsia="仿宋_GB2312" w:cs="Times New Roman"/>
                <w:b/>
                <w:szCs w:val="21"/>
              </w:rPr>
            </w:pPr>
          </w:p>
        </w:tc>
        <w:tc>
          <w:tcPr>
            <w:tcW w:w="12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突发事件处理效果</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≥90%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≥80%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≥70%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hAnsi="Calibri" w:eastAsia="仿宋_GB2312" w:cs="Times New Roman"/>
                <w:b/>
                <w:szCs w:val="21"/>
              </w:rPr>
            </w:pPr>
          </w:p>
        </w:tc>
        <w:tc>
          <w:tcPr>
            <w:tcW w:w="12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突发事件处理率</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≥90%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≥80%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≥70%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hAnsi="Calibri" w:eastAsia="仿宋_GB2312" w:cs="Times New Roman"/>
                <w:b/>
                <w:szCs w:val="21"/>
              </w:rPr>
            </w:pPr>
            <w:r>
              <w:rPr>
                <w:rFonts w:hint="eastAsia" w:ascii="仿宋_GB2312" w:hAnsi="Calibri" w:eastAsia="仿宋_GB2312" w:cs="Times New Roman"/>
                <w:b/>
                <w:szCs w:val="21"/>
              </w:rPr>
              <w:t>三、残疾人综合业务管理</w:t>
            </w:r>
          </w:p>
        </w:tc>
        <w:tc>
          <w:tcPr>
            <w:tcW w:w="1276" w:type="dxa"/>
            <w:shd w:val="clear" w:color="auto" w:fill="auto"/>
            <w:vAlign w:val="center"/>
          </w:tcPr>
          <w:p>
            <w:pPr>
              <w:spacing w:line="300" w:lineRule="exact"/>
              <w:jc w:val="left"/>
              <w:rPr>
                <w:rFonts w:ascii="仿宋_GB2312" w:hAnsi="Calibri" w:eastAsia="仿宋_GB2312" w:cs="Times New Roman"/>
                <w:szCs w:val="21"/>
              </w:rPr>
            </w:pPr>
          </w:p>
        </w:tc>
        <w:tc>
          <w:tcPr>
            <w:tcW w:w="2976"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对持证残疾人需求情况进行调查，对残疾人状况进行动态监测，加强和规范残疾人基层组织建设，加大残疾人就业保障金的征收力度，加强残疾人工作信息化建设和基础研究</w:t>
            </w:r>
          </w:p>
        </w:tc>
        <w:tc>
          <w:tcPr>
            <w:tcW w:w="2976"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摸清残疾人底数，增强基层服务残疾人的能力，确保残疾人就业保障金的稳定增收；构建残疾人公共服务网络化平台。</w:t>
            </w:r>
          </w:p>
        </w:tc>
        <w:tc>
          <w:tcPr>
            <w:tcW w:w="1417" w:type="dxa"/>
            <w:shd w:val="clear" w:color="auto" w:fill="auto"/>
            <w:vAlign w:val="center"/>
          </w:tcPr>
          <w:p>
            <w:pPr>
              <w:spacing w:line="300" w:lineRule="exact"/>
              <w:jc w:val="left"/>
              <w:rPr>
                <w:rFonts w:ascii="仿宋_GB2312" w:hAnsi="Calibri" w:eastAsia="仿宋_GB2312" w:cs="Times New Roman"/>
                <w:szCs w:val="21"/>
              </w:rPr>
            </w:pPr>
          </w:p>
        </w:tc>
        <w:tc>
          <w:tcPr>
            <w:tcW w:w="737" w:type="dxa"/>
            <w:shd w:val="clear" w:color="auto" w:fill="auto"/>
            <w:vAlign w:val="center"/>
          </w:tcPr>
          <w:p>
            <w:pPr>
              <w:spacing w:line="300" w:lineRule="exact"/>
              <w:jc w:val="center"/>
              <w:rPr>
                <w:rFonts w:ascii="仿宋_GB2312" w:hAnsi="Calibri" w:eastAsia="仿宋_GB2312" w:cs="Times New Roman"/>
                <w:szCs w:val="21"/>
              </w:rPr>
            </w:pPr>
          </w:p>
        </w:tc>
        <w:tc>
          <w:tcPr>
            <w:tcW w:w="737" w:type="dxa"/>
            <w:shd w:val="clear" w:color="auto" w:fill="auto"/>
            <w:vAlign w:val="center"/>
          </w:tcPr>
          <w:p>
            <w:pPr>
              <w:spacing w:line="300" w:lineRule="exact"/>
              <w:jc w:val="center"/>
              <w:rPr>
                <w:rFonts w:ascii="仿宋_GB2312" w:hAnsi="Calibri" w:eastAsia="仿宋_GB2312" w:cs="Times New Roman"/>
                <w:szCs w:val="21"/>
              </w:rPr>
            </w:pPr>
          </w:p>
        </w:tc>
        <w:tc>
          <w:tcPr>
            <w:tcW w:w="737" w:type="dxa"/>
            <w:shd w:val="clear" w:color="auto" w:fill="auto"/>
            <w:vAlign w:val="center"/>
          </w:tcPr>
          <w:p>
            <w:pPr>
              <w:spacing w:line="300" w:lineRule="exact"/>
              <w:jc w:val="center"/>
              <w:rPr>
                <w:rFonts w:ascii="仿宋_GB2312" w:hAnsi="Calibri" w:eastAsia="仿宋_GB2312" w:cs="Times New Roman"/>
                <w:szCs w:val="21"/>
              </w:rPr>
            </w:pPr>
          </w:p>
        </w:tc>
        <w:tc>
          <w:tcPr>
            <w:tcW w:w="737" w:type="dxa"/>
            <w:shd w:val="clear" w:color="auto" w:fill="auto"/>
            <w:vAlign w:val="center"/>
          </w:tcPr>
          <w:p>
            <w:pPr>
              <w:spacing w:line="300" w:lineRule="exact"/>
              <w:jc w:val="center"/>
              <w:rPr>
                <w:rFonts w:ascii="仿宋_GB2312" w:hAnsi="Calibri" w:eastAsia="仿宋_GB2312" w:cs="Times New Roman"/>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hAnsi="Calibri" w:eastAsia="仿宋_GB2312" w:cs="Times New Roman"/>
                <w:b/>
                <w:szCs w:val="21"/>
              </w:rPr>
            </w:pPr>
            <w:r>
              <w:rPr>
                <w:rFonts w:hint="eastAsia" w:ascii="仿宋_GB2312" w:hAnsi="Calibri" w:eastAsia="仿宋_GB2312" w:cs="Times New Roman"/>
                <w:b/>
                <w:szCs w:val="21"/>
              </w:rPr>
              <w:t>　　1、综合业务管理</w:t>
            </w:r>
          </w:p>
        </w:tc>
        <w:tc>
          <w:tcPr>
            <w:tcW w:w="1276" w:type="dxa"/>
            <w:vMerge w:val="restart"/>
            <w:shd w:val="clear" w:color="auto" w:fill="auto"/>
            <w:vAlign w:val="center"/>
          </w:tcPr>
          <w:p>
            <w:pPr>
              <w:spacing w:line="300" w:lineRule="exact"/>
              <w:jc w:val="left"/>
              <w:rPr>
                <w:rFonts w:ascii="仿宋_GB2312" w:hAnsi="Calibri" w:eastAsia="仿宋_GB2312" w:cs="Times New Roman"/>
                <w:szCs w:val="21"/>
              </w:rPr>
            </w:pPr>
          </w:p>
        </w:tc>
        <w:tc>
          <w:tcPr>
            <w:tcW w:w="2976" w:type="dxa"/>
            <w:vMerge w:val="restart"/>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设施设备运转保障、残疾人组织建设、工作信息化建设等项工作</w:t>
            </w:r>
          </w:p>
        </w:tc>
        <w:tc>
          <w:tcPr>
            <w:tcW w:w="2976" w:type="dxa"/>
            <w:vMerge w:val="restart"/>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发挥专门协会桥梁纽带作用，联系广大残疾人；提高残疾人证办证率；增强基层服务残疾人的能力；保障正常运转，促进残疾人事业发展。</w:t>
            </w: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已开展活动</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≥90%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≥80%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≥70%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hAnsi="Calibri" w:eastAsia="仿宋_GB2312" w:cs="Times New Roman"/>
                <w:b/>
                <w:szCs w:val="21"/>
              </w:rPr>
            </w:pPr>
          </w:p>
        </w:tc>
        <w:tc>
          <w:tcPr>
            <w:tcW w:w="12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人员情况调查</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≥90%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≥80%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≥70%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hAnsi="Calibri" w:eastAsia="仿宋_GB2312" w:cs="Times New Roman"/>
                <w:b/>
                <w:szCs w:val="21"/>
              </w:rPr>
            </w:pPr>
          </w:p>
        </w:tc>
        <w:tc>
          <w:tcPr>
            <w:tcW w:w="12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专门活动</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≥90%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≥80%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≥70%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hAnsi="Calibri" w:eastAsia="仿宋_GB2312" w:cs="Times New Roman"/>
                <w:b/>
                <w:szCs w:val="21"/>
              </w:rPr>
            </w:pPr>
            <w:r>
              <w:rPr>
                <w:rFonts w:hint="eastAsia" w:ascii="仿宋_GB2312" w:hAnsi="Calibri" w:eastAsia="仿宋_GB2312" w:cs="Times New Roman"/>
                <w:b/>
                <w:szCs w:val="21"/>
              </w:rPr>
              <w:t>四、维护妇女儿童合法权益促进妇女儿童发展</w:t>
            </w:r>
          </w:p>
        </w:tc>
        <w:tc>
          <w:tcPr>
            <w:tcW w:w="1276" w:type="dxa"/>
            <w:shd w:val="clear" w:color="auto" w:fill="auto"/>
            <w:vAlign w:val="center"/>
          </w:tcPr>
          <w:p>
            <w:pPr>
              <w:spacing w:line="300" w:lineRule="exact"/>
              <w:jc w:val="left"/>
              <w:rPr>
                <w:rFonts w:ascii="仿宋_GB2312" w:hAnsi="Calibri" w:eastAsia="仿宋_GB2312" w:cs="Times New Roman"/>
                <w:szCs w:val="21"/>
              </w:rPr>
            </w:pPr>
          </w:p>
        </w:tc>
        <w:tc>
          <w:tcPr>
            <w:tcW w:w="2976"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关注并加强研究涉及妇女切身利益的热点、难点问题，及时向镇委和镇政府反映社情民意，提出对策建议。</w:t>
            </w:r>
          </w:p>
        </w:tc>
        <w:tc>
          <w:tcPr>
            <w:tcW w:w="2976"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妇女综合素质和发展能力有较大提升。妇女儿童合法权益得到有效维护，男女平等基本国策宣传进一步深入人心。</w:t>
            </w:r>
          </w:p>
        </w:tc>
        <w:tc>
          <w:tcPr>
            <w:tcW w:w="1417" w:type="dxa"/>
            <w:shd w:val="clear" w:color="auto" w:fill="auto"/>
            <w:vAlign w:val="center"/>
          </w:tcPr>
          <w:p>
            <w:pPr>
              <w:spacing w:line="300" w:lineRule="exact"/>
              <w:jc w:val="left"/>
              <w:rPr>
                <w:rFonts w:ascii="仿宋_GB2312" w:hAnsi="Calibri" w:eastAsia="仿宋_GB2312" w:cs="Times New Roman"/>
                <w:szCs w:val="21"/>
              </w:rPr>
            </w:pPr>
          </w:p>
        </w:tc>
        <w:tc>
          <w:tcPr>
            <w:tcW w:w="737" w:type="dxa"/>
            <w:shd w:val="clear" w:color="auto" w:fill="auto"/>
            <w:vAlign w:val="center"/>
          </w:tcPr>
          <w:p>
            <w:pPr>
              <w:spacing w:line="300" w:lineRule="exact"/>
              <w:jc w:val="center"/>
              <w:rPr>
                <w:rFonts w:ascii="仿宋_GB2312" w:hAnsi="Calibri" w:eastAsia="仿宋_GB2312" w:cs="Times New Roman"/>
                <w:szCs w:val="21"/>
              </w:rPr>
            </w:pPr>
          </w:p>
        </w:tc>
        <w:tc>
          <w:tcPr>
            <w:tcW w:w="737" w:type="dxa"/>
            <w:shd w:val="clear" w:color="auto" w:fill="auto"/>
            <w:vAlign w:val="center"/>
          </w:tcPr>
          <w:p>
            <w:pPr>
              <w:spacing w:line="300" w:lineRule="exact"/>
              <w:jc w:val="center"/>
              <w:rPr>
                <w:rFonts w:ascii="仿宋_GB2312" w:hAnsi="Calibri" w:eastAsia="仿宋_GB2312" w:cs="Times New Roman"/>
                <w:szCs w:val="21"/>
              </w:rPr>
            </w:pPr>
          </w:p>
        </w:tc>
        <w:tc>
          <w:tcPr>
            <w:tcW w:w="737" w:type="dxa"/>
            <w:shd w:val="clear" w:color="auto" w:fill="auto"/>
            <w:vAlign w:val="center"/>
          </w:tcPr>
          <w:p>
            <w:pPr>
              <w:spacing w:line="300" w:lineRule="exact"/>
              <w:jc w:val="center"/>
              <w:rPr>
                <w:rFonts w:ascii="仿宋_GB2312" w:hAnsi="Calibri" w:eastAsia="仿宋_GB2312" w:cs="Times New Roman"/>
                <w:szCs w:val="21"/>
              </w:rPr>
            </w:pPr>
          </w:p>
        </w:tc>
        <w:tc>
          <w:tcPr>
            <w:tcW w:w="737" w:type="dxa"/>
            <w:shd w:val="clear" w:color="auto" w:fill="auto"/>
            <w:vAlign w:val="center"/>
          </w:tcPr>
          <w:p>
            <w:pPr>
              <w:spacing w:line="300" w:lineRule="exact"/>
              <w:jc w:val="center"/>
              <w:rPr>
                <w:rFonts w:ascii="仿宋_GB2312" w:hAnsi="Calibri" w:eastAsia="仿宋_GB2312" w:cs="Times New Roman"/>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hAnsi="Calibri" w:eastAsia="仿宋_GB2312" w:cs="Times New Roman"/>
                <w:b/>
                <w:szCs w:val="21"/>
              </w:rPr>
            </w:pPr>
            <w:r>
              <w:rPr>
                <w:rFonts w:hint="eastAsia" w:ascii="仿宋_GB2312" w:hAnsi="Calibri" w:eastAsia="仿宋_GB2312" w:cs="Times New Roman"/>
                <w:b/>
                <w:szCs w:val="21"/>
              </w:rPr>
              <w:t>　　1、维权服务</w:t>
            </w:r>
          </w:p>
        </w:tc>
        <w:tc>
          <w:tcPr>
            <w:tcW w:w="1276" w:type="dxa"/>
            <w:vMerge w:val="restart"/>
            <w:shd w:val="clear" w:color="auto" w:fill="auto"/>
            <w:vAlign w:val="center"/>
          </w:tcPr>
          <w:p>
            <w:pPr>
              <w:spacing w:line="300" w:lineRule="exact"/>
              <w:jc w:val="left"/>
              <w:rPr>
                <w:rFonts w:ascii="仿宋_GB2312" w:hAnsi="Calibri" w:eastAsia="仿宋_GB2312" w:cs="Times New Roman"/>
                <w:szCs w:val="21"/>
              </w:rPr>
            </w:pPr>
          </w:p>
        </w:tc>
        <w:tc>
          <w:tcPr>
            <w:tcW w:w="2976" w:type="dxa"/>
            <w:vMerge w:val="restart"/>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关注并加强研究涉及妇女切身利益的热点、难点问题，及时向县委和县政府反映社情民意，提出对策建议；参与有关妇女儿童政策和法律、法规草案的拟定，从源头上强化维护妇女儿童合法权益工作。</w:t>
            </w:r>
          </w:p>
        </w:tc>
        <w:tc>
          <w:tcPr>
            <w:tcW w:w="2976" w:type="dxa"/>
            <w:vMerge w:val="restart"/>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帮助权益受到侵害的妇女儿童解决困难和问题，提高广大妇女儿童的维权意识和维权能力，维护妇女儿童合法权益；规范妇女信访秩序，促进社会和谐稳定。</w:t>
            </w: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妇女信访代理工作开展情况</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≥90%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≥80%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≥70%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hAnsi="Calibri" w:eastAsia="仿宋_GB2312" w:cs="Times New Roman"/>
                <w:b/>
                <w:szCs w:val="21"/>
              </w:rPr>
            </w:pPr>
          </w:p>
        </w:tc>
        <w:tc>
          <w:tcPr>
            <w:tcW w:w="12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法律援助妇女侵权案件办理情况</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≥90%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≥80%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≥70%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hAnsi="Calibri" w:eastAsia="仿宋_GB2312" w:cs="Times New Roman"/>
                <w:b/>
                <w:szCs w:val="21"/>
              </w:rPr>
            </w:pPr>
          </w:p>
        </w:tc>
        <w:tc>
          <w:tcPr>
            <w:tcW w:w="12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答复妇女来电来访情况</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≥90%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≥80%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≥70%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hAnsi="Calibri" w:eastAsia="仿宋_GB2312" w:cs="Times New Roman"/>
                <w:b/>
                <w:szCs w:val="21"/>
              </w:rPr>
            </w:pPr>
            <w:r>
              <w:rPr>
                <w:rFonts w:hint="eastAsia" w:ascii="仿宋_GB2312" w:hAnsi="Calibri" w:eastAsia="仿宋_GB2312" w:cs="Times New Roman"/>
                <w:b/>
                <w:szCs w:val="21"/>
              </w:rPr>
              <w:t>五、工会事务管理</w:t>
            </w:r>
          </w:p>
        </w:tc>
        <w:tc>
          <w:tcPr>
            <w:tcW w:w="1276" w:type="dxa"/>
            <w:shd w:val="clear" w:color="auto" w:fill="auto"/>
            <w:vAlign w:val="center"/>
          </w:tcPr>
          <w:p>
            <w:pPr>
              <w:spacing w:line="300" w:lineRule="exact"/>
              <w:jc w:val="left"/>
              <w:rPr>
                <w:rFonts w:ascii="仿宋_GB2312" w:hAnsi="Calibri" w:eastAsia="仿宋_GB2312" w:cs="Times New Roman"/>
                <w:szCs w:val="21"/>
              </w:rPr>
            </w:pPr>
          </w:p>
        </w:tc>
        <w:tc>
          <w:tcPr>
            <w:tcW w:w="2976"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研究指导全镇工会自身建设；承担镇委、镇政府及全国总工会交办的其他事项。</w:t>
            </w:r>
          </w:p>
        </w:tc>
        <w:tc>
          <w:tcPr>
            <w:tcW w:w="2976"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加强组织和干部队伍建设，提高干部业务素质和大型企事业单位工会领导干部水平，促进工会事业发展。</w:t>
            </w:r>
          </w:p>
        </w:tc>
        <w:tc>
          <w:tcPr>
            <w:tcW w:w="1417" w:type="dxa"/>
            <w:shd w:val="clear" w:color="auto" w:fill="auto"/>
            <w:vAlign w:val="center"/>
          </w:tcPr>
          <w:p>
            <w:pPr>
              <w:spacing w:line="300" w:lineRule="exact"/>
              <w:jc w:val="left"/>
              <w:rPr>
                <w:rFonts w:ascii="仿宋_GB2312" w:hAnsi="Calibri" w:eastAsia="仿宋_GB2312" w:cs="Times New Roman"/>
                <w:szCs w:val="21"/>
              </w:rPr>
            </w:pPr>
          </w:p>
        </w:tc>
        <w:tc>
          <w:tcPr>
            <w:tcW w:w="737" w:type="dxa"/>
            <w:shd w:val="clear" w:color="auto" w:fill="auto"/>
            <w:vAlign w:val="center"/>
          </w:tcPr>
          <w:p>
            <w:pPr>
              <w:spacing w:line="300" w:lineRule="exact"/>
              <w:jc w:val="center"/>
              <w:rPr>
                <w:rFonts w:ascii="仿宋_GB2312" w:hAnsi="Calibri" w:eastAsia="仿宋_GB2312" w:cs="Times New Roman"/>
                <w:szCs w:val="21"/>
              </w:rPr>
            </w:pPr>
          </w:p>
        </w:tc>
        <w:tc>
          <w:tcPr>
            <w:tcW w:w="737" w:type="dxa"/>
            <w:shd w:val="clear" w:color="auto" w:fill="auto"/>
            <w:vAlign w:val="center"/>
          </w:tcPr>
          <w:p>
            <w:pPr>
              <w:spacing w:line="300" w:lineRule="exact"/>
              <w:jc w:val="center"/>
              <w:rPr>
                <w:rFonts w:ascii="仿宋_GB2312" w:hAnsi="Calibri" w:eastAsia="仿宋_GB2312" w:cs="Times New Roman"/>
                <w:szCs w:val="21"/>
              </w:rPr>
            </w:pPr>
          </w:p>
        </w:tc>
        <w:tc>
          <w:tcPr>
            <w:tcW w:w="737" w:type="dxa"/>
            <w:shd w:val="clear" w:color="auto" w:fill="auto"/>
            <w:vAlign w:val="center"/>
          </w:tcPr>
          <w:p>
            <w:pPr>
              <w:spacing w:line="300" w:lineRule="exact"/>
              <w:jc w:val="center"/>
              <w:rPr>
                <w:rFonts w:ascii="仿宋_GB2312" w:hAnsi="Calibri" w:eastAsia="仿宋_GB2312" w:cs="Times New Roman"/>
                <w:szCs w:val="21"/>
              </w:rPr>
            </w:pPr>
          </w:p>
        </w:tc>
        <w:tc>
          <w:tcPr>
            <w:tcW w:w="737" w:type="dxa"/>
            <w:shd w:val="clear" w:color="auto" w:fill="auto"/>
            <w:vAlign w:val="center"/>
          </w:tcPr>
          <w:p>
            <w:pPr>
              <w:spacing w:line="300" w:lineRule="exact"/>
              <w:jc w:val="center"/>
              <w:rPr>
                <w:rFonts w:ascii="仿宋_GB2312" w:hAnsi="Calibri" w:eastAsia="仿宋_GB2312" w:cs="Times New Roman"/>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hAnsi="Calibri" w:eastAsia="仿宋_GB2312" w:cs="Times New Roman"/>
                <w:b/>
                <w:szCs w:val="21"/>
              </w:rPr>
            </w:pPr>
            <w:r>
              <w:rPr>
                <w:rFonts w:hint="eastAsia" w:ascii="仿宋_GB2312" w:hAnsi="Calibri" w:eastAsia="仿宋_GB2312" w:cs="Times New Roman"/>
                <w:b/>
                <w:szCs w:val="21"/>
              </w:rPr>
              <w:t>　　1、综合事务管理</w:t>
            </w:r>
          </w:p>
        </w:tc>
        <w:tc>
          <w:tcPr>
            <w:tcW w:w="1276" w:type="dxa"/>
            <w:vMerge w:val="restart"/>
            <w:shd w:val="clear" w:color="auto" w:fill="auto"/>
            <w:vAlign w:val="center"/>
          </w:tcPr>
          <w:p>
            <w:pPr>
              <w:spacing w:line="300" w:lineRule="exact"/>
              <w:jc w:val="left"/>
              <w:rPr>
                <w:rFonts w:ascii="仿宋_GB2312" w:hAnsi="Calibri" w:eastAsia="仿宋_GB2312" w:cs="Times New Roman"/>
                <w:szCs w:val="21"/>
              </w:rPr>
            </w:pPr>
          </w:p>
        </w:tc>
        <w:tc>
          <w:tcPr>
            <w:tcW w:w="2976" w:type="dxa"/>
            <w:vMerge w:val="restart"/>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研究指导全镇工会自身改革和建设；负责工会干部管理制度和培训规划制定以及培训工作；承担镇委、镇政府及全国总工会交办的其他事项。</w:t>
            </w:r>
          </w:p>
        </w:tc>
        <w:tc>
          <w:tcPr>
            <w:tcW w:w="2976" w:type="dxa"/>
            <w:vMerge w:val="restart"/>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切实提高工会综合事务管理水平，保障单位的正常运转</w:t>
            </w: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对困难职工关注率</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≥90%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≥80%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≥70%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hAnsi="Calibri" w:eastAsia="仿宋_GB2312" w:cs="Times New Roman"/>
                <w:b/>
                <w:szCs w:val="21"/>
              </w:rPr>
            </w:pPr>
          </w:p>
        </w:tc>
        <w:tc>
          <w:tcPr>
            <w:tcW w:w="12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职工定期活动率</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≥90%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≥80%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≥70%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hAnsi="Calibri" w:eastAsia="仿宋_GB2312" w:cs="Times New Roman"/>
                <w:b/>
                <w:szCs w:val="21"/>
              </w:rPr>
            </w:pPr>
          </w:p>
        </w:tc>
        <w:tc>
          <w:tcPr>
            <w:tcW w:w="12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综合事务保障率</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≥90%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≥80%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≥70%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hAnsi="Calibri" w:eastAsia="仿宋_GB2312" w:cs="Times New Roman"/>
                <w:b/>
                <w:szCs w:val="21"/>
              </w:rPr>
            </w:pPr>
            <w:r>
              <w:rPr>
                <w:rFonts w:hint="eastAsia" w:ascii="仿宋_GB2312" w:hAnsi="Calibri" w:eastAsia="仿宋_GB2312" w:cs="Times New Roman"/>
                <w:b/>
                <w:szCs w:val="21"/>
              </w:rPr>
              <w:t>六、团委事务管理</w:t>
            </w:r>
          </w:p>
        </w:tc>
        <w:tc>
          <w:tcPr>
            <w:tcW w:w="1276" w:type="dxa"/>
            <w:shd w:val="clear" w:color="auto" w:fill="auto"/>
            <w:vAlign w:val="center"/>
          </w:tcPr>
          <w:p>
            <w:pPr>
              <w:spacing w:line="300" w:lineRule="exact"/>
              <w:jc w:val="left"/>
              <w:rPr>
                <w:rFonts w:ascii="仿宋_GB2312" w:hAnsi="Calibri" w:eastAsia="仿宋_GB2312" w:cs="Times New Roman"/>
                <w:szCs w:val="21"/>
              </w:rPr>
            </w:pPr>
          </w:p>
        </w:tc>
        <w:tc>
          <w:tcPr>
            <w:tcW w:w="2976"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负责团委综合业务管理。</w:t>
            </w:r>
          </w:p>
        </w:tc>
        <w:tc>
          <w:tcPr>
            <w:tcW w:w="2976"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年度工作任务圆满完成，促进共青团事业发展。</w:t>
            </w:r>
          </w:p>
        </w:tc>
        <w:tc>
          <w:tcPr>
            <w:tcW w:w="1417" w:type="dxa"/>
            <w:shd w:val="clear" w:color="auto" w:fill="auto"/>
            <w:vAlign w:val="center"/>
          </w:tcPr>
          <w:p>
            <w:pPr>
              <w:spacing w:line="300" w:lineRule="exact"/>
              <w:jc w:val="left"/>
              <w:rPr>
                <w:rFonts w:ascii="仿宋_GB2312" w:hAnsi="Calibri" w:eastAsia="仿宋_GB2312" w:cs="Times New Roman"/>
                <w:szCs w:val="21"/>
              </w:rPr>
            </w:pPr>
          </w:p>
        </w:tc>
        <w:tc>
          <w:tcPr>
            <w:tcW w:w="737" w:type="dxa"/>
            <w:shd w:val="clear" w:color="auto" w:fill="auto"/>
            <w:vAlign w:val="center"/>
          </w:tcPr>
          <w:p>
            <w:pPr>
              <w:spacing w:line="300" w:lineRule="exact"/>
              <w:jc w:val="center"/>
              <w:rPr>
                <w:rFonts w:ascii="仿宋_GB2312" w:hAnsi="Calibri" w:eastAsia="仿宋_GB2312" w:cs="Times New Roman"/>
                <w:szCs w:val="21"/>
              </w:rPr>
            </w:pPr>
          </w:p>
        </w:tc>
        <w:tc>
          <w:tcPr>
            <w:tcW w:w="737" w:type="dxa"/>
            <w:shd w:val="clear" w:color="auto" w:fill="auto"/>
            <w:vAlign w:val="center"/>
          </w:tcPr>
          <w:p>
            <w:pPr>
              <w:spacing w:line="300" w:lineRule="exact"/>
              <w:jc w:val="center"/>
              <w:rPr>
                <w:rFonts w:ascii="仿宋_GB2312" w:hAnsi="Calibri" w:eastAsia="仿宋_GB2312" w:cs="Times New Roman"/>
                <w:szCs w:val="21"/>
              </w:rPr>
            </w:pPr>
          </w:p>
        </w:tc>
        <w:tc>
          <w:tcPr>
            <w:tcW w:w="737" w:type="dxa"/>
            <w:shd w:val="clear" w:color="auto" w:fill="auto"/>
            <w:vAlign w:val="center"/>
          </w:tcPr>
          <w:p>
            <w:pPr>
              <w:spacing w:line="300" w:lineRule="exact"/>
              <w:jc w:val="center"/>
              <w:rPr>
                <w:rFonts w:ascii="仿宋_GB2312" w:hAnsi="Calibri" w:eastAsia="仿宋_GB2312" w:cs="Times New Roman"/>
                <w:szCs w:val="21"/>
              </w:rPr>
            </w:pPr>
          </w:p>
        </w:tc>
        <w:tc>
          <w:tcPr>
            <w:tcW w:w="737" w:type="dxa"/>
            <w:shd w:val="clear" w:color="auto" w:fill="auto"/>
            <w:vAlign w:val="center"/>
          </w:tcPr>
          <w:p>
            <w:pPr>
              <w:spacing w:line="300" w:lineRule="exact"/>
              <w:jc w:val="center"/>
              <w:rPr>
                <w:rFonts w:ascii="仿宋_GB2312" w:hAnsi="Calibri" w:eastAsia="仿宋_GB2312" w:cs="Times New Roman"/>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hAnsi="Calibri" w:eastAsia="仿宋_GB2312" w:cs="Times New Roman"/>
                <w:b/>
                <w:szCs w:val="21"/>
              </w:rPr>
            </w:pPr>
            <w:r>
              <w:rPr>
                <w:rFonts w:hint="eastAsia" w:ascii="仿宋_GB2312" w:hAnsi="Calibri" w:eastAsia="仿宋_GB2312" w:cs="Times New Roman"/>
                <w:b/>
                <w:szCs w:val="21"/>
              </w:rPr>
              <w:t>　　1、综合业务管理</w:t>
            </w:r>
          </w:p>
        </w:tc>
        <w:tc>
          <w:tcPr>
            <w:tcW w:w="1276" w:type="dxa"/>
            <w:vMerge w:val="restart"/>
            <w:shd w:val="clear" w:color="auto" w:fill="auto"/>
            <w:vAlign w:val="center"/>
          </w:tcPr>
          <w:p>
            <w:pPr>
              <w:spacing w:line="300" w:lineRule="exact"/>
              <w:jc w:val="left"/>
              <w:rPr>
                <w:rFonts w:ascii="仿宋_GB2312" w:hAnsi="Calibri" w:eastAsia="仿宋_GB2312" w:cs="Times New Roman"/>
                <w:szCs w:val="21"/>
              </w:rPr>
            </w:pPr>
          </w:p>
        </w:tc>
        <w:tc>
          <w:tcPr>
            <w:tcW w:w="2976" w:type="dxa"/>
            <w:vMerge w:val="restart"/>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参与制定全镇的青少年事业发展规划和青少年工作方针、政策;承担镇委、镇政府和团中央交办的有关事项。</w:t>
            </w:r>
          </w:p>
        </w:tc>
        <w:tc>
          <w:tcPr>
            <w:tcW w:w="2976" w:type="dxa"/>
            <w:vMerge w:val="restart"/>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高质量完成全镇青少年发展规划和方针政策的制定，圆满完成省委、省政府和团中央交办的各项任务。</w:t>
            </w: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青少年团员定期活动率</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≥90%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≥80%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≥70%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hAnsi="Calibri" w:eastAsia="仿宋_GB2312" w:cs="Times New Roman"/>
                <w:b/>
                <w:szCs w:val="21"/>
              </w:rPr>
            </w:pPr>
          </w:p>
        </w:tc>
        <w:tc>
          <w:tcPr>
            <w:tcW w:w="12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综合业务完成率</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≥90%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≥80%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≥70%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hAnsi="Calibri" w:eastAsia="仿宋_GB2312" w:cs="Times New Roman"/>
                <w:b/>
                <w:szCs w:val="21"/>
              </w:rPr>
            </w:pPr>
          </w:p>
        </w:tc>
        <w:tc>
          <w:tcPr>
            <w:tcW w:w="12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青少年团员率</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≥90%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≥80%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≥70%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hAnsi="Calibri" w:eastAsia="仿宋_GB2312" w:cs="Times New Roman"/>
                <w:b/>
                <w:szCs w:val="21"/>
              </w:rPr>
            </w:pPr>
            <w:r>
              <w:rPr>
                <w:rFonts w:hint="eastAsia" w:ascii="仿宋_GB2312" w:hAnsi="Calibri" w:eastAsia="仿宋_GB2312" w:cs="Times New Roman"/>
                <w:b/>
                <w:szCs w:val="21"/>
              </w:rPr>
              <w:t>七、宣传事务管理</w:t>
            </w:r>
          </w:p>
        </w:tc>
        <w:tc>
          <w:tcPr>
            <w:tcW w:w="1276" w:type="dxa"/>
            <w:shd w:val="clear" w:color="auto" w:fill="auto"/>
            <w:vAlign w:val="center"/>
          </w:tcPr>
          <w:p>
            <w:pPr>
              <w:spacing w:line="300" w:lineRule="exact"/>
              <w:jc w:val="left"/>
              <w:rPr>
                <w:rFonts w:ascii="仿宋_GB2312" w:hAnsi="Calibri" w:eastAsia="仿宋_GB2312" w:cs="Times New Roman"/>
                <w:szCs w:val="21"/>
              </w:rPr>
            </w:pPr>
          </w:p>
        </w:tc>
        <w:tc>
          <w:tcPr>
            <w:tcW w:w="2976"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负责系统综合业务管理和机关综合事务管理。</w:t>
            </w:r>
          </w:p>
        </w:tc>
        <w:tc>
          <w:tcPr>
            <w:tcW w:w="2976"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确保各项业务工作谋划到位、顺利开展。保障机关工作正常高效运转。</w:t>
            </w:r>
          </w:p>
        </w:tc>
        <w:tc>
          <w:tcPr>
            <w:tcW w:w="1417" w:type="dxa"/>
            <w:shd w:val="clear" w:color="auto" w:fill="auto"/>
            <w:vAlign w:val="center"/>
          </w:tcPr>
          <w:p>
            <w:pPr>
              <w:spacing w:line="300" w:lineRule="exact"/>
              <w:jc w:val="left"/>
              <w:rPr>
                <w:rFonts w:ascii="仿宋_GB2312" w:hAnsi="Calibri" w:eastAsia="仿宋_GB2312" w:cs="Times New Roman"/>
                <w:szCs w:val="21"/>
              </w:rPr>
            </w:pPr>
          </w:p>
        </w:tc>
        <w:tc>
          <w:tcPr>
            <w:tcW w:w="737" w:type="dxa"/>
            <w:shd w:val="clear" w:color="auto" w:fill="auto"/>
            <w:vAlign w:val="center"/>
          </w:tcPr>
          <w:p>
            <w:pPr>
              <w:spacing w:line="300" w:lineRule="exact"/>
              <w:jc w:val="center"/>
              <w:rPr>
                <w:rFonts w:ascii="仿宋_GB2312" w:hAnsi="Calibri" w:eastAsia="仿宋_GB2312" w:cs="Times New Roman"/>
                <w:szCs w:val="21"/>
              </w:rPr>
            </w:pPr>
          </w:p>
        </w:tc>
        <w:tc>
          <w:tcPr>
            <w:tcW w:w="737" w:type="dxa"/>
            <w:shd w:val="clear" w:color="auto" w:fill="auto"/>
            <w:vAlign w:val="center"/>
          </w:tcPr>
          <w:p>
            <w:pPr>
              <w:spacing w:line="300" w:lineRule="exact"/>
              <w:jc w:val="center"/>
              <w:rPr>
                <w:rFonts w:ascii="仿宋_GB2312" w:hAnsi="Calibri" w:eastAsia="仿宋_GB2312" w:cs="Times New Roman"/>
                <w:szCs w:val="21"/>
              </w:rPr>
            </w:pPr>
          </w:p>
        </w:tc>
        <w:tc>
          <w:tcPr>
            <w:tcW w:w="737" w:type="dxa"/>
            <w:shd w:val="clear" w:color="auto" w:fill="auto"/>
            <w:vAlign w:val="center"/>
          </w:tcPr>
          <w:p>
            <w:pPr>
              <w:spacing w:line="300" w:lineRule="exact"/>
              <w:jc w:val="center"/>
              <w:rPr>
                <w:rFonts w:ascii="仿宋_GB2312" w:hAnsi="Calibri" w:eastAsia="仿宋_GB2312" w:cs="Times New Roman"/>
                <w:szCs w:val="21"/>
              </w:rPr>
            </w:pPr>
          </w:p>
        </w:tc>
        <w:tc>
          <w:tcPr>
            <w:tcW w:w="737" w:type="dxa"/>
            <w:shd w:val="clear" w:color="auto" w:fill="auto"/>
            <w:vAlign w:val="center"/>
          </w:tcPr>
          <w:p>
            <w:pPr>
              <w:spacing w:line="300" w:lineRule="exact"/>
              <w:jc w:val="center"/>
              <w:rPr>
                <w:rFonts w:ascii="仿宋_GB2312" w:hAnsi="Calibri" w:eastAsia="仿宋_GB2312" w:cs="Times New Roman"/>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hAnsi="Calibri" w:eastAsia="仿宋_GB2312" w:cs="Times New Roman"/>
                <w:b/>
                <w:szCs w:val="21"/>
              </w:rPr>
            </w:pPr>
            <w:r>
              <w:rPr>
                <w:rFonts w:hint="eastAsia" w:ascii="仿宋_GB2312" w:hAnsi="Calibri" w:eastAsia="仿宋_GB2312" w:cs="Times New Roman"/>
                <w:b/>
                <w:szCs w:val="21"/>
              </w:rPr>
              <w:t>　　1、综合业务管理</w:t>
            </w:r>
          </w:p>
        </w:tc>
        <w:tc>
          <w:tcPr>
            <w:tcW w:w="1276" w:type="dxa"/>
            <w:vMerge w:val="restart"/>
            <w:shd w:val="clear" w:color="auto" w:fill="auto"/>
            <w:vAlign w:val="center"/>
          </w:tcPr>
          <w:p>
            <w:pPr>
              <w:spacing w:line="300" w:lineRule="exact"/>
              <w:jc w:val="left"/>
              <w:rPr>
                <w:rFonts w:ascii="仿宋_GB2312" w:hAnsi="Calibri" w:eastAsia="仿宋_GB2312" w:cs="Times New Roman"/>
                <w:szCs w:val="21"/>
              </w:rPr>
            </w:pPr>
          </w:p>
        </w:tc>
        <w:tc>
          <w:tcPr>
            <w:tcW w:w="2976" w:type="dxa"/>
            <w:vMerge w:val="restart"/>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开展宣传文化业务管理，加强政策业务宣传等。</w:t>
            </w:r>
          </w:p>
        </w:tc>
        <w:tc>
          <w:tcPr>
            <w:tcW w:w="2976" w:type="dxa"/>
            <w:vMerge w:val="restart"/>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确保各项业务工作谋划到位、顺利开展。</w:t>
            </w: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重点工作督察督办数</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≥90%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≥80%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≥70%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hAnsi="Calibri" w:eastAsia="仿宋_GB2312" w:cs="Times New Roman"/>
                <w:b/>
                <w:szCs w:val="21"/>
              </w:rPr>
            </w:pPr>
          </w:p>
        </w:tc>
        <w:tc>
          <w:tcPr>
            <w:tcW w:w="12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重点工作宣传内容办数</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≥90%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≥80%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≥70%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hAnsi="Calibri" w:eastAsia="仿宋_GB2312" w:cs="Times New Roman"/>
                <w:b/>
                <w:szCs w:val="21"/>
              </w:rPr>
            </w:pPr>
          </w:p>
        </w:tc>
        <w:tc>
          <w:tcPr>
            <w:tcW w:w="12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重点工作宣传次数</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≥90%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≥80%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≥70%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hAnsi="Calibri" w:eastAsia="仿宋_GB2312" w:cs="Times New Roman"/>
                <w:b/>
                <w:szCs w:val="21"/>
              </w:rPr>
            </w:pPr>
            <w:r>
              <w:rPr>
                <w:rFonts w:hint="eastAsia" w:ascii="仿宋_GB2312" w:hAnsi="Calibri" w:eastAsia="仿宋_GB2312" w:cs="Times New Roman"/>
                <w:b/>
                <w:szCs w:val="21"/>
              </w:rPr>
              <w:t>八、义务教育</w:t>
            </w:r>
          </w:p>
        </w:tc>
        <w:tc>
          <w:tcPr>
            <w:tcW w:w="1276"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14.30</w:t>
            </w:r>
          </w:p>
        </w:tc>
        <w:tc>
          <w:tcPr>
            <w:tcW w:w="2976"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以农村教育为重点，推进义务教育均衡发展，建立中小学校舍安全保障机制，改善薄弱学校办学条件，促进公共教育资源向农村和经济欠发达地区倾斜。</w:t>
            </w:r>
          </w:p>
        </w:tc>
        <w:tc>
          <w:tcPr>
            <w:tcW w:w="2976"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提高义务教育公用经费保障水平，改善办学条件，均衡配置基础教育资源，缩小城镇、区域、校际之间办学差距，落实学生资助政策。</w:t>
            </w:r>
          </w:p>
        </w:tc>
        <w:tc>
          <w:tcPr>
            <w:tcW w:w="1417" w:type="dxa"/>
            <w:shd w:val="clear" w:color="auto" w:fill="auto"/>
            <w:vAlign w:val="center"/>
          </w:tcPr>
          <w:p>
            <w:pPr>
              <w:spacing w:line="300" w:lineRule="exact"/>
              <w:jc w:val="left"/>
              <w:rPr>
                <w:rFonts w:ascii="仿宋_GB2312" w:hAnsi="Calibri" w:eastAsia="仿宋_GB2312" w:cs="Times New Roman"/>
                <w:szCs w:val="21"/>
              </w:rPr>
            </w:pPr>
          </w:p>
        </w:tc>
        <w:tc>
          <w:tcPr>
            <w:tcW w:w="737" w:type="dxa"/>
            <w:shd w:val="clear" w:color="auto" w:fill="auto"/>
            <w:vAlign w:val="center"/>
          </w:tcPr>
          <w:p>
            <w:pPr>
              <w:spacing w:line="300" w:lineRule="exact"/>
              <w:jc w:val="center"/>
              <w:rPr>
                <w:rFonts w:ascii="仿宋_GB2312" w:hAnsi="Calibri" w:eastAsia="仿宋_GB2312" w:cs="Times New Roman"/>
                <w:szCs w:val="21"/>
              </w:rPr>
            </w:pPr>
          </w:p>
        </w:tc>
        <w:tc>
          <w:tcPr>
            <w:tcW w:w="737" w:type="dxa"/>
            <w:shd w:val="clear" w:color="auto" w:fill="auto"/>
            <w:vAlign w:val="center"/>
          </w:tcPr>
          <w:p>
            <w:pPr>
              <w:spacing w:line="300" w:lineRule="exact"/>
              <w:jc w:val="center"/>
              <w:rPr>
                <w:rFonts w:ascii="仿宋_GB2312" w:hAnsi="Calibri" w:eastAsia="仿宋_GB2312" w:cs="Times New Roman"/>
                <w:szCs w:val="21"/>
              </w:rPr>
            </w:pPr>
          </w:p>
        </w:tc>
        <w:tc>
          <w:tcPr>
            <w:tcW w:w="737" w:type="dxa"/>
            <w:shd w:val="clear" w:color="auto" w:fill="auto"/>
            <w:vAlign w:val="center"/>
          </w:tcPr>
          <w:p>
            <w:pPr>
              <w:spacing w:line="300" w:lineRule="exact"/>
              <w:jc w:val="center"/>
              <w:rPr>
                <w:rFonts w:ascii="仿宋_GB2312" w:hAnsi="Calibri" w:eastAsia="仿宋_GB2312" w:cs="Times New Roman"/>
                <w:szCs w:val="21"/>
              </w:rPr>
            </w:pPr>
          </w:p>
        </w:tc>
        <w:tc>
          <w:tcPr>
            <w:tcW w:w="737" w:type="dxa"/>
            <w:shd w:val="clear" w:color="auto" w:fill="auto"/>
            <w:vAlign w:val="center"/>
          </w:tcPr>
          <w:p>
            <w:pPr>
              <w:spacing w:line="300" w:lineRule="exact"/>
              <w:jc w:val="center"/>
              <w:rPr>
                <w:rFonts w:ascii="仿宋_GB2312" w:hAnsi="Calibri" w:eastAsia="仿宋_GB2312" w:cs="Times New Roman"/>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hAnsi="Calibri" w:eastAsia="仿宋_GB2312" w:cs="Times New Roman"/>
                <w:b/>
                <w:szCs w:val="21"/>
              </w:rPr>
            </w:pPr>
            <w:r>
              <w:rPr>
                <w:rFonts w:hint="eastAsia" w:ascii="仿宋_GB2312" w:hAnsi="Calibri" w:eastAsia="仿宋_GB2312" w:cs="Times New Roman"/>
                <w:b/>
                <w:szCs w:val="21"/>
              </w:rPr>
              <w:t>　　1、发展城市义务教育</w:t>
            </w:r>
          </w:p>
        </w:tc>
        <w:tc>
          <w:tcPr>
            <w:tcW w:w="1276" w:type="dxa"/>
            <w:vMerge w:val="restart"/>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14.30</w:t>
            </w:r>
          </w:p>
        </w:tc>
        <w:tc>
          <w:tcPr>
            <w:tcW w:w="2976" w:type="dxa"/>
            <w:vMerge w:val="restart"/>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免除城市区中小学生学杂费，提高公用经费保障水平，为贫困中小学生免费提供教科书，对接收进城务工农民工子女的学校进行补助。改善县属中小学办学条件。保障义务教育阶段薄弱学校基本教学条件，改善学校生活设施，办好必要的教学点，解决镇镇学校大班额问题，推进农村学校教育信息化。做好教育政策制定、教育改革、教育科研、教育信息化建设等工作</w:t>
            </w:r>
          </w:p>
        </w:tc>
        <w:tc>
          <w:tcPr>
            <w:tcW w:w="2976" w:type="dxa"/>
            <w:vMerge w:val="restart"/>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中小学公用经费保障水平逐年提高。从2014年开始，使贫困地区农村义务教育学校教学设施和生活设施满足基本生活需要，留守儿童学习和寄宿得到基本满足，村小学和教学点能够正常运转，县镇超大班额现象基本消除，教师数量、素质、结构基本适应教学需要保障农村中小学正常运转，保证学校校舍安全，资助家庭经济困难寄宿学生，向农村义务教育学生和城市区家庭经济困难学生免费提供教科书，培训中小学骨干教师、学科教师等1万人，提高中小学教师的业务水平和教学能力。</w:t>
            </w: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参训校长和教师合格率</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≥90%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≥80%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≥70%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hAnsi="Calibri" w:eastAsia="仿宋_GB2312" w:cs="Times New Roman"/>
                <w:b/>
                <w:szCs w:val="21"/>
              </w:rPr>
            </w:pPr>
          </w:p>
        </w:tc>
        <w:tc>
          <w:tcPr>
            <w:tcW w:w="12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提供的经费比例占公用经费费用的比率%</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≥10%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≥8%</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≥5%</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&lt;5%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hAnsi="Calibri" w:eastAsia="仿宋_GB2312" w:cs="Times New Roman"/>
                <w:b/>
                <w:szCs w:val="21"/>
              </w:rPr>
            </w:pPr>
          </w:p>
        </w:tc>
        <w:tc>
          <w:tcPr>
            <w:tcW w:w="12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小学生均校舍面积</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≥1</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≥0.9</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≥0.8</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hAnsi="Calibri" w:eastAsia="仿宋_GB2312" w:cs="Times New Roman"/>
                <w:b/>
                <w:szCs w:val="21"/>
              </w:rPr>
            </w:pPr>
          </w:p>
        </w:tc>
        <w:tc>
          <w:tcPr>
            <w:tcW w:w="12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初中入学率</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≥95%</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≥85%</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≥80%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hAnsi="Calibri" w:eastAsia="仿宋_GB2312" w:cs="Times New Roman"/>
                <w:b/>
                <w:szCs w:val="21"/>
              </w:rPr>
            </w:pPr>
            <w:r>
              <w:rPr>
                <w:rFonts w:hint="eastAsia" w:ascii="仿宋_GB2312" w:hAnsi="Calibri" w:eastAsia="仿宋_GB2312" w:cs="Times New Roman"/>
                <w:b/>
                <w:szCs w:val="21"/>
              </w:rPr>
              <w:t>九、电子政务管理</w:t>
            </w:r>
          </w:p>
        </w:tc>
        <w:tc>
          <w:tcPr>
            <w:tcW w:w="1276" w:type="dxa"/>
            <w:shd w:val="clear" w:color="auto" w:fill="auto"/>
            <w:vAlign w:val="center"/>
          </w:tcPr>
          <w:p>
            <w:pPr>
              <w:spacing w:line="300" w:lineRule="exact"/>
              <w:jc w:val="left"/>
              <w:rPr>
                <w:rFonts w:ascii="仿宋_GB2312" w:hAnsi="Calibri" w:eastAsia="仿宋_GB2312" w:cs="Times New Roman"/>
                <w:szCs w:val="21"/>
              </w:rPr>
            </w:pPr>
          </w:p>
        </w:tc>
        <w:tc>
          <w:tcPr>
            <w:tcW w:w="2976"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政务信息服务工作和政府系统机关电子政务工作。</w:t>
            </w:r>
          </w:p>
        </w:tc>
        <w:tc>
          <w:tcPr>
            <w:tcW w:w="2976"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确保各类会议顺利进行；保障街道网络系统安全、稳定运行，技术设备安全可用。严格执行会议技术保障服务流程和电视电话会议室管理制度。切实提高技术保障和服务能力，力争领导满意、群众满意、部门满意。</w:t>
            </w:r>
          </w:p>
        </w:tc>
        <w:tc>
          <w:tcPr>
            <w:tcW w:w="1417" w:type="dxa"/>
            <w:shd w:val="clear" w:color="auto" w:fill="auto"/>
            <w:vAlign w:val="center"/>
          </w:tcPr>
          <w:p>
            <w:pPr>
              <w:spacing w:line="300" w:lineRule="exact"/>
              <w:jc w:val="left"/>
              <w:rPr>
                <w:rFonts w:ascii="仿宋_GB2312" w:hAnsi="Calibri" w:eastAsia="仿宋_GB2312" w:cs="Times New Roman"/>
                <w:szCs w:val="21"/>
              </w:rPr>
            </w:pPr>
          </w:p>
        </w:tc>
        <w:tc>
          <w:tcPr>
            <w:tcW w:w="737" w:type="dxa"/>
            <w:shd w:val="clear" w:color="auto" w:fill="auto"/>
            <w:vAlign w:val="center"/>
          </w:tcPr>
          <w:p>
            <w:pPr>
              <w:spacing w:line="300" w:lineRule="exact"/>
              <w:jc w:val="center"/>
              <w:rPr>
                <w:rFonts w:ascii="仿宋_GB2312" w:hAnsi="Calibri" w:eastAsia="仿宋_GB2312" w:cs="Times New Roman"/>
                <w:szCs w:val="21"/>
              </w:rPr>
            </w:pPr>
          </w:p>
        </w:tc>
        <w:tc>
          <w:tcPr>
            <w:tcW w:w="737" w:type="dxa"/>
            <w:shd w:val="clear" w:color="auto" w:fill="auto"/>
            <w:vAlign w:val="center"/>
          </w:tcPr>
          <w:p>
            <w:pPr>
              <w:spacing w:line="300" w:lineRule="exact"/>
              <w:jc w:val="center"/>
              <w:rPr>
                <w:rFonts w:ascii="仿宋_GB2312" w:hAnsi="Calibri" w:eastAsia="仿宋_GB2312" w:cs="Times New Roman"/>
                <w:szCs w:val="21"/>
              </w:rPr>
            </w:pPr>
          </w:p>
        </w:tc>
        <w:tc>
          <w:tcPr>
            <w:tcW w:w="737" w:type="dxa"/>
            <w:shd w:val="clear" w:color="auto" w:fill="auto"/>
            <w:vAlign w:val="center"/>
          </w:tcPr>
          <w:p>
            <w:pPr>
              <w:spacing w:line="300" w:lineRule="exact"/>
              <w:jc w:val="center"/>
              <w:rPr>
                <w:rFonts w:ascii="仿宋_GB2312" w:hAnsi="Calibri" w:eastAsia="仿宋_GB2312" w:cs="Times New Roman"/>
                <w:szCs w:val="21"/>
              </w:rPr>
            </w:pPr>
          </w:p>
        </w:tc>
        <w:tc>
          <w:tcPr>
            <w:tcW w:w="737" w:type="dxa"/>
            <w:shd w:val="clear" w:color="auto" w:fill="auto"/>
            <w:vAlign w:val="center"/>
          </w:tcPr>
          <w:p>
            <w:pPr>
              <w:spacing w:line="300" w:lineRule="exact"/>
              <w:jc w:val="center"/>
              <w:rPr>
                <w:rFonts w:ascii="仿宋_GB2312" w:hAnsi="Calibri" w:eastAsia="仿宋_GB2312" w:cs="Times New Roman"/>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hAnsi="Calibri" w:eastAsia="仿宋_GB2312" w:cs="Times New Roman"/>
                <w:b/>
                <w:szCs w:val="21"/>
              </w:rPr>
            </w:pPr>
            <w:r>
              <w:rPr>
                <w:rFonts w:hint="eastAsia" w:ascii="仿宋_GB2312" w:hAnsi="Calibri" w:eastAsia="仿宋_GB2312" w:cs="Times New Roman"/>
                <w:b/>
                <w:szCs w:val="21"/>
              </w:rPr>
              <w:t>　　1、政府电子政务管理与服务</w:t>
            </w:r>
          </w:p>
        </w:tc>
        <w:tc>
          <w:tcPr>
            <w:tcW w:w="1276" w:type="dxa"/>
            <w:vMerge w:val="restart"/>
            <w:shd w:val="clear" w:color="auto" w:fill="auto"/>
            <w:vAlign w:val="center"/>
          </w:tcPr>
          <w:p>
            <w:pPr>
              <w:spacing w:line="300" w:lineRule="exact"/>
              <w:jc w:val="left"/>
              <w:rPr>
                <w:rFonts w:ascii="仿宋_GB2312" w:hAnsi="Calibri" w:eastAsia="仿宋_GB2312" w:cs="Times New Roman"/>
                <w:szCs w:val="21"/>
              </w:rPr>
            </w:pPr>
          </w:p>
        </w:tc>
        <w:tc>
          <w:tcPr>
            <w:tcW w:w="2976" w:type="dxa"/>
            <w:vMerge w:val="restart"/>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政务信息服务工作和政府系统机关电子政务工作。</w:t>
            </w:r>
          </w:p>
        </w:tc>
        <w:tc>
          <w:tcPr>
            <w:tcW w:w="2976" w:type="dxa"/>
            <w:vMerge w:val="restart"/>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确保各类会议顺利进行；保障村街网络系统安全、稳定运行，技术设备安全可用</w:t>
            </w: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网站事故次数</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≥90%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≥80%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≥70%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hAnsi="Calibri" w:eastAsia="仿宋_GB2312" w:cs="Times New Roman"/>
                <w:b/>
                <w:szCs w:val="21"/>
              </w:rPr>
            </w:pPr>
          </w:p>
        </w:tc>
        <w:tc>
          <w:tcPr>
            <w:tcW w:w="12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网站作用</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≥90%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≥80%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≥70%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hAnsi="Calibri" w:eastAsia="仿宋_GB2312" w:cs="Times New Roman"/>
                <w:b/>
                <w:szCs w:val="21"/>
              </w:rPr>
            </w:pPr>
          </w:p>
        </w:tc>
        <w:tc>
          <w:tcPr>
            <w:tcW w:w="12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网站内容</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≥90%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≥80%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≥70%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hAnsi="Calibri" w:eastAsia="仿宋_GB2312" w:cs="Times New Roman"/>
                <w:b/>
                <w:szCs w:val="21"/>
              </w:rPr>
            </w:pPr>
            <w:r>
              <w:rPr>
                <w:rFonts w:hint="eastAsia" w:ascii="仿宋_GB2312" w:hAnsi="Calibri" w:eastAsia="仿宋_GB2312" w:cs="Times New Roman"/>
                <w:b/>
                <w:szCs w:val="21"/>
              </w:rPr>
              <w:t>十、地方志事务</w:t>
            </w:r>
          </w:p>
        </w:tc>
        <w:tc>
          <w:tcPr>
            <w:tcW w:w="1276" w:type="dxa"/>
            <w:shd w:val="clear" w:color="auto" w:fill="auto"/>
            <w:vAlign w:val="center"/>
          </w:tcPr>
          <w:p>
            <w:pPr>
              <w:spacing w:line="300" w:lineRule="exact"/>
              <w:jc w:val="left"/>
              <w:rPr>
                <w:rFonts w:ascii="仿宋_GB2312" w:hAnsi="Calibri" w:eastAsia="仿宋_GB2312" w:cs="Times New Roman"/>
                <w:szCs w:val="21"/>
              </w:rPr>
            </w:pPr>
          </w:p>
        </w:tc>
        <w:tc>
          <w:tcPr>
            <w:tcW w:w="2976"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全街道地方志事务管理。</w:t>
            </w:r>
          </w:p>
        </w:tc>
        <w:tc>
          <w:tcPr>
            <w:tcW w:w="2976"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弘扬和传承优秀文化传统，充分发挥志书“资政、存史、教化”的综合功能，为社会各界方便快捷提供县情，为本县经济社会建设服务，为地方志工作者提供资料和工具。</w:t>
            </w:r>
          </w:p>
        </w:tc>
        <w:tc>
          <w:tcPr>
            <w:tcW w:w="1417" w:type="dxa"/>
            <w:shd w:val="clear" w:color="auto" w:fill="auto"/>
            <w:vAlign w:val="center"/>
          </w:tcPr>
          <w:p>
            <w:pPr>
              <w:spacing w:line="300" w:lineRule="exact"/>
              <w:jc w:val="left"/>
              <w:rPr>
                <w:rFonts w:ascii="仿宋_GB2312" w:hAnsi="Calibri" w:eastAsia="仿宋_GB2312" w:cs="Times New Roman"/>
                <w:szCs w:val="21"/>
              </w:rPr>
            </w:pPr>
          </w:p>
        </w:tc>
        <w:tc>
          <w:tcPr>
            <w:tcW w:w="737" w:type="dxa"/>
            <w:shd w:val="clear" w:color="auto" w:fill="auto"/>
            <w:vAlign w:val="center"/>
          </w:tcPr>
          <w:p>
            <w:pPr>
              <w:spacing w:line="300" w:lineRule="exact"/>
              <w:jc w:val="center"/>
              <w:rPr>
                <w:rFonts w:ascii="仿宋_GB2312" w:hAnsi="Calibri" w:eastAsia="仿宋_GB2312" w:cs="Times New Roman"/>
                <w:szCs w:val="21"/>
              </w:rPr>
            </w:pPr>
          </w:p>
        </w:tc>
        <w:tc>
          <w:tcPr>
            <w:tcW w:w="737" w:type="dxa"/>
            <w:shd w:val="clear" w:color="auto" w:fill="auto"/>
            <w:vAlign w:val="center"/>
          </w:tcPr>
          <w:p>
            <w:pPr>
              <w:spacing w:line="300" w:lineRule="exact"/>
              <w:jc w:val="center"/>
              <w:rPr>
                <w:rFonts w:ascii="仿宋_GB2312" w:hAnsi="Calibri" w:eastAsia="仿宋_GB2312" w:cs="Times New Roman"/>
                <w:szCs w:val="21"/>
              </w:rPr>
            </w:pPr>
          </w:p>
        </w:tc>
        <w:tc>
          <w:tcPr>
            <w:tcW w:w="737" w:type="dxa"/>
            <w:shd w:val="clear" w:color="auto" w:fill="auto"/>
            <w:vAlign w:val="center"/>
          </w:tcPr>
          <w:p>
            <w:pPr>
              <w:spacing w:line="300" w:lineRule="exact"/>
              <w:jc w:val="center"/>
              <w:rPr>
                <w:rFonts w:ascii="仿宋_GB2312" w:hAnsi="Calibri" w:eastAsia="仿宋_GB2312" w:cs="Times New Roman"/>
                <w:szCs w:val="21"/>
              </w:rPr>
            </w:pPr>
          </w:p>
        </w:tc>
        <w:tc>
          <w:tcPr>
            <w:tcW w:w="737" w:type="dxa"/>
            <w:shd w:val="clear" w:color="auto" w:fill="auto"/>
            <w:vAlign w:val="center"/>
          </w:tcPr>
          <w:p>
            <w:pPr>
              <w:spacing w:line="300" w:lineRule="exact"/>
              <w:jc w:val="center"/>
              <w:rPr>
                <w:rFonts w:ascii="仿宋_GB2312" w:hAnsi="Calibri" w:eastAsia="仿宋_GB2312" w:cs="Times New Roman"/>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hAnsi="Calibri" w:eastAsia="仿宋_GB2312" w:cs="Times New Roman"/>
                <w:b/>
                <w:szCs w:val="21"/>
              </w:rPr>
            </w:pPr>
            <w:r>
              <w:rPr>
                <w:rFonts w:hint="eastAsia" w:ascii="仿宋_GB2312" w:hAnsi="Calibri" w:eastAsia="仿宋_GB2312" w:cs="Times New Roman"/>
                <w:b/>
                <w:szCs w:val="21"/>
              </w:rPr>
              <w:t>　　1、地方志事务管理</w:t>
            </w:r>
          </w:p>
        </w:tc>
        <w:tc>
          <w:tcPr>
            <w:tcW w:w="1276" w:type="dxa"/>
            <w:vMerge w:val="restart"/>
            <w:shd w:val="clear" w:color="auto" w:fill="auto"/>
            <w:vAlign w:val="center"/>
          </w:tcPr>
          <w:p>
            <w:pPr>
              <w:spacing w:line="300" w:lineRule="exact"/>
              <w:jc w:val="left"/>
              <w:rPr>
                <w:rFonts w:ascii="仿宋_GB2312" w:hAnsi="Calibri" w:eastAsia="仿宋_GB2312" w:cs="Times New Roman"/>
                <w:szCs w:val="21"/>
              </w:rPr>
            </w:pPr>
          </w:p>
        </w:tc>
        <w:tc>
          <w:tcPr>
            <w:tcW w:w="2976" w:type="dxa"/>
            <w:vMerge w:val="restart"/>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拟订全街道地方志工作规划并组织实施；搜集、保存、管理地方文献和资料；组织开发利用地方志资源；建设和维护街道地方志县情网络。</w:t>
            </w:r>
          </w:p>
        </w:tc>
        <w:tc>
          <w:tcPr>
            <w:tcW w:w="2976" w:type="dxa"/>
            <w:vMerge w:val="restart"/>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为社会各界方便快捷提供村街情，为经济社会建设服务</w:t>
            </w: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真实程度</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≥90%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≥80%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≥70%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hAnsi="Calibri" w:eastAsia="仿宋_GB2312" w:cs="Times New Roman"/>
                <w:b/>
                <w:szCs w:val="21"/>
              </w:rPr>
            </w:pPr>
          </w:p>
        </w:tc>
        <w:tc>
          <w:tcPr>
            <w:tcW w:w="12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影响范围</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≥90%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≥80%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≥70%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hAnsi="Calibri" w:eastAsia="仿宋_GB2312" w:cs="Times New Roman"/>
                <w:b/>
                <w:szCs w:val="21"/>
              </w:rPr>
            </w:pPr>
          </w:p>
        </w:tc>
        <w:tc>
          <w:tcPr>
            <w:tcW w:w="12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编印差错率</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≥90%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≥80%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≥70%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hAnsi="Calibri" w:eastAsia="仿宋_GB2312" w:cs="Times New Roman"/>
                <w:b/>
                <w:szCs w:val="21"/>
              </w:rPr>
            </w:pPr>
            <w:r>
              <w:rPr>
                <w:rFonts w:hint="eastAsia" w:ascii="仿宋_GB2312" w:hAnsi="Calibri" w:eastAsia="仿宋_GB2312" w:cs="Times New Roman"/>
                <w:b/>
                <w:szCs w:val="21"/>
              </w:rPr>
              <w:t>十一、党政综合办公室事务管理</w:t>
            </w:r>
          </w:p>
        </w:tc>
        <w:tc>
          <w:tcPr>
            <w:tcW w:w="1276" w:type="dxa"/>
            <w:shd w:val="clear" w:color="auto" w:fill="auto"/>
            <w:vAlign w:val="center"/>
          </w:tcPr>
          <w:p>
            <w:pPr>
              <w:spacing w:line="300" w:lineRule="exact"/>
              <w:jc w:val="left"/>
              <w:rPr>
                <w:rFonts w:ascii="仿宋_GB2312" w:hAnsi="Calibri" w:eastAsia="仿宋_GB2312" w:cs="Times New Roman"/>
                <w:szCs w:val="21"/>
              </w:rPr>
            </w:pPr>
          </w:p>
        </w:tc>
        <w:tc>
          <w:tcPr>
            <w:tcW w:w="2976"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负责环境保护系统综合业务管理和机关综合事务管理。</w:t>
            </w:r>
          </w:p>
        </w:tc>
        <w:tc>
          <w:tcPr>
            <w:tcW w:w="2976"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加强城乡建设与环保保护管理工作。</w:t>
            </w:r>
          </w:p>
        </w:tc>
        <w:tc>
          <w:tcPr>
            <w:tcW w:w="1417" w:type="dxa"/>
            <w:shd w:val="clear" w:color="auto" w:fill="auto"/>
            <w:vAlign w:val="center"/>
          </w:tcPr>
          <w:p>
            <w:pPr>
              <w:spacing w:line="300" w:lineRule="exact"/>
              <w:jc w:val="left"/>
              <w:rPr>
                <w:rFonts w:ascii="仿宋_GB2312" w:hAnsi="Calibri" w:eastAsia="仿宋_GB2312" w:cs="Times New Roman"/>
                <w:szCs w:val="21"/>
              </w:rPr>
            </w:pPr>
          </w:p>
        </w:tc>
        <w:tc>
          <w:tcPr>
            <w:tcW w:w="737" w:type="dxa"/>
            <w:shd w:val="clear" w:color="auto" w:fill="auto"/>
            <w:vAlign w:val="center"/>
          </w:tcPr>
          <w:p>
            <w:pPr>
              <w:spacing w:line="300" w:lineRule="exact"/>
              <w:jc w:val="center"/>
              <w:rPr>
                <w:rFonts w:ascii="仿宋_GB2312" w:hAnsi="Calibri" w:eastAsia="仿宋_GB2312" w:cs="Times New Roman"/>
                <w:szCs w:val="21"/>
              </w:rPr>
            </w:pPr>
          </w:p>
        </w:tc>
        <w:tc>
          <w:tcPr>
            <w:tcW w:w="737" w:type="dxa"/>
            <w:shd w:val="clear" w:color="auto" w:fill="auto"/>
            <w:vAlign w:val="center"/>
          </w:tcPr>
          <w:p>
            <w:pPr>
              <w:spacing w:line="300" w:lineRule="exact"/>
              <w:jc w:val="center"/>
              <w:rPr>
                <w:rFonts w:ascii="仿宋_GB2312" w:hAnsi="Calibri" w:eastAsia="仿宋_GB2312" w:cs="Times New Roman"/>
                <w:szCs w:val="21"/>
              </w:rPr>
            </w:pPr>
          </w:p>
        </w:tc>
        <w:tc>
          <w:tcPr>
            <w:tcW w:w="737" w:type="dxa"/>
            <w:shd w:val="clear" w:color="auto" w:fill="auto"/>
            <w:vAlign w:val="center"/>
          </w:tcPr>
          <w:p>
            <w:pPr>
              <w:spacing w:line="300" w:lineRule="exact"/>
              <w:jc w:val="center"/>
              <w:rPr>
                <w:rFonts w:ascii="仿宋_GB2312" w:hAnsi="Calibri" w:eastAsia="仿宋_GB2312" w:cs="Times New Roman"/>
                <w:szCs w:val="21"/>
              </w:rPr>
            </w:pPr>
          </w:p>
        </w:tc>
        <w:tc>
          <w:tcPr>
            <w:tcW w:w="737" w:type="dxa"/>
            <w:shd w:val="clear" w:color="auto" w:fill="auto"/>
            <w:vAlign w:val="center"/>
          </w:tcPr>
          <w:p>
            <w:pPr>
              <w:spacing w:line="300" w:lineRule="exact"/>
              <w:jc w:val="center"/>
              <w:rPr>
                <w:rFonts w:ascii="仿宋_GB2312" w:hAnsi="Calibri" w:eastAsia="仿宋_GB2312" w:cs="Times New Roman"/>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hAnsi="Calibri" w:eastAsia="仿宋_GB2312" w:cs="Times New Roman"/>
                <w:b/>
                <w:szCs w:val="21"/>
              </w:rPr>
            </w:pPr>
            <w:r>
              <w:rPr>
                <w:rFonts w:hint="eastAsia" w:ascii="仿宋_GB2312" w:hAnsi="Calibri" w:eastAsia="仿宋_GB2312" w:cs="Times New Roman"/>
                <w:b/>
                <w:szCs w:val="21"/>
              </w:rPr>
              <w:t>　　1、综合业务管理</w:t>
            </w:r>
          </w:p>
        </w:tc>
        <w:tc>
          <w:tcPr>
            <w:tcW w:w="1276" w:type="dxa"/>
            <w:vMerge w:val="restart"/>
            <w:shd w:val="clear" w:color="auto" w:fill="auto"/>
            <w:vAlign w:val="center"/>
          </w:tcPr>
          <w:p>
            <w:pPr>
              <w:spacing w:line="300" w:lineRule="exact"/>
              <w:jc w:val="left"/>
              <w:rPr>
                <w:rFonts w:ascii="仿宋_GB2312" w:hAnsi="Calibri" w:eastAsia="仿宋_GB2312" w:cs="Times New Roman"/>
                <w:szCs w:val="21"/>
              </w:rPr>
            </w:pPr>
          </w:p>
        </w:tc>
        <w:tc>
          <w:tcPr>
            <w:tcW w:w="2976" w:type="dxa"/>
            <w:vMerge w:val="restart"/>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加强污染治理技术研究及推广、排污费征收管理及环保专项资金使用。完善环保公共服务体系，加强环保创新能力，加大重点实验室及环境监测、监察的建设力度。</w:t>
            </w:r>
          </w:p>
        </w:tc>
        <w:tc>
          <w:tcPr>
            <w:tcW w:w="2976" w:type="dxa"/>
            <w:vMerge w:val="restart"/>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高质量审核公文，让区领导满意；及时办理各类文电，确保事项在第一时间得到区领导批示意见；高质量起草的区领导重要讲话及重要文稿。</w:t>
            </w: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各项综合业务管理工作完成率</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≥90%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≥80%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≥70%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hAnsi="Calibri" w:eastAsia="仿宋_GB2312" w:cs="Times New Roman"/>
                <w:b/>
                <w:szCs w:val="21"/>
              </w:rPr>
            </w:pPr>
          </w:p>
        </w:tc>
        <w:tc>
          <w:tcPr>
            <w:tcW w:w="12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综合业务工作完成率</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≥90%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≥80%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≥70%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hAnsi="Calibri" w:eastAsia="仿宋_GB2312" w:cs="Times New Roman"/>
                <w:b/>
                <w:szCs w:val="21"/>
              </w:rPr>
            </w:pPr>
          </w:p>
        </w:tc>
        <w:tc>
          <w:tcPr>
            <w:tcW w:w="12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各项综合业务行文规范</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≥90%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≥80%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≥70%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hAnsi="Calibri" w:eastAsia="仿宋_GB2312" w:cs="Times New Roman"/>
                <w:b/>
                <w:szCs w:val="21"/>
              </w:rPr>
            </w:pPr>
            <w:r>
              <w:rPr>
                <w:rFonts w:hint="eastAsia" w:ascii="仿宋_GB2312" w:hAnsi="Calibri" w:eastAsia="仿宋_GB2312" w:cs="Times New Roman"/>
                <w:b/>
                <w:szCs w:val="21"/>
              </w:rPr>
              <w:t>十二、土地城建政务管理</w:t>
            </w:r>
          </w:p>
        </w:tc>
        <w:tc>
          <w:tcPr>
            <w:tcW w:w="1276" w:type="dxa"/>
            <w:shd w:val="clear" w:color="auto" w:fill="auto"/>
            <w:vAlign w:val="center"/>
          </w:tcPr>
          <w:p>
            <w:pPr>
              <w:spacing w:line="300" w:lineRule="exact"/>
              <w:jc w:val="left"/>
              <w:rPr>
                <w:rFonts w:ascii="仿宋_GB2312" w:hAnsi="Calibri" w:eastAsia="仿宋_GB2312" w:cs="Times New Roman"/>
                <w:szCs w:val="21"/>
              </w:rPr>
            </w:pPr>
          </w:p>
        </w:tc>
        <w:tc>
          <w:tcPr>
            <w:tcW w:w="2976"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负责土地征迁、拆除违建、公共住房等</w:t>
            </w:r>
          </w:p>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负责环境保护系统综合业务管理和机关综合事务管理。</w:t>
            </w:r>
          </w:p>
        </w:tc>
        <w:tc>
          <w:tcPr>
            <w:tcW w:w="2976"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加强城乡建设与管理工作。</w:t>
            </w:r>
          </w:p>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加强城乡建设与环保保护管理工作。</w:t>
            </w:r>
          </w:p>
        </w:tc>
        <w:tc>
          <w:tcPr>
            <w:tcW w:w="1417" w:type="dxa"/>
            <w:shd w:val="clear" w:color="auto" w:fill="auto"/>
            <w:vAlign w:val="center"/>
          </w:tcPr>
          <w:p>
            <w:pPr>
              <w:spacing w:line="300" w:lineRule="exact"/>
              <w:jc w:val="left"/>
              <w:rPr>
                <w:rFonts w:ascii="仿宋_GB2312" w:hAnsi="Calibri" w:eastAsia="仿宋_GB2312" w:cs="Times New Roman"/>
                <w:szCs w:val="21"/>
              </w:rPr>
            </w:pPr>
          </w:p>
        </w:tc>
        <w:tc>
          <w:tcPr>
            <w:tcW w:w="737" w:type="dxa"/>
            <w:shd w:val="clear" w:color="auto" w:fill="auto"/>
            <w:vAlign w:val="center"/>
          </w:tcPr>
          <w:p>
            <w:pPr>
              <w:spacing w:line="300" w:lineRule="exact"/>
              <w:jc w:val="center"/>
              <w:rPr>
                <w:rFonts w:ascii="仿宋_GB2312" w:hAnsi="Calibri" w:eastAsia="仿宋_GB2312" w:cs="Times New Roman"/>
                <w:szCs w:val="21"/>
              </w:rPr>
            </w:pPr>
          </w:p>
        </w:tc>
        <w:tc>
          <w:tcPr>
            <w:tcW w:w="737" w:type="dxa"/>
            <w:shd w:val="clear" w:color="auto" w:fill="auto"/>
            <w:vAlign w:val="center"/>
          </w:tcPr>
          <w:p>
            <w:pPr>
              <w:spacing w:line="300" w:lineRule="exact"/>
              <w:jc w:val="center"/>
              <w:rPr>
                <w:rFonts w:ascii="仿宋_GB2312" w:hAnsi="Calibri" w:eastAsia="仿宋_GB2312" w:cs="Times New Roman"/>
                <w:szCs w:val="21"/>
              </w:rPr>
            </w:pPr>
          </w:p>
        </w:tc>
        <w:tc>
          <w:tcPr>
            <w:tcW w:w="737" w:type="dxa"/>
            <w:shd w:val="clear" w:color="auto" w:fill="auto"/>
            <w:vAlign w:val="center"/>
          </w:tcPr>
          <w:p>
            <w:pPr>
              <w:spacing w:line="300" w:lineRule="exact"/>
              <w:jc w:val="center"/>
              <w:rPr>
                <w:rFonts w:ascii="仿宋_GB2312" w:hAnsi="Calibri" w:eastAsia="仿宋_GB2312" w:cs="Times New Roman"/>
                <w:szCs w:val="21"/>
              </w:rPr>
            </w:pPr>
          </w:p>
        </w:tc>
        <w:tc>
          <w:tcPr>
            <w:tcW w:w="737" w:type="dxa"/>
            <w:shd w:val="clear" w:color="auto" w:fill="auto"/>
            <w:vAlign w:val="center"/>
          </w:tcPr>
          <w:p>
            <w:pPr>
              <w:spacing w:line="300" w:lineRule="exact"/>
              <w:jc w:val="center"/>
              <w:rPr>
                <w:rFonts w:ascii="仿宋_GB2312" w:hAnsi="Calibri" w:eastAsia="仿宋_GB2312" w:cs="Times New Roman"/>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hAnsi="Calibri" w:eastAsia="仿宋_GB2312" w:cs="Times New Roman"/>
                <w:b/>
                <w:szCs w:val="21"/>
              </w:rPr>
            </w:pPr>
            <w:r>
              <w:rPr>
                <w:rFonts w:hint="eastAsia" w:ascii="仿宋_GB2312" w:hAnsi="Calibri" w:eastAsia="仿宋_GB2312" w:cs="Times New Roman"/>
                <w:b/>
                <w:szCs w:val="21"/>
              </w:rPr>
              <w:t>　　1、综合业务管理</w:t>
            </w:r>
          </w:p>
        </w:tc>
        <w:tc>
          <w:tcPr>
            <w:tcW w:w="1276" w:type="dxa"/>
            <w:vMerge w:val="restart"/>
            <w:shd w:val="clear" w:color="auto" w:fill="auto"/>
            <w:vAlign w:val="center"/>
          </w:tcPr>
          <w:p>
            <w:pPr>
              <w:spacing w:line="300" w:lineRule="exact"/>
              <w:jc w:val="left"/>
              <w:rPr>
                <w:rFonts w:ascii="仿宋_GB2312" w:hAnsi="Calibri" w:eastAsia="仿宋_GB2312" w:cs="Times New Roman"/>
                <w:szCs w:val="21"/>
              </w:rPr>
            </w:pPr>
          </w:p>
        </w:tc>
        <w:tc>
          <w:tcPr>
            <w:tcW w:w="2976" w:type="dxa"/>
            <w:vMerge w:val="restart"/>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完成上级政府安排的土地征迁任务，按照相关部门做好公共住房民生工作，配合执法部门严厉打击私搭乱建违法占地行为。</w:t>
            </w:r>
          </w:p>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加强污染治理技术研究及推广、排污费征收管理及环保专项资金使用。完善环保公共服务体系，加强环保创新能力，加大重点实验室及环境监测、监察的建设力度。</w:t>
            </w:r>
          </w:p>
        </w:tc>
        <w:tc>
          <w:tcPr>
            <w:tcW w:w="2976" w:type="dxa"/>
            <w:vMerge w:val="restart"/>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加强城乡建设与管理工作。</w:t>
            </w: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工作完成率</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≥90%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≥80%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≥70%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hAnsi="Calibri" w:eastAsia="仿宋_GB2312" w:cs="Times New Roman"/>
                <w:b/>
                <w:szCs w:val="21"/>
              </w:rPr>
            </w:pPr>
          </w:p>
        </w:tc>
        <w:tc>
          <w:tcPr>
            <w:tcW w:w="12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工作完成进度</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≥90%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≥80%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≥70%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hAnsi="Calibri" w:eastAsia="仿宋_GB2312" w:cs="Times New Roman"/>
                <w:b/>
                <w:szCs w:val="21"/>
              </w:rPr>
            </w:pPr>
          </w:p>
        </w:tc>
        <w:tc>
          <w:tcPr>
            <w:tcW w:w="12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完成检查次数</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≥90%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≥80%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≥70%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hAnsi="Calibri" w:eastAsia="仿宋_GB2312" w:cs="Times New Roman"/>
                <w:b/>
                <w:szCs w:val="21"/>
              </w:rPr>
            </w:pPr>
            <w:r>
              <w:rPr>
                <w:rFonts w:hint="eastAsia" w:ascii="仿宋_GB2312" w:hAnsi="Calibri" w:eastAsia="仿宋_GB2312" w:cs="Times New Roman"/>
                <w:b/>
                <w:szCs w:val="21"/>
              </w:rPr>
              <w:t>十三、安全生产</w:t>
            </w:r>
          </w:p>
        </w:tc>
        <w:tc>
          <w:tcPr>
            <w:tcW w:w="1276" w:type="dxa"/>
            <w:shd w:val="clear" w:color="auto" w:fill="auto"/>
            <w:vAlign w:val="center"/>
          </w:tcPr>
          <w:p>
            <w:pPr>
              <w:spacing w:line="300" w:lineRule="exact"/>
              <w:jc w:val="left"/>
              <w:rPr>
                <w:rFonts w:ascii="仿宋_GB2312" w:hAnsi="Calibri" w:eastAsia="仿宋_GB2312" w:cs="Times New Roman"/>
                <w:szCs w:val="21"/>
              </w:rPr>
            </w:pPr>
          </w:p>
        </w:tc>
        <w:tc>
          <w:tcPr>
            <w:tcW w:w="2976"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协助安监局对广阳区域内采油站点、油气管线、铁路线路安全检查</w:t>
            </w:r>
          </w:p>
        </w:tc>
        <w:tc>
          <w:tcPr>
            <w:tcW w:w="2976"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协助广阳区安监局及油田铁路相关部门对我区内各采油站点、油气管线、铁路线路进行安全检查。排查安全隐患，保证我区内正常运行</w:t>
            </w:r>
          </w:p>
        </w:tc>
        <w:tc>
          <w:tcPr>
            <w:tcW w:w="1417" w:type="dxa"/>
            <w:shd w:val="clear" w:color="auto" w:fill="auto"/>
            <w:vAlign w:val="center"/>
          </w:tcPr>
          <w:p>
            <w:pPr>
              <w:spacing w:line="300" w:lineRule="exact"/>
              <w:jc w:val="left"/>
              <w:rPr>
                <w:rFonts w:ascii="仿宋_GB2312" w:hAnsi="Calibri" w:eastAsia="仿宋_GB2312" w:cs="Times New Roman"/>
                <w:szCs w:val="21"/>
              </w:rPr>
            </w:pPr>
          </w:p>
        </w:tc>
        <w:tc>
          <w:tcPr>
            <w:tcW w:w="737" w:type="dxa"/>
            <w:shd w:val="clear" w:color="auto" w:fill="auto"/>
            <w:vAlign w:val="center"/>
          </w:tcPr>
          <w:p>
            <w:pPr>
              <w:spacing w:line="300" w:lineRule="exact"/>
              <w:jc w:val="center"/>
              <w:rPr>
                <w:rFonts w:ascii="仿宋_GB2312" w:hAnsi="Calibri" w:eastAsia="仿宋_GB2312" w:cs="Times New Roman"/>
                <w:szCs w:val="21"/>
              </w:rPr>
            </w:pPr>
          </w:p>
        </w:tc>
        <w:tc>
          <w:tcPr>
            <w:tcW w:w="737" w:type="dxa"/>
            <w:shd w:val="clear" w:color="auto" w:fill="auto"/>
            <w:vAlign w:val="center"/>
          </w:tcPr>
          <w:p>
            <w:pPr>
              <w:spacing w:line="300" w:lineRule="exact"/>
              <w:jc w:val="center"/>
              <w:rPr>
                <w:rFonts w:ascii="仿宋_GB2312" w:hAnsi="Calibri" w:eastAsia="仿宋_GB2312" w:cs="Times New Roman"/>
                <w:szCs w:val="21"/>
              </w:rPr>
            </w:pPr>
          </w:p>
        </w:tc>
        <w:tc>
          <w:tcPr>
            <w:tcW w:w="737" w:type="dxa"/>
            <w:shd w:val="clear" w:color="auto" w:fill="auto"/>
            <w:vAlign w:val="center"/>
          </w:tcPr>
          <w:p>
            <w:pPr>
              <w:spacing w:line="300" w:lineRule="exact"/>
              <w:jc w:val="center"/>
              <w:rPr>
                <w:rFonts w:ascii="仿宋_GB2312" w:hAnsi="Calibri" w:eastAsia="仿宋_GB2312" w:cs="Times New Roman"/>
                <w:szCs w:val="21"/>
              </w:rPr>
            </w:pPr>
          </w:p>
        </w:tc>
        <w:tc>
          <w:tcPr>
            <w:tcW w:w="737" w:type="dxa"/>
            <w:shd w:val="clear" w:color="auto" w:fill="auto"/>
            <w:vAlign w:val="center"/>
          </w:tcPr>
          <w:p>
            <w:pPr>
              <w:spacing w:line="300" w:lineRule="exact"/>
              <w:jc w:val="center"/>
              <w:rPr>
                <w:rFonts w:ascii="仿宋_GB2312" w:hAnsi="Calibri" w:eastAsia="仿宋_GB2312" w:cs="Times New Roman"/>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hAnsi="Calibri" w:eastAsia="仿宋_GB2312" w:cs="Times New Roman"/>
                <w:b/>
                <w:szCs w:val="21"/>
              </w:rPr>
            </w:pPr>
            <w:r>
              <w:rPr>
                <w:rFonts w:hint="eastAsia" w:ascii="仿宋_GB2312" w:hAnsi="Calibri" w:eastAsia="仿宋_GB2312" w:cs="Times New Roman"/>
                <w:b/>
                <w:szCs w:val="21"/>
              </w:rPr>
              <w:t>　　1、安全检查</w:t>
            </w:r>
          </w:p>
        </w:tc>
        <w:tc>
          <w:tcPr>
            <w:tcW w:w="1276" w:type="dxa"/>
            <w:vMerge w:val="restart"/>
            <w:shd w:val="clear" w:color="auto" w:fill="auto"/>
            <w:vAlign w:val="center"/>
          </w:tcPr>
          <w:p>
            <w:pPr>
              <w:spacing w:line="300" w:lineRule="exact"/>
              <w:jc w:val="left"/>
              <w:rPr>
                <w:rFonts w:ascii="仿宋_GB2312" w:hAnsi="Calibri" w:eastAsia="仿宋_GB2312" w:cs="Times New Roman"/>
                <w:szCs w:val="21"/>
              </w:rPr>
            </w:pPr>
          </w:p>
        </w:tc>
        <w:tc>
          <w:tcPr>
            <w:tcW w:w="2976" w:type="dxa"/>
            <w:vMerge w:val="restart"/>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按照时间节点，集中对我镇区域内采油站点、油气管线、铁路沿线进行安全检查</w:t>
            </w:r>
          </w:p>
        </w:tc>
        <w:tc>
          <w:tcPr>
            <w:tcW w:w="2976" w:type="dxa"/>
            <w:vMerge w:val="restart"/>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确保我区支油、支铁安全生产</w:t>
            </w: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 xml:space="preserve">排查安全隐患数量    </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≥85%</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≥60%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≥25%</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hAnsi="Calibri" w:eastAsia="仿宋_GB2312" w:cs="Times New Roman"/>
                <w:b/>
                <w:szCs w:val="21"/>
              </w:rPr>
            </w:pPr>
          </w:p>
        </w:tc>
        <w:tc>
          <w:tcPr>
            <w:tcW w:w="12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宣传安全生产次数</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≥85%</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≥60%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≥25%</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hAnsi="Calibri" w:eastAsia="仿宋_GB2312" w:cs="Times New Roman"/>
                <w:b/>
                <w:szCs w:val="21"/>
              </w:rPr>
            </w:pPr>
          </w:p>
        </w:tc>
        <w:tc>
          <w:tcPr>
            <w:tcW w:w="12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完成检查次数</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≥85%</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≥60%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≥25%</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hAnsi="Calibri" w:eastAsia="仿宋_GB2312" w:cs="Times New Roman"/>
                <w:b/>
                <w:szCs w:val="21"/>
              </w:rPr>
            </w:pPr>
            <w:r>
              <w:rPr>
                <w:rFonts w:hint="eastAsia" w:ascii="仿宋_GB2312" w:hAnsi="Calibri" w:eastAsia="仿宋_GB2312" w:cs="Times New Roman"/>
                <w:b/>
                <w:szCs w:val="21"/>
              </w:rPr>
              <w:t>十四、政务管理</w:t>
            </w:r>
          </w:p>
        </w:tc>
        <w:tc>
          <w:tcPr>
            <w:tcW w:w="1276"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138.66</w:t>
            </w:r>
          </w:p>
        </w:tc>
        <w:tc>
          <w:tcPr>
            <w:tcW w:w="2976"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综合业务管理</w:t>
            </w:r>
          </w:p>
        </w:tc>
        <w:tc>
          <w:tcPr>
            <w:tcW w:w="2976"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协助领导组织起草或审核上报区政府以及以政府办公室名义发布的公文；办理镇政府各部门和下级政府报送的文电；对部门间出现的争议问题提出处理意见；组织起草街道领导重要讲话及其他重要文稿；组织专题调研；承办领导交办的其他事项。</w:t>
            </w:r>
          </w:p>
        </w:tc>
        <w:tc>
          <w:tcPr>
            <w:tcW w:w="1417" w:type="dxa"/>
            <w:shd w:val="clear" w:color="auto" w:fill="auto"/>
            <w:vAlign w:val="center"/>
          </w:tcPr>
          <w:p>
            <w:pPr>
              <w:spacing w:line="300" w:lineRule="exact"/>
              <w:jc w:val="left"/>
              <w:rPr>
                <w:rFonts w:ascii="仿宋_GB2312" w:hAnsi="Calibri" w:eastAsia="仿宋_GB2312" w:cs="Times New Roman"/>
                <w:szCs w:val="21"/>
              </w:rPr>
            </w:pPr>
          </w:p>
        </w:tc>
        <w:tc>
          <w:tcPr>
            <w:tcW w:w="737" w:type="dxa"/>
            <w:shd w:val="clear" w:color="auto" w:fill="auto"/>
            <w:vAlign w:val="center"/>
          </w:tcPr>
          <w:p>
            <w:pPr>
              <w:spacing w:line="300" w:lineRule="exact"/>
              <w:jc w:val="center"/>
              <w:rPr>
                <w:rFonts w:ascii="仿宋_GB2312" w:hAnsi="Calibri" w:eastAsia="仿宋_GB2312" w:cs="Times New Roman"/>
                <w:szCs w:val="21"/>
              </w:rPr>
            </w:pPr>
          </w:p>
        </w:tc>
        <w:tc>
          <w:tcPr>
            <w:tcW w:w="737" w:type="dxa"/>
            <w:shd w:val="clear" w:color="auto" w:fill="auto"/>
            <w:vAlign w:val="center"/>
          </w:tcPr>
          <w:p>
            <w:pPr>
              <w:spacing w:line="300" w:lineRule="exact"/>
              <w:jc w:val="center"/>
              <w:rPr>
                <w:rFonts w:ascii="仿宋_GB2312" w:hAnsi="Calibri" w:eastAsia="仿宋_GB2312" w:cs="Times New Roman"/>
                <w:szCs w:val="21"/>
              </w:rPr>
            </w:pPr>
          </w:p>
        </w:tc>
        <w:tc>
          <w:tcPr>
            <w:tcW w:w="737" w:type="dxa"/>
            <w:shd w:val="clear" w:color="auto" w:fill="auto"/>
            <w:vAlign w:val="center"/>
          </w:tcPr>
          <w:p>
            <w:pPr>
              <w:spacing w:line="300" w:lineRule="exact"/>
              <w:jc w:val="center"/>
              <w:rPr>
                <w:rFonts w:ascii="仿宋_GB2312" w:hAnsi="Calibri" w:eastAsia="仿宋_GB2312" w:cs="Times New Roman"/>
                <w:szCs w:val="21"/>
              </w:rPr>
            </w:pPr>
          </w:p>
        </w:tc>
        <w:tc>
          <w:tcPr>
            <w:tcW w:w="737" w:type="dxa"/>
            <w:shd w:val="clear" w:color="auto" w:fill="auto"/>
            <w:vAlign w:val="center"/>
          </w:tcPr>
          <w:p>
            <w:pPr>
              <w:spacing w:line="300" w:lineRule="exact"/>
              <w:jc w:val="center"/>
              <w:rPr>
                <w:rFonts w:ascii="仿宋_GB2312" w:hAnsi="Calibri" w:eastAsia="仿宋_GB2312" w:cs="Times New Roman"/>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hAnsi="Calibri" w:eastAsia="仿宋_GB2312" w:cs="Times New Roman"/>
                <w:b/>
                <w:szCs w:val="21"/>
              </w:rPr>
            </w:pPr>
            <w:r>
              <w:rPr>
                <w:rFonts w:hint="eastAsia" w:ascii="仿宋_GB2312" w:hAnsi="Calibri" w:eastAsia="仿宋_GB2312" w:cs="Times New Roman"/>
                <w:b/>
                <w:szCs w:val="21"/>
              </w:rPr>
              <w:t>　　1、社区建设</w:t>
            </w:r>
          </w:p>
        </w:tc>
        <w:tc>
          <w:tcPr>
            <w:tcW w:w="1276" w:type="dxa"/>
            <w:vMerge w:val="restart"/>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138.66</w:t>
            </w:r>
          </w:p>
        </w:tc>
        <w:tc>
          <w:tcPr>
            <w:tcW w:w="2976" w:type="dxa"/>
            <w:vMerge w:val="restart"/>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加强和完善社区治理事关基层和谐稳定，进一步健全城乡社区治理体系，推进治理能力现代化</w:t>
            </w:r>
          </w:p>
        </w:tc>
        <w:tc>
          <w:tcPr>
            <w:tcW w:w="2976" w:type="dxa"/>
            <w:vMerge w:val="restart"/>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确保社区建设工作全面提高，营造社区氛围、增强居民满意度</w:t>
            </w: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验收合格率</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≥90%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≥80%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≥70%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hAnsi="Calibri" w:eastAsia="仿宋_GB2312" w:cs="Times New Roman"/>
                <w:b/>
                <w:szCs w:val="21"/>
              </w:rPr>
            </w:pPr>
          </w:p>
        </w:tc>
        <w:tc>
          <w:tcPr>
            <w:tcW w:w="12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年度文化艺术节演出活动次数</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≥4</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3</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2</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hAnsi="Calibri" w:eastAsia="仿宋_GB2312" w:cs="Times New Roman"/>
                <w:b/>
                <w:szCs w:val="21"/>
              </w:rPr>
            </w:pPr>
          </w:p>
        </w:tc>
        <w:tc>
          <w:tcPr>
            <w:tcW w:w="12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各项工作顺利上报完成率</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≥90%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≥80%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≥70%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hAnsi="Calibri" w:eastAsia="仿宋_GB2312" w:cs="Times New Roman"/>
                <w:b/>
                <w:szCs w:val="21"/>
              </w:rPr>
            </w:pPr>
            <w:r>
              <w:rPr>
                <w:rFonts w:hint="eastAsia" w:ascii="仿宋_GB2312" w:hAnsi="Calibri" w:eastAsia="仿宋_GB2312" w:cs="Times New Roman"/>
                <w:b/>
                <w:szCs w:val="21"/>
              </w:rPr>
              <w:t>　　2、民政工作</w:t>
            </w:r>
          </w:p>
        </w:tc>
        <w:tc>
          <w:tcPr>
            <w:tcW w:w="1276" w:type="dxa"/>
            <w:vMerge w:val="restart"/>
            <w:shd w:val="clear" w:color="auto" w:fill="auto"/>
            <w:vAlign w:val="center"/>
          </w:tcPr>
          <w:p>
            <w:pPr>
              <w:spacing w:line="300" w:lineRule="exact"/>
              <w:jc w:val="left"/>
              <w:rPr>
                <w:rFonts w:ascii="仿宋_GB2312" w:hAnsi="Calibri" w:eastAsia="仿宋_GB2312" w:cs="Times New Roman"/>
                <w:szCs w:val="21"/>
              </w:rPr>
            </w:pPr>
          </w:p>
        </w:tc>
        <w:tc>
          <w:tcPr>
            <w:tcW w:w="2976" w:type="dxa"/>
            <w:vMerge w:val="restart"/>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为本辖区的困难群众办理城镇居民最低生活保障金、医疗救助、临时救助等审批及防灾减灾排查工作；做好优抚双拥工作；为辖区年满80周岁老人办理高龄补贴；完成街道办党委、街道交办的其他各项工作。</w:t>
            </w:r>
          </w:p>
        </w:tc>
        <w:tc>
          <w:tcPr>
            <w:tcW w:w="2976" w:type="dxa"/>
            <w:vMerge w:val="restart"/>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在规定时间内对各社区上报的申报材料审批上报民政局，确保困难群众能应保尽保，最大程度解决生活困难，按要求落实各项政策，让困难居民享受救助；排查隐患，保群众安全；宣传教育广泛深入，确保拥军优属工作扎实有效</w:t>
            </w: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按政策要求达到参保率</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≥90%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≥80%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≥70%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hAnsi="Calibri" w:eastAsia="仿宋_GB2312" w:cs="Times New Roman"/>
                <w:b/>
                <w:szCs w:val="21"/>
              </w:rPr>
            </w:pPr>
          </w:p>
        </w:tc>
        <w:tc>
          <w:tcPr>
            <w:tcW w:w="12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准确率</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≥90%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≥80%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≥70%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hAnsi="Calibri" w:eastAsia="仿宋_GB2312" w:cs="Times New Roman"/>
                <w:b/>
                <w:szCs w:val="21"/>
              </w:rPr>
            </w:pPr>
          </w:p>
        </w:tc>
        <w:tc>
          <w:tcPr>
            <w:tcW w:w="12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应享受范围覆盖率</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≥90%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≥80%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≥70%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＜70%</w:t>
            </w:r>
          </w:p>
        </w:tc>
      </w:tr>
    </w:tbl>
    <w:p>
      <w:pPr>
        <w:spacing w:line="584" w:lineRule="exact"/>
        <w:jc w:val="center"/>
        <w:outlineLvl w:val="0"/>
        <w:rPr>
          <w:rFonts w:ascii="Times New Roman" w:hAnsi="Times New Roman" w:eastAsia="仿宋_GB2312" w:cs="Times New Roman"/>
          <w:b/>
          <w:sz w:val="32"/>
        </w:rPr>
      </w:pPr>
    </w:p>
    <w:bookmarkEnd w:id="0"/>
    <w:p>
      <w:pPr>
        <w:autoSpaceDE w:val="0"/>
        <w:autoSpaceDN w:val="0"/>
        <w:adjustRightInd w:val="0"/>
        <w:spacing w:line="584" w:lineRule="exact"/>
        <w:ind w:firstLine="640" w:firstLineChars="200"/>
        <w:jc w:val="left"/>
        <w:rPr>
          <w:rFonts w:ascii="Times New Roman" w:hAnsi="黑体" w:eastAsia="黑体" w:cs="Times New Roman"/>
          <w:sz w:val="32"/>
          <w:szCs w:val="32"/>
        </w:rPr>
      </w:pPr>
    </w:p>
    <w:p>
      <w:pPr>
        <w:autoSpaceDE w:val="0"/>
        <w:autoSpaceDN w:val="0"/>
        <w:adjustRightInd w:val="0"/>
        <w:spacing w:line="584" w:lineRule="exact"/>
        <w:ind w:firstLine="640" w:firstLineChars="200"/>
        <w:jc w:val="left"/>
        <w:rPr>
          <w:rFonts w:ascii="Times New Roman" w:hAnsi="黑体" w:eastAsia="黑体" w:cs="Times New Roman"/>
          <w:sz w:val="32"/>
          <w:szCs w:val="32"/>
        </w:rPr>
      </w:pPr>
    </w:p>
    <w:p>
      <w:pPr>
        <w:autoSpaceDE w:val="0"/>
        <w:autoSpaceDN w:val="0"/>
        <w:adjustRightInd w:val="0"/>
        <w:spacing w:line="584" w:lineRule="exact"/>
        <w:ind w:firstLine="640" w:firstLineChars="200"/>
        <w:jc w:val="left"/>
        <w:rPr>
          <w:rFonts w:ascii="Times New Roman" w:hAnsi="黑体" w:eastAsia="黑体" w:cs="Times New Roman"/>
          <w:sz w:val="32"/>
          <w:szCs w:val="32"/>
        </w:rPr>
      </w:pPr>
    </w:p>
    <w:p>
      <w:pPr>
        <w:autoSpaceDE w:val="0"/>
        <w:autoSpaceDN w:val="0"/>
        <w:adjustRightInd w:val="0"/>
        <w:spacing w:line="584" w:lineRule="exact"/>
        <w:ind w:firstLine="640" w:firstLineChars="200"/>
        <w:jc w:val="left"/>
        <w:rPr>
          <w:rFonts w:ascii="Times New Roman" w:hAnsi="黑体" w:eastAsia="黑体" w:cs="Times New Roman"/>
          <w:sz w:val="32"/>
          <w:szCs w:val="32"/>
        </w:rPr>
      </w:pPr>
    </w:p>
    <w:p>
      <w:pPr>
        <w:autoSpaceDE w:val="0"/>
        <w:autoSpaceDN w:val="0"/>
        <w:adjustRightInd w:val="0"/>
        <w:spacing w:line="584" w:lineRule="exact"/>
        <w:ind w:firstLine="640" w:firstLineChars="200"/>
        <w:jc w:val="left"/>
        <w:rPr>
          <w:rFonts w:ascii="Times New Roman" w:hAnsi="黑体"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六、政府采购预算情况</w:t>
      </w:r>
    </w:p>
    <w:p>
      <w:pPr>
        <w:spacing w:line="584" w:lineRule="exact"/>
        <w:ind w:firstLine="640" w:firstLineChars="200"/>
        <w:outlineLvl w:val="0"/>
        <w:rPr>
          <w:rFonts w:ascii="Times New Roman" w:hAnsi="Times New Roman" w:eastAsia="仿宋_GB2312" w:cs="Times New Roman"/>
          <w:sz w:val="32"/>
          <w:szCs w:val="24"/>
        </w:rPr>
      </w:pPr>
      <w:bookmarkStart w:id="2" w:name="_Toc471398468"/>
      <w:r>
        <w:rPr>
          <w:rFonts w:ascii="Times New Roman" w:hAnsi="Times New Roman" w:eastAsia="仿宋_GB2312" w:cs="Times New Roman"/>
          <w:sz w:val="32"/>
          <w:szCs w:val="24"/>
        </w:rPr>
        <w:t>201</w:t>
      </w:r>
      <w:r>
        <w:rPr>
          <w:rFonts w:hint="eastAsia" w:ascii="Times New Roman" w:hAnsi="Times New Roman" w:eastAsia="仿宋_GB2312" w:cs="Times New Roman"/>
          <w:sz w:val="32"/>
          <w:szCs w:val="24"/>
        </w:rPr>
        <w:t>9</w:t>
      </w:r>
      <w:r>
        <w:rPr>
          <w:rFonts w:ascii="Times New Roman" w:hAnsi="Times New Roman" w:eastAsia="仿宋_GB2312" w:cs="Times New Roman"/>
          <w:sz w:val="32"/>
          <w:szCs w:val="24"/>
        </w:rPr>
        <w:t>年，我部门安排政府采购预算</w:t>
      </w:r>
      <w:r>
        <w:rPr>
          <w:rFonts w:hint="eastAsia" w:ascii="Times New Roman" w:hAnsi="Times New Roman" w:eastAsia="仿宋_GB2312" w:cs="Times New Roman"/>
          <w:sz w:val="32"/>
          <w:szCs w:val="24"/>
        </w:rPr>
        <w:t>6</w:t>
      </w:r>
      <w:r>
        <w:rPr>
          <w:rFonts w:ascii="Times New Roman" w:hAnsi="Times New Roman" w:eastAsia="仿宋_GB2312" w:cs="Times New Roman"/>
          <w:sz w:val="32"/>
          <w:szCs w:val="24"/>
        </w:rPr>
        <w:t>万元。具体内容见下表。</w:t>
      </w:r>
    </w:p>
    <w:bookmarkEnd w:id="2"/>
    <w:p>
      <w:pPr>
        <w:spacing w:line="584" w:lineRule="exact"/>
        <w:jc w:val="center"/>
        <w:outlineLvl w:val="0"/>
        <w:rPr>
          <w:rFonts w:ascii="Times New Roman" w:hAnsi="Times New Roman" w:eastAsia="仿宋_GB2312" w:cs="Times New Roman"/>
          <w:sz w:val="32"/>
        </w:rPr>
      </w:pPr>
      <w:bookmarkStart w:id="3" w:name="_Toc504489153"/>
      <w:r>
        <w:rPr>
          <w:rFonts w:ascii="Times New Roman" w:hAnsi="Times New Roman" w:eastAsia="仿宋_GB2312" w:cs="Times New Roman"/>
          <w:sz w:val="32"/>
        </w:rPr>
        <w:t>部门政府采购预算</w:t>
      </w:r>
      <w:bookmarkEnd w:id="3"/>
    </w:p>
    <w:tbl>
      <w:tblPr>
        <w:tblStyle w:val="8"/>
        <w:tblW w:w="1456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6"/>
        <w:gridCol w:w="1057"/>
        <w:gridCol w:w="932"/>
        <w:gridCol w:w="1372"/>
        <w:gridCol w:w="720"/>
        <w:gridCol w:w="740"/>
        <w:gridCol w:w="950"/>
        <w:gridCol w:w="956"/>
        <w:gridCol w:w="956"/>
        <w:gridCol w:w="956"/>
        <w:gridCol w:w="790"/>
        <w:gridCol w:w="924"/>
        <w:gridCol w:w="929"/>
        <w:gridCol w:w="88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177" w:type="dxa"/>
            <w:gridSpan w:val="7"/>
            <w:tcBorders>
              <w:top w:val="single" w:color="FFFFFF" w:sz="6" w:space="0"/>
              <w:left w:val="single" w:color="FFFFFF" w:sz="6" w:space="0"/>
              <w:right w:val="single" w:color="FFFFFF" w:sz="6" w:space="0"/>
            </w:tcBorders>
            <w:shd w:val="clear" w:color="auto" w:fill="auto"/>
            <w:vAlign w:val="center"/>
          </w:tcPr>
          <w:p>
            <w:pPr>
              <w:spacing w:line="584" w:lineRule="exact"/>
              <w:jc w:val="left"/>
              <w:rPr>
                <w:rFonts w:ascii="Times New Roman" w:hAnsi="Times New Roman" w:eastAsia="仿宋_GB2312" w:cs="Times New Roman"/>
                <w:sz w:val="24"/>
              </w:rPr>
            </w:pPr>
            <w:r>
              <w:rPr>
                <w:rFonts w:hint="eastAsia" w:ascii="Times New Roman" w:hAnsi="Times New Roman" w:eastAsia="仿宋_GB2312" w:cs="Times New Roman"/>
                <w:sz w:val="24"/>
              </w:rPr>
              <w:t>914廊坊市广阳区南尖塔镇人民政府</w:t>
            </w:r>
          </w:p>
        </w:tc>
        <w:tc>
          <w:tcPr>
            <w:tcW w:w="6391" w:type="dxa"/>
            <w:gridSpan w:val="7"/>
            <w:tcBorders>
              <w:top w:val="single" w:color="FFFFFF" w:sz="6" w:space="0"/>
              <w:left w:val="single" w:color="FFFFFF" w:sz="6" w:space="0"/>
              <w:right w:val="single" w:color="FFFFFF" w:sz="6" w:space="0"/>
            </w:tcBorders>
            <w:shd w:val="clear" w:color="auto" w:fill="auto"/>
            <w:vAlign w:val="center"/>
          </w:tcPr>
          <w:p>
            <w:pPr>
              <w:spacing w:line="584" w:lineRule="exact"/>
              <w:jc w:val="right"/>
              <w:rPr>
                <w:rFonts w:ascii="Times New Roman" w:hAnsi="Times New Roman" w:eastAsia="仿宋_GB2312" w:cs="Times New Roman"/>
                <w:sz w:val="24"/>
              </w:rPr>
            </w:pPr>
            <w:r>
              <w:rPr>
                <w:rFonts w:ascii="Times New Roman" w:hAnsi="Times New Roman" w:eastAsia="仿宋_GB2312" w:cs="Times New Roman"/>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3463" w:type="dxa"/>
            <w:gridSpan w:val="2"/>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政府采购项目来源</w:t>
            </w:r>
          </w:p>
        </w:tc>
        <w:tc>
          <w:tcPr>
            <w:tcW w:w="932" w:type="dxa"/>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采购物品名称</w:t>
            </w:r>
          </w:p>
        </w:tc>
        <w:tc>
          <w:tcPr>
            <w:tcW w:w="1372" w:type="dxa"/>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政府采购目录序号</w:t>
            </w:r>
          </w:p>
        </w:tc>
        <w:tc>
          <w:tcPr>
            <w:tcW w:w="720" w:type="dxa"/>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数量单位</w:t>
            </w:r>
          </w:p>
        </w:tc>
        <w:tc>
          <w:tcPr>
            <w:tcW w:w="740" w:type="dxa"/>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数量</w:t>
            </w:r>
          </w:p>
        </w:tc>
        <w:tc>
          <w:tcPr>
            <w:tcW w:w="950" w:type="dxa"/>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单价</w:t>
            </w:r>
          </w:p>
        </w:tc>
        <w:tc>
          <w:tcPr>
            <w:tcW w:w="6391" w:type="dxa"/>
            <w:gridSpan w:val="7"/>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406" w:type="dxa"/>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项目名称</w:t>
            </w:r>
          </w:p>
        </w:tc>
        <w:tc>
          <w:tcPr>
            <w:tcW w:w="1057" w:type="dxa"/>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预算资金</w:t>
            </w:r>
          </w:p>
        </w:tc>
        <w:tc>
          <w:tcPr>
            <w:tcW w:w="932" w:type="dxa"/>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1372" w:type="dxa"/>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720" w:type="dxa"/>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740" w:type="dxa"/>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950" w:type="dxa"/>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956" w:type="dxa"/>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总计</w:t>
            </w:r>
          </w:p>
        </w:tc>
        <w:tc>
          <w:tcPr>
            <w:tcW w:w="4555" w:type="dxa"/>
            <w:gridSpan w:val="5"/>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当年部门预算安排资金</w:t>
            </w:r>
          </w:p>
        </w:tc>
        <w:tc>
          <w:tcPr>
            <w:tcW w:w="880" w:type="dxa"/>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2406" w:type="dxa"/>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1057" w:type="dxa"/>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932" w:type="dxa"/>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1372" w:type="dxa"/>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720" w:type="dxa"/>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740" w:type="dxa"/>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950" w:type="dxa"/>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956" w:type="dxa"/>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956"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合计</w:t>
            </w:r>
          </w:p>
        </w:tc>
        <w:tc>
          <w:tcPr>
            <w:tcW w:w="956"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一般公共预算拨款</w:t>
            </w:r>
          </w:p>
        </w:tc>
        <w:tc>
          <w:tcPr>
            <w:tcW w:w="790"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基金预算拨款</w:t>
            </w:r>
          </w:p>
        </w:tc>
        <w:tc>
          <w:tcPr>
            <w:tcW w:w="924"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财政专户核拨</w:t>
            </w:r>
          </w:p>
        </w:tc>
        <w:tc>
          <w:tcPr>
            <w:tcW w:w="929"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其他来源收入</w:t>
            </w:r>
          </w:p>
        </w:tc>
        <w:tc>
          <w:tcPr>
            <w:tcW w:w="880" w:type="dxa"/>
            <w:vMerge w:val="continue"/>
            <w:shd w:val="clear" w:color="auto" w:fill="auto"/>
            <w:vAlign w:val="center"/>
          </w:tcPr>
          <w:p>
            <w:pPr>
              <w:spacing w:line="584" w:lineRule="exact"/>
              <w:jc w:val="left"/>
              <w:outlineLvl w:val="0"/>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406"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合　计</w:t>
            </w:r>
          </w:p>
        </w:tc>
        <w:tc>
          <w:tcPr>
            <w:tcW w:w="1057" w:type="dxa"/>
            <w:shd w:val="clear" w:color="auto" w:fill="auto"/>
            <w:vAlign w:val="center"/>
          </w:tcPr>
          <w:p>
            <w:pPr>
              <w:spacing w:line="584" w:lineRule="exact"/>
              <w:jc w:val="right"/>
              <w:rPr>
                <w:rFonts w:ascii="Times New Roman" w:hAnsi="Times New Roman" w:eastAsia="仿宋_GB2312" w:cs="Times New Roman"/>
                <w:b/>
              </w:rPr>
            </w:pPr>
            <w:r>
              <w:rPr>
                <w:rFonts w:hint="eastAsia" w:ascii="Times New Roman" w:hAnsi="Times New Roman" w:eastAsia="仿宋_GB2312" w:cs="Times New Roman"/>
                <w:b/>
              </w:rPr>
              <w:t>6</w:t>
            </w:r>
          </w:p>
        </w:tc>
        <w:tc>
          <w:tcPr>
            <w:tcW w:w="932" w:type="dxa"/>
            <w:shd w:val="clear" w:color="auto" w:fill="auto"/>
            <w:vAlign w:val="center"/>
          </w:tcPr>
          <w:p>
            <w:pPr>
              <w:spacing w:line="584" w:lineRule="exact"/>
              <w:jc w:val="left"/>
              <w:rPr>
                <w:rFonts w:ascii="Times New Roman" w:hAnsi="Times New Roman" w:eastAsia="仿宋_GB2312" w:cs="Times New Roman"/>
                <w:b/>
              </w:rPr>
            </w:pPr>
          </w:p>
        </w:tc>
        <w:tc>
          <w:tcPr>
            <w:tcW w:w="1372" w:type="dxa"/>
            <w:shd w:val="clear" w:color="auto" w:fill="auto"/>
            <w:vAlign w:val="center"/>
          </w:tcPr>
          <w:p>
            <w:pPr>
              <w:spacing w:line="584" w:lineRule="exact"/>
              <w:jc w:val="left"/>
              <w:rPr>
                <w:rFonts w:ascii="Times New Roman" w:hAnsi="Times New Roman" w:eastAsia="仿宋_GB2312" w:cs="Times New Roman"/>
                <w:b/>
              </w:rPr>
            </w:pPr>
          </w:p>
        </w:tc>
        <w:tc>
          <w:tcPr>
            <w:tcW w:w="720" w:type="dxa"/>
            <w:shd w:val="clear" w:color="auto" w:fill="auto"/>
            <w:vAlign w:val="center"/>
          </w:tcPr>
          <w:p>
            <w:pPr>
              <w:spacing w:line="584" w:lineRule="exact"/>
              <w:jc w:val="left"/>
              <w:rPr>
                <w:rFonts w:ascii="Times New Roman" w:hAnsi="Times New Roman" w:eastAsia="仿宋_GB2312" w:cs="Times New Roman"/>
                <w:b/>
              </w:rPr>
            </w:pPr>
          </w:p>
        </w:tc>
        <w:tc>
          <w:tcPr>
            <w:tcW w:w="740" w:type="dxa"/>
            <w:shd w:val="clear" w:color="auto" w:fill="auto"/>
            <w:vAlign w:val="center"/>
          </w:tcPr>
          <w:p>
            <w:pPr>
              <w:spacing w:line="584" w:lineRule="exact"/>
              <w:jc w:val="right"/>
              <w:rPr>
                <w:rFonts w:ascii="Times New Roman" w:hAnsi="Times New Roman" w:eastAsia="仿宋_GB2312" w:cs="Times New Roman"/>
                <w:b/>
              </w:rPr>
            </w:pPr>
          </w:p>
        </w:tc>
        <w:tc>
          <w:tcPr>
            <w:tcW w:w="950" w:type="dxa"/>
            <w:shd w:val="clear" w:color="auto" w:fill="auto"/>
            <w:vAlign w:val="center"/>
          </w:tcPr>
          <w:p>
            <w:pPr>
              <w:spacing w:line="584" w:lineRule="exact"/>
              <w:jc w:val="right"/>
              <w:rPr>
                <w:rFonts w:ascii="Times New Roman" w:hAnsi="Times New Roman" w:eastAsia="仿宋_GB2312" w:cs="Times New Roman"/>
                <w:b/>
              </w:rPr>
            </w:pPr>
          </w:p>
        </w:tc>
        <w:tc>
          <w:tcPr>
            <w:tcW w:w="956" w:type="dxa"/>
            <w:shd w:val="clear" w:color="auto" w:fill="auto"/>
            <w:vAlign w:val="center"/>
          </w:tcPr>
          <w:p>
            <w:pPr>
              <w:spacing w:line="584" w:lineRule="exact"/>
              <w:jc w:val="right"/>
              <w:rPr>
                <w:rFonts w:ascii="Times New Roman" w:hAnsi="Times New Roman" w:eastAsia="仿宋_GB2312" w:cs="Times New Roman"/>
                <w:b/>
              </w:rPr>
            </w:pPr>
            <w:r>
              <w:rPr>
                <w:rFonts w:hint="eastAsia" w:ascii="Times New Roman" w:hAnsi="Times New Roman" w:eastAsia="仿宋_GB2312" w:cs="Times New Roman"/>
                <w:b/>
              </w:rPr>
              <w:t>6</w:t>
            </w:r>
          </w:p>
        </w:tc>
        <w:tc>
          <w:tcPr>
            <w:tcW w:w="956" w:type="dxa"/>
            <w:shd w:val="clear" w:color="auto" w:fill="auto"/>
            <w:vAlign w:val="center"/>
          </w:tcPr>
          <w:p>
            <w:pPr>
              <w:spacing w:line="584" w:lineRule="exact"/>
              <w:jc w:val="right"/>
              <w:rPr>
                <w:rFonts w:ascii="Times New Roman" w:hAnsi="Times New Roman" w:eastAsia="仿宋_GB2312" w:cs="Times New Roman"/>
                <w:b/>
              </w:rPr>
            </w:pPr>
            <w:r>
              <w:rPr>
                <w:rFonts w:hint="eastAsia" w:ascii="Times New Roman" w:hAnsi="Times New Roman" w:eastAsia="仿宋_GB2312" w:cs="Times New Roman"/>
                <w:b/>
              </w:rPr>
              <w:t>6</w:t>
            </w:r>
          </w:p>
        </w:tc>
        <w:tc>
          <w:tcPr>
            <w:tcW w:w="956" w:type="dxa"/>
            <w:shd w:val="clear" w:color="auto" w:fill="auto"/>
            <w:vAlign w:val="center"/>
          </w:tcPr>
          <w:p>
            <w:pPr>
              <w:spacing w:line="584" w:lineRule="exact"/>
              <w:jc w:val="right"/>
              <w:rPr>
                <w:rFonts w:ascii="Times New Roman" w:hAnsi="Times New Roman" w:eastAsia="仿宋_GB2312" w:cs="Times New Roman"/>
                <w:b/>
              </w:rPr>
            </w:pPr>
            <w:r>
              <w:rPr>
                <w:rFonts w:hint="eastAsia" w:ascii="Times New Roman" w:hAnsi="Times New Roman" w:eastAsia="仿宋_GB2312" w:cs="Times New Roman"/>
                <w:b/>
              </w:rPr>
              <w:t>6</w:t>
            </w:r>
          </w:p>
        </w:tc>
        <w:tc>
          <w:tcPr>
            <w:tcW w:w="790" w:type="dxa"/>
            <w:shd w:val="clear" w:color="auto" w:fill="auto"/>
            <w:vAlign w:val="center"/>
          </w:tcPr>
          <w:p>
            <w:pPr>
              <w:spacing w:line="584" w:lineRule="exact"/>
              <w:jc w:val="right"/>
              <w:rPr>
                <w:rFonts w:ascii="Times New Roman" w:hAnsi="Times New Roman" w:eastAsia="仿宋_GB2312" w:cs="Times New Roman"/>
                <w:b/>
              </w:rPr>
            </w:pPr>
          </w:p>
        </w:tc>
        <w:tc>
          <w:tcPr>
            <w:tcW w:w="924" w:type="dxa"/>
            <w:shd w:val="clear" w:color="auto" w:fill="auto"/>
            <w:vAlign w:val="center"/>
          </w:tcPr>
          <w:p>
            <w:pPr>
              <w:spacing w:line="584" w:lineRule="exact"/>
              <w:jc w:val="right"/>
              <w:rPr>
                <w:rFonts w:ascii="Times New Roman" w:hAnsi="Times New Roman" w:eastAsia="仿宋_GB2312" w:cs="Times New Roman"/>
                <w:b/>
              </w:rPr>
            </w:pPr>
          </w:p>
        </w:tc>
        <w:tc>
          <w:tcPr>
            <w:tcW w:w="929" w:type="dxa"/>
            <w:shd w:val="clear" w:color="auto" w:fill="auto"/>
            <w:vAlign w:val="center"/>
          </w:tcPr>
          <w:p>
            <w:pPr>
              <w:spacing w:line="584" w:lineRule="exact"/>
              <w:jc w:val="right"/>
              <w:rPr>
                <w:rFonts w:ascii="Times New Roman" w:hAnsi="Times New Roman" w:eastAsia="仿宋_GB2312" w:cs="Times New Roman"/>
                <w:b/>
              </w:rPr>
            </w:pPr>
          </w:p>
        </w:tc>
        <w:tc>
          <w:tcPr>
            <w:tcW w:w="880" w:type="dxa"/>
            <w:shd w:val="clear" w:color="auto" w:fill="auto"/>
            <w:vAlign w:val="center"/>
          </w:tcPr>
          <w:p>
            <w:pPr>
              <w:spacing w:line="584" w:lineRule="exact"/>
              <w:jc w:val="right"/>
              <w:rPr>
                <w:rFonts w:ascii="Times New Roman" w:hAnsi="Times New Roman" w:eastAsia="仿宋_GB2312"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406" w:type="dxa"/>
            <w:shd w:val="clear" w:color="auto" w:fill="auto"/>
            <w:vAlign w:val="center"/>
          </w:tcPr>
          <w:p>
            <w:pPr>
              <w:spacing w:line="584" w:lineRule="exact"/>
              <w:jc w:val="center"/>
              <w:rPr>
                <w:rFonts w:ascii="Times New Roman" w:hAnsi="Times New Roman" w:eastAsia="仿宋_GB2312" w:cs="Times New Roman"/>
              </w:rPr>
            </w:pPr>
            <w:r>
              <w:rPr>
                <w:rFonts w:hint="eastAsia" w:ascii="Times New Roman" w:hAnsi="Times New Roman" w:eastAsia="仿宋_GB2312" w:cs="Times New Roman"/>
              </w:rPr>
              <w:t>办公费</w:t>
            </w:r>
          </w:p>
        </w:tc>
        <w:tc>
          <w:tcPr>
            <w:tcW w:w="1057" w:type="dxa"/>
            <w:shd w:val="clear" w:color="auto" w:fill="auto"/>
            <w:vAlign w:val="center"/>
          </w:tcPr>
          <w:p>
            <w:pPr>
              <w:spacing w:line="584" w:lineRule="exact"/>
              <w:jc w:val="right"/>
              <w:rPr>
                <w:rFonts w:ascii="Times New Roman" w:hAnsi="Times New Roman" w:eastAsia="仿宋_GB2312" w:cs="Times New Roman"/>
              </w:rPr>
            </w:pPr>
            <w:r>
              <w:rPr>
                <w:rFonts w:hint="eastAsia" w:ascii="Times New Roman" w:hAnsi="Times New Roman" w:eastAsia="仿宋_GB2312" w:cs="Times New Roman"/>
              </w:rPr>
              <w:t>2.4</w:t>
            </w:r>
          </w:p>
        </w:tc>
        <w:tc>
          <w:tcPr>
            <w:tcW w:w="932" w:type="dxa"/>
            <w:shd w:val="clear" w:color="auto" w:fill="auto"/>
            <w:vAlign w:val="center"/>
          </w:tcPr>
          <w:p>
            <w:pPr>
              <w:spacing w:line="584" w:lineRule="exact"/>
              <w:jc w:val="left"/>
              <w:rPr>
                <w:rFonts w:ascii="Times New Roman" w:hAnsi="Times New Roman" w:eastAsia="仿宋_GB2312" w:cs="Times New Roman"/>
              </w:rPr>
            </w:pPr>
            <w:r>
              <w:rPr>
                <w:rFonts w:hint="eastAsia" w:ascii="Times New Roman" w:hAnsi="Times New Roman" w:eastAsia="仿宋_GB2312" w:cs="Times New Roman"/>
              </w:rPr>
              <w:t>电脑</w:t>
            </w:r>
          </w:p>
        </w:tc>
        <w:tc>
          <w:tcPr>
            <w:tcW w:w="1372" w:type="dxa"/>
            <w:shd w:val="clear" w:color="auto" w:fill="auto"/>
            <w:vAlign w:val="center"/>
          </w:tcPr>
          <w:p>
            <w:pPr>
              <w:spacing w:line="584" w:lineRule="exact"/>
              <w:jc w:val="left"/>
              <w:rPr>
                <w:rFonts w:ascii="Times New Roman" w:hAnsi="Times New Roman" w:eastAsia="仿宋_GB2312" w:cs="Times New Roman"/>
              </w:rPr>
            </w:pPr>
            <w:r>
              <w:rPr>
                <w:rFonts w:hint="eastAsia" w:ascii="Times New Roman" w:hAnsi="Times New Roman" w:eastAsia="仿宋_GB2312" w:cs="Times New Roman"/>
              </w:rPr>
              <w:t>A020101</w:t>
            </w:r>
          </w:p>
        </w:tc>
        <w:tc>
          <w:tcPr>
            <w:tcW w:w="720" w:type="dxa"/>
            <w:shd w:val="clear" w:color="auto" w:fill="auto"/>
            <w:vAlign w:val="center"/>
          </w:tcPr>
          <w:p>
            <w:pPr>
              <w:spacing w:line="584" w:lineRule="exact"/>
              <w:jc w:val="left"/>
              <w:rPr>
                <w:rFonts w:ascii="Times New Roman" w:hAnsi="Times New Roman" w:eastAsia="仿宋_GB2312" w:cs="Times New Roman"/>
              </w:rPr>
            </w:pPr>
            <w:r>
              <w:rPr>
                <w:rFonts w:hint="eastAsia" w:ascii="Times New Roman" w:hAnsi="Times New Roman" w:eastAsia="仿宋_GB2312" w:cs="Times New Roman"/>
              </w:rPr>
              <w:t>台</w:t>
            </w:r>
          </w:p>
        </w:tc>
        <w:tc>
          <w:tcPr>
            <w:tcW w:w="740" w:type="dxa"/>
            <w:shd w:val="clear" w:color="auto" w:fill="auto"/>
            <w:vAlign w:val="center"/>
          </w:tcPr>
          <w:p>
            <w:pPr>
              <w:spacing w:line="584" w:lineRule="exact"/>
              <w:jc w:val="right"/>
              <w:rPr>
                <w:rFonts w:ascii="Times New Roman" w:hAnsi="Times New Roman" w:eastAsia="仿宋_GB2312" w:cs="Times New Roman"/>
              </w:rPr>
            </w:pPr>
            <w:r>
              <w:rPr>
                <w:rFonts w:hint="eastAsia" w:ascii="Times New Roman" w:hAnsi="Times New Roman" w:eastAsia="仿宋_GB2312" w:cs="Times New Roman"/>
              </w:rPr>
              <w:t>6</w:t>
            </w:r>
          </w:p>
        </w:tc>
        <w:tc>
          <w:tcPr>
            <w:tcW w:w="950" w:type="dxa"/>
            <w:shd w:val="clear" w:color="auto" w:fill="auto"/>
            <w:vAlign w:val="center"/>
          </w:tcPr>
          <w:p>
            <w:pPr>
              <w:spacing w:line="584" w:lineRule="exact"/>
              <w:jc w:val="right"/>
              <w:rPr>
                <w:rFonts w:ascii="Times New Roman" w:hAnsi="Times New Roman" w:eastAsia="仿宋_GB2312" w:cs="Times New Roman"/>
              </w:rPr>
            </w:pPr>
            <w:r>
              <w:rPr>
                <w:rFonts w:hint="eastAsia" w:ascii="Times New Roman" w:hAnsi="Times New Roman" w:eastAsia="仿宋_GB2312" w:cs="Times New Roman"/>
              </w:rPr>
              <w:t>0.4</w:t>
            </w:r>
          </w:p>
        </w:tc>
        <w:tc>
          <w:tcPr>
            <w:tcW w:w="956" w:type="dxa"/>
            <w:shd w:val="clear" w:color="auto" w:fill="auto"/>
            <w:vAlign w:val="center"/>
          </w:tcPr>
          <w:p>
            <w:pPr>
              <w:spacing w:line="584" w:lineRule="exact"/>
              <w:jc w:val="right"/>
              <w:rPr>
                <w:rFonts w:ascii="Times New Roman" w:hAnsi="Times New Roman" w:eastAsia="仿宋_GB2312" w:cs="Times New Roman"/>
              </w:rPr>
            </w:pPr>
            <w:r>
              <w:rPr>
                <w:rFonts w:hint="eastAsia" w:ascii="Times New Roman" w:hAnsi="Times New Roman" w:eastAsia="仿宋_GB2312" w:cs="Times New Roman"/>
              </w:rPr>
              <w:t>2.4</w:t>
            </w:r>
          </w:p>
        </w:tc>
        <w:tc>
          <w:tcPr>
            <w:tcW w:w="956" w:type="dxa"/>
            <w:shd w:val="clear" w:color="auto" w:fill="auto"/>
            <w:vAlign w:val="center"/>
          </w:tcPr>
          <w:p>
            <w:pPr>
              <w:spacing w:line="584" w:lineRule="exact"/>
              <w:jc w:val="right"/>
              <w:rPr>
                <w:rFonts w:ascii="Times New Roman" w:hAnsi="Times New Roman" w:eastAsia="仿宋_GB2312" w:cs="Times New Roman"/>
              </w:rPr>
            </w:pPr>
            <w:r>
              <w:rPr>
                <w:rFonts w:hint="eastAsia" w:ascii="Times New Roman" w:hAnsi="Times New Roman" w:eastAsia="仿宋_GB2312" w:cs="Times New Roman"/>
              </w:rPr>
              <w:t>2.4</w:t>
            </w:r>
          </w:p>
        </w:tc>
        <w:tc>
          <w:tcPr>
            <w:tcW w:w="956" w:type="dxa"/>
            <w:shd w:val="clear" w:color="auto" w:fill="auto"/>
            <w:vAlign w:val="center"/>
          </w:tcPr>
          <w:p>
            <w:pPr>
              <w:spacing w:line="584" w:lineRule="exact"/>
              <w:jc w:val="right"/>
              <w:rPr>
                <w:rFonts w:ascii="Times New Roman" w:hAnsi="Times New Roman" w:eastAsia="仿宋_GB2312" w:cs="Times New Roman"/>
              </w:rPr>
            </w:pPr>
            <w:r>
              <w:rPr>
                <w:rFonts w:hint="eastAsia" w:ascii="Times New Roman" w:hAnsi="Times New Roman" w:eastAsia="仿宋_GB2312" w:cs="Times New Roman"/>
              </w:rPr>
              <w:t>2.4</w:t>
            </w:r>
          </w:p>
        </w:tc>
        <w:tc>
          <w:tcPr>
            <w:tcW w:w="790" w:type="dxa"/>
            <w:shd w:val="clear" w:color="auto" w:fill="auto"/>
            <w:vAlign w:val="center"/>
          </w:tcPr>
          <w:p>
            <w:pPr>
              <w:spacing w:line="584" w:lineRule="exact"/>
              <w:jc w:val="right"/>
              <w:rPr>
                <w:rFonts w:ascii="Times New Roman" w:hAnsi="Times New Roman" w:eastAsia="仿宋_GB2312" w:cs="Times New Roman"/>
                <w:b/>
              </w:rPr>
            </w:pPr>
          </w:p>
        </w:tc>
        <w:tc>
          <w:tcPr>
            <w:tcW w:w="924" w:type="dxa"/>
            <w:shd w:val="clear" w:color="auto" w:fill="auto"/>
            <w:vAlign w:val="center"/>
          </w:tcPr>
          <w:p>
            <w:pPr>
              <w:spacing w:line="584" w:lineRule="exact"/>
              <w:jc w:val="right"/>
              <w:rPr>
                <w:rFonts w:ascii="Times New Roman" w:hAnsi="Times New Roman" w:eastAsia="仿宋_GB2312" w:cs="Times New Roman"/>
                <w:b/>
              </w:rPr>
            </w:pPr>
          </w:p>
        </w:tc>
        <w:tc>
          <w:tcPr>
            <w:tcW w:w="929" w:type="dxa"/>
            <w:shd w:val="clear" w:color="auto" w:fill="auto"/>
            <w:vAlign w:val="center"/>
          </w:tcPr>
          <w:p>
            <w:pPr>
              <w:spacing w:line="584" w:lineRule="exact"/>
              <w:jc w:val="right"/>
              <w:rPr>
                <w:rFonts w:ascii="Times New Roman" w:hAnsi="Times New Roman" w:eastAsia="仿宋_GB2312" w:cs="Times New Roman"/>
                <w:b/>
              </w:rPr>
            </w:pPr>
          </w:p>
        </w:tc>
        <w:tc>
          <w:tcPr>
            <w:tcW w:w="880" w:type="dxa"/>
            <w:shd w:val="clear" w:color="auto" w:fill="auto"/>
            <w:vAlign w:val="center"/>
          </w:tcPr>
          <w:p>
            <w:pPr>
              <w:spacing w:line="584" w:lineRule="exact"/>
              <w:jc w:val="right"/>
              <w:rPr>
                <w:rFonts w:ascii="Times New Roman" w:hAnsi="Times New Roman" w:eastAsia="仿宋_GB2312"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406" w:type="dxa"/>
            <w:shd w:val="clear" w:color="auto" w:fill="auto"/>
            <w:vAlign w:val="center"/>
          </w:tcPr>
          <w:p>
            <w:pPr>
              <w:spacing w:line="584" w:lineRule="exact"/>
              <w:jc w:val="center"/>
              <w:rPr>
                <w:rFonts w:ascii="Times New Roman" w:hAnsi="Times New Roman" w:eastAsia="仿宋_GB2312" w:cs="Times New Roman"/>
              </w:rPr>
            </w:pPr>
            <w:r>
              <w:rPr>
                <w:rFonts w:hint="eastAsia" w:ascii="Times New Roman" w:hAnsi="Times New Roman" w:eastAsia="仿宋_GB2312" w:cs="Times New Roman"/>
              </w:rPr>
              <w:t>办公费</w:t>
            </w:r>
          </w:p>
        </w:tc>
        <w:tc>
          <w:tcPr>
            <w:tcW w:w="1057" w:type="dxa"/>
            <w:shd w:val="clear" w:color="auto" w:fill="auto"/>
            <w:vAlign w:val="center"/>
          </w:tcPr>
          <w:p>
            <w:pPr>
              <w:spacing w:line="584" w:lineRule="exact"/>
              <w:jc w:val="right"/>
              <w:rPr>
                <w:rFonts w:ascii="Times New Roman" w:hAnsi="Times New Roman" w:eastAsia="仿宋_GB2312" w:cs="Times New Roman"/>
              </w:rPr>
            </w:pPr>
            <w:r>
              <w:rPr>
                <w:rFonts w:hint="eastAsia" w:ascii="Times New Roman" w:hAnsi="Times New Roman" w:eastAsia="仿宋_GB2312" w:cs="Times New Roman"/>
              </w:rPr>
              <w:t>1.8</w:t>
            </w:r>
          </w:p>
        </w:tc>
        <w:tc>
          <w:tcPr>
            <w:tcW w:w="932" w:type="dxa"/>
            <w:shd w:val="clear" w:color="auto" w:fill="auto"/>
            <w:vAlign w:val="center"/>
          </w:tcPr>
          <w:p>
            <w:pPr>
              <w:spacing w:line="584" w:lineRule="exact"/>
              <w:jc w:val="left"/>
              <w:rPr>
                <w:rFonts w:ascii="Times New Roman" w:hAnsi="Times New Roman" w:eastAsia="仿宋_GB2312" w:cs="Times New Roman"/>
              </w:rPr>
            </w:pPr>
            <w:r>
              <w:rPr>
                <w:rFonts w:hint="eastAsia" w:ascii="Times New Roman" w:hAnsi="Times New Roman" w:eastAsia="仿宋_GB2312" w:cs="Times New Roman"/>
              </w:rPr>
              <w:t>打印机</w:t>
            </w:r>
          </w:p>
        </w:tc>
        <w:tc>
          <w:tcPr>
            <w:tcW w:w="1372" w:type="dxa"/>
            <w:shd w:val="clear" w:color="auto" w:fill="auto"/>
            <w:vAlign w:val="center"/>
          </w:tcPr>
          <w:p>
            <w:pPr>
              <w:spacing w:line="584" w:lineRule="exact"/>
              <w:jc w:val="left"/>
              <w:rPr>
                <w:rFonts w:ascii="Times New Roman" w:hAnsi="Times New Roman" w:eastAsia="仿宋_GB2312" w:cs="Times New Roman"/>
              </w:rPr>
            </w:pPr>
            <w:r>
              <w:rPr>
                <w:rFonts w:hint="eastAsia" w:ascii="Times New Roman" w:hAnsi="Times New Roman" w:eastAsia="仿宋_GB2312" w:cs="Times New Roman"/>
              </w:rPr>
              <w:t>A02010601</w:t>
            </w:r>
          </w:p>
        </w:tc>
        <w:tc>
          <w:tcPr>
            <w:tcW w:w="720" w:type="dxa"/>
            <w:shd w:val="clear" w:color="auto" w:fill="auto"/>
            <w:vAlign w:val="center"/>
          </w:tcPr>
          <w:p>
            <w:pPr>
              <w:spacing w:line="584" w:lineRule="exact"/>
              <w:jc w:val="left"/>
              <w:rPr>
                <w:rFonts w:ascii="Times New Roman" w:hAnsi="Times New Roman" w:eastAsia="仿宋_GB2312" w:cs="Times New Roman"/>
              </w:rPr>
            </w:pPr>
            <w:r>
              <w:rPr>
                <w:rFonts w:hint="eastAsia" w:ascii="Times New Roman" w:hAnsi="Times New Roman" w:eastAsia="仿宋_GB2312" w:cs="Times New Roman"/>
              </w:rPr>
              <w:t>台</w:t>
            </w:r>
          </w:p>
        </w:tc>
        <w:tc>
          <w:tcPr>
            <w:tcW w:w="740" w:type="dxa"/>
            <w:shd w:val="clear" w:color="auto" w:fill="auto"/>
            <w:vAlign w:val="center"/>
          </w:tcPr>
          <w:p>
            <w:pPr>
              <w:spacing w:line="584" w:lineRule="exact"/>
              <w:jc w:val="right"/>
              <w:rPr>
                <w:rFonts w:ascii="Times New Roman" w:hAnsi="Times New Roman" w:eastAsia="仿宋_GB2312" w:cs="Times New Roman"/>
              </w:rPr>
            </w:pPr>
            <w:r>
              <w:rPr>
                <w:rFonts w:hint="eastAsia" w:ascii="Times New Roman" w:hAnsi="Times New Roman" w:eastAsia="仿宋_GB2312" w:cs="Times New Roman"/>
              </w:rPr>
              <w:t>6</w:t>
            </w:r>
          </w:p>
        </w:tc>
        <w:tc>
          <w:tcPr>
            <w:tcW w:w="950" w:type="dxa"/>
            <w:shd w:val="clear" w:color="auto" w:fill="auto"/>
            <w:vAlign w:val="center"/>
          </w:tcPr>
          <w:p>
            <w:pPr>
              <w:spacing w:line="584" w:lineRule="exact"/>
              <w:jc w:val="right"/>
              <w:rPr>
                <w:rFonts w:ascii="Times New Roman" w:hAnsi="Times New Roman" w:eastAsia="仿宋_GB2312" w:cs="Times New Roman"/>
              </w:rPr>
            </w:pPr>
            <w:r>
              <w:rPr>
                <w:rFonts w:hint="eastAsia" w:ascii="Times New Roman" w:hAnsi="Times New Roman" w:eastAsia="仿宋_GB2312" w:cs="Times New Roman"/>
              </w:rPr>
              <w:t>0.3</w:t>
            </w:r>
          </w:p>
        </w:tc>
        <w:tc>
          <w:tcPr>
            <w:tcW w:w="956" w:type="dxa"/>
            <w:shd w:val="clear" w:color="auto" w:fill="auto"/>
            <w:vAlign w:val="center"/>
          </w:tcPr>
          <w:p>
            <w:pPr>
              <w:spacing w:line="584" w:lineRule="exact"/>
              <w:jc w:val="right"/>
              <w:rPr>
                <w:rFonts w:ascii="Times New Roman" w:hAnsi="Times New Roman" w:eastAsia="仿宋_GB2312" w:cs="Times New Roman"/>
              </w:rPr>
            </w:pPr>
            <w:r>
              <w:rPr>
                <w:rFonts w:hint="eastAsia" w:ascii="Times New Roman" w:hAnsi="Times New Roman" w:eastAsia="仿宋_GB2312" w:cs="Times New Roman"/>
              </w:rPr>
              <w:t>1.8</w:t>
            </w:r>
          </w:p>
        </w:tc>
        <w:tc>
          <w:tcPr>
            <w:tcW w:w="956" w:type="dxa"/>
            <w:shd w:val="clear" w:color="auto" w:fill="auto"/>
            <w:vAlign w:val="center"/>
          </w:tcPr>
          <w:p>
            <w:pPr>
              <w:spacing w:line="584" w:lineRule="exact"/>
              <w:jc w:val="right"/>
              <w:rPr>
                <w:rFonts w:ascii="Times New Roman" w:hAnsi="Times New Roman" w:eastAsia="仿宋_GB2312" w:cs="Times New Roman"/>
              </w:rPr>
            </w:pPr>
            <w:r>
              <w:rPr>
                <w:rFonts w:hint="eastAsia" w:ascii="Times New Roman" w:hAnsi="Times New Roman" w:eastAsia="仿宋_GB2312" w:cs="Times New Roman"/>
              </w:rPr>
              <w:t>1.8</w:t>
            </w:r>
          </w:p>
        </w:tc>
        <w:tc>
          <w:tcPr>
            <w:tcW w:w="956" w:type="dxa"/>
            <w:shd w:val="clear" w:color="auto" w:fill="auto"/>
            <w:vAlign w:val="center"/>
          </w:tcPr>
          <w:p>
            <w:pPr>
              <w:spacing w:line="584" w:lineRule="exact"/>
              <w:jc w:val="right"/>
              <w:rPr>
                <w:rFonts w:ascii="Times New Roman" w:hAnsi="Times New Roman" w:eastAsia="仿宋_GB2312" w:cs="Times New Roman"/>
              </w:rPr>
            </w:pPr>
            <w:r>
              <w:rPr>
                <w:rFonts w:hint="eastAsia" w:ascii="Times New Roman" w:hAnsi="Times New Roman" w:eastAsia="仿宋_GB2312" w:cs="Times New Roman"/>
              </w:rPr>
              <w:t>1.8</w:t>
            </w:r>
          </w:p>
        </w:tc>
        <w:tc>
          <w:tcPr>
            <w:tcW w:w="790" w:type="dxa"/>
            <w:shd w:val="clear" w:color="auto" w:fill="auto"/>
            <w:vAlign w:val="center"/>
          </w:tcPr>
          <w:p>
            <w:pPr>
              <w:spacing w:line="584" w:lineRule="exact"/>
              <w:jc w:val="right"/>
              <w:rPr>
                <w:rFonts w:ascii="Times New Roman" w:hAnsi="Times New Roman" w:eastAsia="仿宋_GB2312" w:cs="Times New Roman"/>
              </w:rPr>
            </w:pPr>
          </w:p>
        </w:tc>
        <w:tc>
          <w:tcPr>
            <w:tcW w:w="924" w:type="dxa"/>
            <w:shd w:val="clear" w:color="auto" w:fill="auto"/>
            <w:vAlign w:val="center"/>
          </w:tcPr>
          <w:p>
            <w:pPr>
              <w:spacing w:line="584" w:lineRule="exact"/>
              <w:jc w:val="right"/>
              <w:rPr>
                <w:rFonts w:ascii="Times New Roman" w:hAnsi="Times New Roman" w:eastAsia="仿宋_GB2312" w:cs="Times New Roman"/>
              </w:rPr>
            </w:pPr>
          </w:p>
        </w:tc>
        <w:tc>
          <w:tcPr>
            <w:tcW w:w="929" w:type="dxa"/>
            <w:shd w:val="clear" w:color="auto" w:fill="auto"/>
            <w:vAlign w:val="center"/>
          </w:tcPr>
          <w:p>
            <w:pPr>
              <w:spacing w:line="584" w:lineRule="exact"/>
              <w:jc w:val="right"/>
              <w:rPr>
                <w:rFonts w:ascii="Times New Roman" w:hAnsi="Times New Roman" w:eastAsia="仿宋_GB2312" w:cs="Times New Roman"/>
              </w:rPr>
            </w:pPr>
          </w:p>
        </w:tc>
        <w:tc>
          <w:tcPr>
            <w:tcW w:w="880" w:type="dxa"/>
            <w:shd w:val="clear" w:color="auto" w:fill="auto"/>
            <w:vAlign w:val="center"/>
          </w:tcPr>
          <w:p>
            <w:pPr>
              <w:spacing w:line="584" w:lineRule="exact"/>
              <w:jc w:val="right"/>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2406" w:type="dxa"/>
            <w:shd w:val="clear" w:color="auto" w:fill="auto"/>
            <w:vAlign w:val="center"/>
          </w:tcPr>
          <w:p>
            <w:pPr>
              <w:spacing w:line="584" w:lineRule="exact"/>
              <w:jc w:val="center"/>
              <w:rPr>
                <w:rFonts w:ascii="Times New Roman" w:hAnsi="Times New Roman" w:eastAsia="仿宋_GB2312" w:cs="Times New Roman"/>
              </w:rPr>
            </w:pPr>
            <w:r>
              <w:rPr>
                <w:rFonts w:hint="eastAsia" w:ascii="Times New Roman" w:hAnsi="Times New Roman" w:eastAsia="仿宋_GB2312" w:cs="Times New Roman"/>
              </w:rPr>
              <w:t>办公费</w:t>
            </w:r>
          </w:p>
        </w:tc>
        <w:tc>
          <w:tcPr>
            <w:tcW w:w="1057" w:type="dxa"/>
            <w:shd w:val="clear" w:color="auto" w:fill="auto"/>
            <w:vAlign w:val="center"/>
          </w:tcPr>
          <w:p>
            <w:pPr>
              <w:spacing w:line="584" w:lineRule="exact"/>
              <w:jc w:val="right"/>
              <w:rPr>
                <w:rFonts w:ascii="Times New Roman" w:hAnsi="Times New Roman" w:eastAsia="仿宋_GB2312" w:cs="Times New Roman"/>
              </w:rPr>
            </w:pPr>
            <w:r>
              <w:rPr>
                <w:rFonts w:hint="eastAsia" w:ascii="Times New Roman" w:hAnsi="Times New Roman" w:eastAsia="仿宋_GB2312" w:cs="Times New Roman"/>
              </w:rPr>
              <w:t>1.8</w:t>
            </w:r>
          </w:p>
        </w:tc>
        <w:tc>
          <w:tcPr>
            <w:tcW w:w="932" w:type="dxa"/>
            <w:shd w:val="clear" w:color="auto" w:fill="auto"/>
            <w:vAlign w:val="center"/>
          </w:tcPr>
          <w:p>
            <w:pPr>
              <w:spacing w:line="584" w:lineRule="exact"/>
              <w:jc w:val="left"/>
              <w:rPr>
                <w:rFonts w:ascii="Times New Roman" w:hAnsi="Times New Roman" w:eastAsia="仿宋_GB2312" w:cs="Times New Roman"/>
              </w:rPr>
            </w:pPr>
            <w:r>
              <w:rPr>
                <w:rFonts w:hint="eastAsia" w:ascii="Times New Roman" w:hAnsi="Times New Roman" w:eastAsia="仿宋_GB2312" w:cs="Times New Roman"/>
              </w:rPr>
              <w:t>空调</w:t>
            </w:r>
          </w:p>
        </w:tc>
        <w:tc>
          <w:tcPr>
            <w:tcW w:w="1372" w:type="dxa"/>
            <w:shd w:val="clear" w:color="auto" w:fill="auto"/>
            <w:vAlign w:val="center"/>
          </w:tcPr>
          <w:p>
            <w:pPr>
              <w:spacing w:line="584" w:lineRule="exact"/>
              <w:jc w:val="left"/>
              <w:rPr>
                <w:rFonts w:ascii="Times New Roman" w:hAnsi="Times New Roman" w:eastAsia="仿宋_GB2312" w:cs="Times New Roman"/>
              </w:rPr>
            </w:pPr>
            <w:r>
              <w:rPr>
                <w:rFonts w:hint="eastAsia" w:ascii="Times New Roman" w:hAnsi="Times New Roman" w:eastAsia="仿宋_GB2312" w:cs="Times New Roman"/>
              </w:rPr>
              <w:t>A020523</w:t>
            </w:r>
          </w:p>
        </w:tc>
        <w:tc>
          <w:tcPr>
            <w:tcW w:w="720" w:type="dxa"/>
            <w:shd w:val="clear" w:color="auto" w:fill="auto"/>
            <w:vAlign w:val="center"/>
          </w:tcPr>
          <w:p>
            <w:pPr>
              <w:spacing w:line="584" w:lineRule="exact"/>
              <w:jc w:val="left"/>
              <w:rPr>
                <w:rFonts w:ascii="Times New Roman" w:hAnsi="Times New Roman" w:eastAsia="仿宋_GB2312" w:cs="Times New Roman"/>
              </w:rPr>
            </w:pPr>
            <w:r>
              <w:rPr>
                <w:rFonts w:hint="eastAsia" w:ascii="Times New Roman" w:hAnsi="Times New Roman" w:eastAsia="仿宋_GB2312" w:cs="Times New Roman"/>
              </w:rPr>
              <w:t>台</w:t>
            </w:r>
          </w:p>
        </w:tc>
        <w:tc>
          <w:tcPr>
            <w:tcW w:w="740" w:type="dxa"/>
            <w:shd w:val="clear" w:color="auto" w:fill="auto"/>
            <w:vAlign w:val="center"/>
          </w:tcPr>
          <w:p>
            <w:pPr>
              <w:spacing w:line="584" w:lineRule="exact"/>
              <w:jc w:val="right"/>
              <w:rPr>
                <w:rFonts w:ascii="Times New Roman" w:hAnsi="Times New Roman" w:eastAsia="仿宋_GB2312" w:cs="Times New Roman"/>
              </w:rPr>
            </w:pPr>
            <w:r>
              <w:rPr>
                <w:rFonts w:hint="eastAsia" w:ascii="Times New Roman" w:hAnsi="Times New Roman" w:eastAsia="仿宋_GB2312" w:cs="Times New Roman"/>
              </w:rPr>
              <w:t>6</w:t>
            </w:r>
          </w:p>
        </w:tc>
        <w:tc>
          <w:tcPr>
            <w:tcW w:w="950" w:type="dxa"/>
            <w:shd w:val="clear" w:color="auto" w:fill="auto"/>
            <w:vAlign w:val="center"/>
          </w:tcPr>
          <w:p>
            <w:pPr>
              <w:spacing w:line="584" w:lineRule="exact"/>
              <w:jc w:val="right"/>
              <w:rPr>
                <w:rFonts w:ascii="Times New Roman" w:hAnsi="Times New Roman" w:eastAsia="仿宋_GB2312" w:cs="Times New Roman"/>
              </w:rPr>
            </w:pPr>
            <w:r>
              <w:rPr>
                <w:rFonts w:hint="eastAsia" w:ascii="Times New Roman" w:hAnsi="Times New Roman" w:eastAsia="仿宋_GB2312" w:cs="Times New Roman"/>
              </w:rPr>
              <w:t>0.3</w:t>
            </w:r>
          </w:p>
        </w:tc>
        <w:tc>
          <w:tcPr>
            <w:tcW w:w="956" w:type="dxa"/>
            <w:shd w:val="clear" w:color="auto" w:fill="auto"/>
            <w:vAlign w:val="center"/>
          </w:tcPr>
          <w:p>
            <w:pPr>
              <w:spacing w:line="584" w:lineRule="exact"/>
              <w:jc w:val="right"/>
              <w:rPr>
                <w:rFonts w:ascii="Times New Roman" w:hAnsi="Times New Roman" w:eastAsia="仿宋_GB2312" w:cs="Times New Roman"/>
              </w:rPr>
            </w:pPr>
            <w:r>
              <w:rPr>
                <w:rFonts w:hint="eastAsia" w:ascii="Times New Roman" w:hAnsi="Times New Roman" w:eastAsia="仿宋_GB2312" w:cs="Times New Roman"/>
              </w:rPr>
              <w:t>1.8</w:t>
            </w:r>
          </w:p>
        </w:tc>
        <w:tc>
          <w:tcPr>
            <w:tcW w:w="956" w:type="dxa"/>
            <w:shd w:val="clear" w:color="auto" w:fill="auto"/>
            <w:vAlign w:val="center"/>
          </w:tcPr>
          <w:p>
            <w:pPr>
              <w:spacing w:line="584" w:lineRule="exact"/>
              <w:jc w:val="right"/>
              <w:rPr>
                <w:rFonts w:ascii="Times New Roman" w:hAnsi="Times New Roman" w:eastAsia="仿宋_GB2312" w:cs="Times New Roman"/>
              </w:rPr>
            </w:pPr>
            <w:r>
              <w:rPr>
                <w:rFonts w:hint="eastAsia" w:ascii="Times New Roman" w:hAnsi="Times New Roman" w:eastAsia="仿宋_GB2312" w:cs="Times New Roman"/>
              </w:rPr>
              <w:t>1.8</w:t>
            </w:r>
          </w:p>
        </w:tc>
        <w:tc>
          <w:tcPr>
            <w:tcW w:w="956" w:type="dxa"/>
            <w:shd w:val="clear" w:color="auto" w:fill="auto"/>
            <w:vAlign w:val="center"/>
          </w:tcPr>
          <w:p>
            <w:pPr>
              <w:spacing w:line="584" w:lineRule="exact"/>
              <w:jc w:val="right"/>
              <w:rPr>
                <w:rFonts w:ascii="Times New Roman" w:hAnsi="Times New Roman" w:eastAsia="仿宋_GB2312" w:cs="Times New Roman"/>
              </w:rPr>
            </w:pPr>
            <w:r>
              <w:rPr>
                <w:rFonts w:hint="eastAsia" w:ascii="Times New Roman" w:hAnsi="Times New Roman" w:eastAsia="仿宋_GB2312" w:cs="Times New Roman"/>
              </w:rPr>
              <w:t>1.8</w:t>
            </w:r>
          </w:p>
        </w:tc>
        <w:tc>
          <w:tcPr>
            <w:tcW w:w="790" w:type="dxa"/>
            <w:shd w:val="clear" w:color="auto" w:fill="auto"/>
            <w:vAlign w:val="center"/>
          </w:tcPr>
          <w:p>
            <w:pPr>
              <w:spacing w:line="584" w:lineRule="exact"/>
              <w:jc w:val="right"/>
              <w:rPr>
                <w:rFonts w:ascii="Times New Roman" w:hAnsi="Times New Roman" w:eastAsia="仿宋_GB2312" w:cs="Times New Roman"/>
              </w:rPr>
            </w:pPr>
          </w:p>
        </w:tc>
        <w:tc>
          <w:tcPr>
            <w:tcW w:w="924" w:type="dxa"/>
            <w:shd w:val="clear" w:color="auto" w:fill="auto"/>
            <w:vAlign w:val="center"/>
          </w:tcPr>
          <w:p>
            <w:pPr>
              <w:spacing w:line="584" w:lineRule="exact"/>
              <w:jc w:val="right"/>
              <w:rPr>
                <w:rFonts w:ascii="Times New Roman" w:hAnsi="Times New Roman" w:eastAsia="仿宋_GB2312" w:cs="Times New Roman"/>
              </w:rPr>
            </w:pPr>
          </w:p>
        </w:tc>
        <w:tc>
          <w:tcPr>
            <w:tcW w:w="929" w:type="dxa"/>
            <w:shd w:val="clear" w:color="auto" w:fill="auto"/>
            <w:vAlign w:val="center"/>
          </w:tcPr>
          <w:p>
            <w:pPr>
              <w:spacing w:line="584" w:lineRule="exact"/>
              <w:jc w:val="right"/>
              <w:rPr>
                <w:rFonts w:ascii="Times New Roman" w:hAnsi="Times New Roman" w:eastAsia="仿宋_GB2312" w:cs="Times New Roman"/>
              </w:rPr>
            </w:pPr>
          </w:p>
        </w:tc>
        <w:tc>
          <w:tcPr>
            <w:tcW w:w="880" w:type="dxa"/>
            <w:shd w:val="clear" w:color="auto" w:fill="auto"/>
            <w:vAlign w:val="center"/>
          </w:tcPr>
          <w:p>
            <w:pPr>
              <w:spacing w:line="584" w:lineRule="exact"/>
              <w:jc w:val="right"/>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406" w:type="dxa"/>
            <w:shd w:val="clear" w:color="auto" w:fill="auto"/>
            <w:vAlign w:val="center"/>
          </w:tcPr>
          <w:p>
            <w:pPr>
              <w:spacing w:line="584" w:lineRule="exact"/>
              <w:jc w:val="left"/>
              <w:rPr>
                <w:rFonts w:ascii="Times New Roman" w:hAnsi="Times New Roman" w:eastAsia="仿宋_GB2312" w:cs="Times New Roman"/>
              </w:rPr>
            </w:pPr>
          </w:p>
        </w:tc>
        <w:tc>
          <w:tcPr>
            <w:tcW w:w="1057" w:type="dxa"/>
            <w:shd w:val="clear" w:color="auto" w:fill="auto"/>
            <w:vAlign w:val="center"/>
          </w:tcPr>
          <w:p>
            <w:pPr>
              <w:spacing w:line="584" w:lineRule="exact"/>
              <w:jc w:val="right"/>
              <w:rPr>
                <w:rFonts w:ascii="Times New Roman" w:hAnsi="Times New Roman" w:eastAsia="仿宋_GB2312" w:cs="Times New Roman"/>
              </w:rPr>
            </w:pPr>
          </w:p>
        </w:tc>
        <w:tc>
          <w:tcPr>
            <w:tcW w:w="932" w:type="dxa"/>
            <w:shd w:val="clear" w:color="auto" w:fill="auto"/>
            <w:vAlign w:val="center"/>
          </w:tcPr>
          <w:p>
            <w:pPr>
              <w:spacing w:line="584" w:lineRule="exact"/>
              <w:jc w:val="left"/>
              <w:rPr>
                <w:rFonts w:ascii="Times New Roman" w:hAnsi="Times New Roman" w:eastAsia="仿宋_GB2312" w:cs="Times New Roman"/>
              </w:rPr>
            </w:pPr>
          </w:p>
        </w:tc>
        <w:tc>
          <w:tcPr>
            <w:tcW w:w="1372" w:type="dxa"/>
            <w:shd w:val="clear" w:color="auto" w:fill="auto"/>
            <w:vAlign w:val="center"/>
          </w:tcPr>
          <w:p>
            <w:pPr>
              <w:spacing w:line="584" w:lineRule="exact"/>
              <w:jc w:val="left"/>
              <w:rPr>
                <w:rFonts w:ascii="Times New Roman" w:hAnsi="Times New Roman" w:eastAsia="仿宋_GB2312" w:cs="Times New Roman"/>
              </w:rPr>
            </w:pPr>
          </w:p>
        </w:tc>
        <w:tc>
          <w:tcPr>
            <w:tcW w:w="720" w:type="dxa"/>
            <w:shd w:val="clear" w:color="auto" w:fill="auto"/>
            <w:vAlign w:val="center"/>
          </w:tcPr>
          <w:p>
            <w:pPr>
              <w:spacing w:line="584" w:lineRule="exact"/>
              <w:jc w:val="left"/>
              <w:rPr>
                <w:rFonts w:ascii="Times New Roman" w:hAnsi="Times New Roman" w:eastAsia="仿宋_GB2312" w:cs="Times New Roman"/>
              </w:rPr>
            </w:pPr>
          </w:p>
        </w:tc>
        <w:tc>
          <w:tcPr>
            <w:tcW w:w="740" w:type="dxa"/>
            <w:shd w:val="clear" w:color="auto" w:fill="auto"/>
            <w:vAlign w:val="center"/>
          </w:tcPr>
          <w:p>
            <w:pPr>
              <w:spacing w:line="584" w:lineRule="exact"/>
              <w:jc w:val="right"/>
              <w:rPr>
                <w:rFonts w:ascii="Times New Roman" w:hAnsi="Times New Roman" w:eastAsia="仿宋_GB2312" w:cs="Times New Roman"/>
              </w:rPr>
            </w:pPr>
          </w:p>
        </w:tc>
        <w:tc>
          <w:tcPr>
            <w:tcW w:w="950" w:type="dxa"/>
            <w:shd w:val="clear" w:color="auto" w:fill="auto"/>
            <w:vAlign w:val="center"/>
          </w:tcPr>
          <w:p>
            <w:pPr>
              <w:spacing w:line="584" w:lineRule="exact"/>
              <w:jc w:val="right"/>
              <w:rPr>
                <w:rFonts w:ascii="Times New Roman" w:hAnsi="Times New Roman" w:eastAsia="仿宋_GB2312" w:cs="Times New Roman"/>
              </w:rPr>
            </w:pPr>
          </w:p>
        </w:tc>
        <w:tc>
          <w:tcPr>
            <w:tcW w:w="956" w:type="dxa"/>
            <w:shd w:val="clear" w:color="auto" w:fill="auto"/>
            <w:vAlign w:val="center"/>
          </w:tcPr>
          <w:p>
            <w:pPr>
              <w:spacing w:line="584" w:lineRule="exact"/>
              <w:jc w:val="right"/>
              <w:rPr>
                <w:rFonts w:ascii="Times New Roman" w:hAnsi="Times New Roman" w:eastAsia="仿宋_GB2312" w:cs="Times New Roman"/>
              </w:rPr>
            </w:pPr>
          </w:p>
        </w:tc>
        <w:tc>
          <w:tcPr>
            <w:tcW w:w="956" w:type="dxa"/>
            <w:shd w:val="clear" w:color="auto" w:fill="auto"/>
            <w:vAlign w:val="center"/>
          </w:tcPr>
          <w:p>
            <w:pPr>
              <w:spacing w:line="584" w:lineRule="exact"/>
              <w:jc w:val="right"/>
              <w:rPr>
                <w:rFonts w:ascii="Times New Roman" w:hAnsi="Times New Roman" w:eastAsia="仿宋_GB2312" w:cs="Times New Roman"/>
              </w:rPr>
            </w:pPr>
          </w:p>
        </w:tc>
        <w:tc>
          <w:tcPr>
            <w:tcW w:w="956" w:type="dxa"/>
            <w:shd w:val="clear" w:color="auto" w:fill="auto"/>
            <w:vAlign w:val="center"/>
          </w:tcPr>
          <w:p>
            <w:pPr>
              <w:spacing w:line="584" w:lineRule="exact"/>
              <w:jc w:val="right"/>
              <w:rPr>
                <w:rFonts w:ascii="Times New Roman" w:hAnsi="Times New Roman" w:eastAsia="仿宋_GB2312" w:cs="Times New Roman"/>
              </w:rPr>
            </w:pPr>
          </w:p>
        </w:tc>
        <w:tc>
          <w:tcPr>
            <w:tcW w:w="790" w:type="dxa"/>
            <w:shd w:val="clear" w:color="auto" w:fill="auto"/>
            <w:vAlign w:val="center"/>
          </w:tcPr>
          <w:p>
            <w:pPr>
              <w:spacing w:line="584" w:lineRule="exact"/>
              <w:jc w:val="right"/>
              <w:rPr>
                <w:rFonts w:ascii="Times New Roman" w:hAnsi="Times New Roman" w:eastAsia="仿宋_GB2312" w:cs="Times New Roman"/>
              </w:rPr>
            </w:pPr>
          </w:p>
        </w:tc>
        <w:tc>
          <w:tcPr>
            <w:tcW w:w="924" w:type="dxa"/>
            <w:shd w:val="clear" w:color="auto" w:fill="auto"/>
            <w:vAlign w:val="center"/>
          </w:tcPr>
          <w:p>
            <w:pPr>
              <w:spacing w:line="584" w:lineRule="exact"/>
              <w:jc w:val="right"/>
              <w:rPr>
                <w:rFonts w:ascii="Times New Roman" w:hAnsi="Times New Roman" w:eastAsia="仿宋_GB2312" w:cs="Times New Roman"/>
              </w:rPr>
            </w:pPr>
          </w:p>
        </w:tc>
        <w:tc>
          <w:tcPr>
            <w:tcW w:w="929" w:type="dxa"/>
            <w:shd w:val="clear" w:color="auto" w:fill="auto"/>
            <w:vAlign w:val="center"/>
          </w:tcPr>
          <w:p>
            <w:pPr>
              <w:spacing w:line="584" w:lineRule="exact"/>
              <w:jc w:val="right"/>
              <w:rPr>
                <w:rFonts w:ascii="Times New Roman" w:hAnsi="Times New Roman" w:eastAsia="仿宋_GB2312" w:cs="Times New Roman"/>
              </w:rPr>
            </w:pPr>
          </w:p>
        </w:tc>
        <w:tc>
          <w:tcPr>
            <w:tcW w:w="880" w:type="dxa"/>
            <w:shd w:val="clear" w:color="auto" w:fill="auto"/>
            <w:vAlign w:val="center"/>
          </w:tcPr>
          <w:p>
            <w:pPr>
              <w:spacing w:line="584" w:lineRule="exact"/>
              <w:jc w:val="right"/>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406" w:type="dxa"/>
            <w:shd w:val="clear" w:color="auto" w:fill="auto"/>
            <w:vAlign w:val="center"/>
          </w:tcPr>
          <w:p>
            <w:pPr>
              <w:spacing w:line="584" w:lineRule="exact"/>
              <w:jc w:val="left"/>
              <w:rPr>
                <w:rFonts w:ascii="Times New Roman" w:hAnsi="Times New Roman" w:eastAsia="仿宋_GB2312" w:cs="Times New Roman"/>
              </w:rPr>
            </w:pPr>
          </w:p>
        </w:tc>
        <w:tc>
          <w:tcPr>
            <w:tcW w:w="1057" w:type="dxa"/>
            <w:shd w:val="clear" w:color="auto" w:fill="auto"/>
            <w:vAlign w:val="center"/>
          </w:tcPr>
          <w:p>
            <w:pPr>
              <w:spacing w:line="584" w:lineRule="exact"/>
              <w:jc w:val="right"/>
              <w:rPr>
                <w:rFonts w:ascii="Times New Roman" w:hAnsi="Times New Roman" w:eastAsia="仿宋_GB2312" w:cs="Times New Roman"/>
              </w:rPr>
            </w:pPr>
          </w:p>
        </w:tc>
        <w:tc>
          <w:tcPr>
            <w:tcW w:w="932" w:type="dxa"/>
            <w:shd w:val="clear" w:color="auto" w:fill="auto"/>
            <w:vAlign w:val="center"/>
          </w:tcPr>
          <w:p>
            <w:pPr>
              <w:spacing w:line="584" w:lineRule="exact"/>
              <w:jc w:val="left"/>
              <w:rPr>
                <w:rFonts w:ascii="Times New Roman" w:hAnsi="Times New Roman" w:eastAsia="仿宋_GB2312" w:cs="Times New Roman"/>
              </w:rPr>
            </w:pPr>
          </w:p>
        </w:tc>
        <w:tc>
          <w:tcPr>
            <w:tcW w:w="1372" w:type="dxa"/>
            <w:shd w:val="clear" w:color="auto" w:fill="auto"/>
            <w:vAlign w:val="center"/>
          </w:tcPr>
          <w:p>
            <w:pPr>
              <w:spacing w:line="584" w:lineRule="exact"/>
              <w:jc w:val="left"/>
              <w:rPr>
                <w:rFonts w:ascii="Times New Roman" w:hAnsi="Times New Roman" w:eastAsia="仿宋_GB2312" w:cs="Times New Roman"/>
              </w:rPr>
            </w:pPr>
          </w:p>
        </w:tc>
        <w:tc>
          <w:tcPr>
            <w:tcW w:w="720" w:type="dxa"/>
            <w:shd w:val="clear" w:color="auto" w:fill="auto"/>
            <w:vAlign w:val="center"/>
          </w:tcPr>
          <w:p>
            <w:pPr>
              <w:spacing w:line="584" w:lineRule="exact"/>
              <w:jc w:val="left"/>
              <w:rPr>
                <w:rFonts w:ascii="Times New Roman" w:hAnsi="Times New Roman" w:eastAsia="仿宋_GB2312" w:cs="Times New Roman"/>
              </w:rPr>
            </w:pPr>
          </w:p>
        </w:tc>
        <w:tc>
          <w:tcPr>
            <w:tcW w:w="740" w:type="dxa"/>
            <w:shd w:val="clear" w:color="auto" w:fill="auto"/>
            <w:vAlign w:val="center"/>
          </w:tcPr>
          <w:p>
            <w:pPr>
              <w:spacing w:line="584" w:lineRule="exact"/>
              <w:jc w:val="right"/>
              <w:rPr>
                <w:rFonts w:ascii="Times New Roman" w:hAnsi="Times New Roman" w:eastAsia="仿宋_GB2312" w:cs="Times New Roman"/>
              </w:rPr>
            </w:pPr>
          </w:p>
        </w:tc>
        <w:tc>
          <w:tcPr>
            <w:tcW w:w="950" w:type="dxa"/>
            <w:shd w:val="clear" w:color="auto" w:fill="auto"/>
            <w:vAlign w:val="center"/>
          </w:tcPr>
          <w:p>
            <w:pPr>
              <w:spacing w:line="584" w:lineRule="exact"/>
              <w:jc w:val="right"/>
              <w:rPr>
                <w:rFonts w:ascii="Times New Roman" w:hAnsi="Times New Roman" w:eastAsia="仿宋_GB2312" w:cs="Times New Roman"/>
              </w:rPr>
            </w:pPr>
          </w:p>
        </w:tc>
        <w:tc>
          <w:tcPr>
            <w:tcW w:w="956" w:type="dxa"/>
            <w:shd w:val="clear" w:color="auto" w:fill="auto"/>
            <w:vAlign w:val="center"/>
          </w:tcPr>
          <w:p>
            <w:pPr>
              <w:spacing w:line="584" w:lineRule="exact"/>
              <w:jc w:val="right"/>
              <w:rPr>
                <w:rFonts w:ascii="Times New Roman" w:hAnsi="Times New Roman" w:eastAsia="仿宋_GB2312" w:cs="Times New Roman"/>
              </w:rPr>
            </w:pPr>
          </w:p>
        </w:tc>
        <w:tc>
          <w:tcPr>
            <w:tcW w:w="956" w:type="dxa"/>
            <w:shd w:val="clear" w:color="auto" w:fill="auto"/>
            <w:vAlign w:val="center"/>
          </w:tcPr>
          <w:p>
            <w:pPr>
              <w:spacing w:line="584" w:lineRule="exact"/>
              <w:jc w:val="right"/>
              <w:rPr>
                <w:rFonts w:ascii="Times New Roman" w:hAnsi="Times New Roman" w:eastAsia="仿宋_GB2312" w:cs="Times New Roman"/>
              </w:rPr>
            </w:pPr>
          </w:p>
        </w:tc>
        <w:tc>
          <w:tcPr>
            <w:tcW w:w="956" w:type="dxa"/>
            <w:shd w:val="clear" w:color="auto" w:fill="auto"/>
            <w:vAlign w:val="center"/>
          </w:tcPr>
          <w:p>
            <w:pPr>
              <w:spacing w:line="584" w:lineRule="exact"/>
              <w:jc w:val="right"/>
              <w:rPr>
                <w:rFonts w:ascii="Times New Roman" w:hAnsi="Times New Roman" w:eastAsia="仿宋_GB2312" w:cs="Times New Roman"/>
              </w:rPr>
            </w:pPr>
          </w:p>
        </w:tc>
        <w:tc>
          <w:tcPr>
            <w:tcW w:w="790" w:type="dxa"/>
            <w:shd w:val="clear" w:color="auto" w:fill="auto"/>
            <w:vAlign w:val="center"/>
          </w:tcPr>
          <w:p>
            <w:pPr>
              <w:spacing w:line="584" w:lineRule="exact"/>
              <w:jc w:val="right"/>
              <w:rPr>
                <w:rFonts w:ascii="Times New Roman" w:hAnsi="Times New Roman" w:eastAsia="仿宋_GB2312" w:cs="Times New Roman"/>
              </w:rPr>
            </w:pPr>
          </w:p>
        </w:tc>
        <w:tc>
          <w:tcPr>
            <w:tcW w:w="924" w:type="dxa"/>
            <w:shd w:val="clear" w:color="auto" w:fill="auto"/>
            <w:vAlign w:val="center"/>
          </w:tcPr>
          <w:p>
            <w:pPr>
              <w:spacing w:line="584" w:lineRule="exact"/>
              <w:jc w:val="right"/>
              <w:rPr>
                <w:rFonts w:ascii="Times New Roman" w:hAnsi="Times New Roman" w:eastAsia="仿宋_GB2312" w:cs="Times New Roman"/>
              </w:rPr>
            </w:pPr>
          </w:p>
        </w:tc>
        <w:tc>
          <w:tcPr>
            <w:tcW w:w="929" w:type="dxa"/>
            <w:shd w:val="clear" w:color="auto" w:fill="auto"/>
            <w:vAlign w:val="center"/>
          </w:tcPr>
          <w:p>
            <w:pPr>
              <w:spacing w:line="584" w:lineRule="exact"/>
              <w:jc w:val="right"/>
              <w:rPr>
                <w:rFonts w:ascii="Times New Roman" w:hAnsi="Times New Roman" w:eastAsia="仿宋_GB2312" w:cs="Times New Roman"/>
              </w:rPr>
            </w:pPr>
          </w:p>
        </w:tc>
        <w:tc>
          <w:tcPr>
            <w:tcW w:w="880" w:type="dxa"/>
            <w:shd w:val="clear" w:color="auto" w:fill="auto"/>
            <w:vAlign w:val="center"/>
          </w:tcPr>
          <w:p>
            <w:pPr>
              <w:spacing w:line="584" w:lineRule="exact"/>
              <w:jc w:val="right"/>
              <w:rPr>
                <w:rFonts w:ascii="Times New Roman" w:hAnsi="Times New Roman" w:eastAsia="仿宋_GB2312" w:cs="Times New Roman"/>
              </w:rPr>
            </w:pPr>
          </w:p>
        </w:tc>
      </w:tr>
    </w:tbl>
    <w:p>
      <w:pPr>
        <w:spacing w:line="584" w:lineRule="exact"/>
        <w:jc w:val="left"/>
        <w:outlineLvl w:val="0"/>
        <w:rPr>
          <w:rFonts w:ascii="Times New Roman" w:hAnsi="Times New Roman" w:eastAsia="仿宋_GB2312" w:cs="Times New Roman"/>
        </w:rPr>
        <w:sectPr>
          <w:footerReference r:id="rId4" w:type="first"/>
          <w:footerReference r:id="rId3" w:type="default"/>
          <w:pgSz w:w="16839" w:h="11907" w:orient="landscape"/>
          <w:pgMar w:top="1361" w:right="1020" w:bottom="1361" w:left="1020" w:header="851" w:footer="992" w:gutter="0"/>
          <w:cols w:space="425" w:num="1"/>
          <w:docGrid w:type="lines" w:linePitch="312" w:charSpace="0"/>
        </w:sect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rPr>
        <w:t>广阳区南尖塔镇人民政府</w:t>
      </w:r>
      <w:r>
        <w:rPr>
          <w:rFonts w:ascii="Times New Roman" w:hAnsi="Times New Roman" w:eastAsia="仿宋_GB2312" w:cs="Times New Roman"/>
          <w:sz w:val="32"/>
          <w:szCs w:val="32"/>
        </w:rPr>
        <w:t>上年末固定资产金额为</w:t>
      </w:r>
      <w:r>
        <w:rPr>
          <w:rFonts w:hint="eastAsia" w:ascii="Times New Roman" w:hAnsi="Times New Roman" w:eastAsia="仿宋_GB2312" w:cs="Times New Roman"/>
          <w:sz w:val="32"/>
          <w:szCs w:val="32"/>
        </w:rPr>
        <w:t>1026.5</w:t>
      </w:r>
      <w:r>
        <w:rPr>
          <w:rFonts w:ascii="Times New Roman" w:hAnsi="Times New Roman" w:eastAsia="仿宋_GB2312" w:cs="Times New Roman"/>
          <w:sz w:val="32"/>
          <w:szCs w:val="32"/>
        </w:rPr>
        <w:t>万元，本年度我部门拟购置固定资产主要为计算机设备、打印设备、空调、办公家具等，已列入政府采购预算。详见下表。</w:t>
      </w:r>
    </w:p>
    <w:tbl>
      <w:tblPr>
        <w:tblStyle w:val="8"/>
        <w:tblW w:w="13482" w:type="dxa"/>
        <w:tblInd w:w="93" w:type="dxa"/>
        <w:tblLayout w:type="fixed"/>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vAlign w:val="center"/>
          </w:tcPr>
          <w:p>
            <w:pPr>
              <w:widowControl/>
              <w:spacing w:line="584"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廊坊市</w:t>
            </w:r>
            <w:r>
              <w:rPr>
                <w:rFonts w:hint="eastAsia" w:ascii="Times New Roman" w:hAnsi="Times New Roman" w:eastAsia="仿宋_GB2312" w:cs="Times New Roman"/>
                <w:b/>
                <w:bCs/>
                <w:kern w:val="0"/>
                <w:sz w:val="32"/>
                <w:szCs w:val="32"/>
              </w:rPr>
              <w:t>区</w:t>
            </w:r>
            <w:r>
              <w:rPr>
                <w:rFonts w:ascii="Times New Roman" w:hAnsi="Times New Roman" w:eastAsia="仿宋_GB2312" w:cs="Times New Roman"/>
                <w:b/>
                <w:bCs/>
                <w:kern w:val="0"/>
                <w:sz w:val="32"/>
                <w:szCs w:val="32"/>
              </w:rPr>
              <w:t>直部门固定资产占用情况表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编制部门：</w:t>
            </w:r>
            <w:r>
              <w:rPr>
                <w:rFonts w:hint="eastAsia" w:ascii="Times New Roman" w:hAnsi="Times New Roman" w:eastAsia="仿宋_GB2312" w:cs="Times New Roman"/>
                <w:kern w:val="0"/>
                <w:sz w:val="22"/>
              </w:rPr>
              <w:t>914</w:t>
            </w:r>
            <w:r>
              <w:rPr>
                <w:rFonts w:ascii="Times New Roman" w:hAnsi="Times New Roman" w:eastAsia="仿宋_GB2312" w:cs="Times New Roman"/>
                <w:kern w:val="0"/>
                <w:sz w:val="22"/>
              </w:rPr>
              <w:t>廊坊市</w:t>
            </w:r>
            <w:r>
              <w:rPr>
                <w:rFonts w:hint="eastAsia" w:ascii="Times New Roman" w:hAnsi="Times New Roman" w:eastAsia="仿宋_GB2312" w:cs="Times New Roman"/>
                <w:kern w:val="0"/>
                <w:sz w:val="22"/>
              </w:rPr>
              <w:t>广阳区南尖塔镇人民政府</w:t>
            </w:r>
          </w:p>
        </w:tc>
        <w:tc>
          <w:tcPr>
            <w:tcW w:w="5103" w:type="dxa"/>
            <w:tcBorders>
              <w:top w:val="nil"/>
              <w:left w:val="nil"/>
              <w:bottom w:val="nil"/>
              <w:right w:val="nil"/>
            </w:tcBorders>
            <w:shd w:val="clear" w:color="auto" w:fill="auto"/>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截止时间：201</w:t>
            </w:r>
            <w:r>
              <w:rPr>
                <w:rFonts w:hint="eastAsia" w:ascii="Times New Roman" w:hAnsi="Times New Roman" w:eastAsia="仿宋_GB2312" w:cs="Times New Roman"/>
                <w:kern w:val="0"/>
                <w:sz w:val="22"/>
              </w:rPr>
              <w:t>8</w:t>
            </w:r>
            <w:r>
              <w:rPr>
                <w:rFonts w:ascii="Times New Roman" w:hAnsi="Times New Roman" w:eastAsia="仿宋_GB2312" w:cs="Times New Roman"/>
                <w:kern w:val="0"/>
                <w:sz w:val="22"/>
              </w:rPr>
              <w:t>年12月31日</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项目</w:t>
            </w:r>
          </w:p>
        </w:tc>
        <w:tc>
          <w:tcPr>
            <w:tcW w:w="3155" w:type="dxa"/>
            <w:tcBorders>
              <w:top w:val="single" w:color="auto" w:sz="4" w:space="0"/>
              <w:left w:val="nil"/>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仿宋_GB2312" w:hAnsi="Times New Roman" w:eastAsia="仿宋_GB2312" w:cs="Times New Roman"/>
                <w:kern w:val="0"/>
                <w:sz w:val="22"/>
              </w:rPr>
            </w:pPr>
            <w:r>
              <w:rPr>
                <w:rFonts w:hint="eastAsia" w:ascii="仿宋_GB2312"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vAlign w:val="center"/>
          </w:tcPr>
          <w:p>
            <w:pPr>
              <w:spacing w:line="584" w:lineRule="exact"/>
              <w:jc w:val="center"/>
              <w:rPr>
                <w:rFonts w:ascii="仿宋_GB2312" w:hAnsi="Times New Roman" w:eastAsia="仿宋_GB2312" w:cs="Times New Roman"/>
                <w:sz w:val="22"/>
              </w:rPr>
            </w:pPr>
            <w:r>
              <w:rPr>
                <w:rFonts w:hint="eastAsia" w:ascii="仿宋_GB2312"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vAlign w:val="center"/>
          </w:tcPr>
          <w:p>
            <w:pPr>
              <w:spacing w:line="584" w:lineRule="exact"/>
              <w:jc w:val="center"/>
              <w:rPr>
                <w:rFonts w:ascii="仿宋_GB2312" w:hAnsi="Times New Roman" w:eastAsia="仿宋_GB2312" w:cs="Times New Roman"/>
                <w:sz w:val="22"/>
              </w:rPr>
            </w:pPr>
            <w:r>
              <w:rPr>
                <w:rFonts w:hint="eastAsia" w:ascii="仿宋_GB2312" w:hAnsi="Times New Roman" w:eastAsia="仿宋_GB2312" w:cs="Times New Roman"/>
                <w:sz w:val="22"/>
              </w:rPr>
              <w:t>1026.5</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left"/>
              <w:rPr>
                <w:rFonts w:ascii="仿宋_GB2312" w:hAnsi="Times New Roman" w:eastAsia="仿宋_GB2312" w:cs="Times New Roman"/>
                <w:kern w:val="0"/>
                <w:sz w:val="22"/>
              </w:rPr>
            </w:pPr>
            <w:r>
              <w:rPr>
                <w:rFonts w:hint="eastAsia" w:ascii="仿宋_GB2312"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vAlign w:val="center"/>
          </w:tcPr>
          <w:p>
            <w:pPr>
              <w:spacing w:line="584" w:lineRule="exact"/>
              <w:jc w:val="center"/>
              <w:rPr>
                <w:rFonts w:ascii="仿宋_GB2312" w:hAnsi="Times New Roman" w:eastAsia="仿宋_GB2312" w:cs="Times New Roman"/>
                <w:sz w:val="22"/>
              </w:rPr>
            </w:pPr>
            <w:r>
              <w:rPr>
                <w:rFonts w:hint="eastAsia" w:ascii="仿宋_GB2312" w:hAnsi="Times New Roman" w:eastAsia="仿宋_GB2312" w:cs="Times New Roman"/>
                <w:sz w:val="22"/>
              </w:rPr>
              <w:t>10581</w:t>
            </w:r>
          </w:p>
        </w:tc>
        <w:tc>
          <w:tcPr>
            <w:tcW w:w="5103" w:type="dxa"/>
            <w:tcBorders>
              <w:top w:val="nil"/>
              <w:left w:val="nil"/>
              <w:bottom w:val="single" w:color="auto" w:sz="4" w:space="0"/>
              <w:right w:val="single" w:color="auto" w:sz="4" w:space="0"/>
            </w:tcBorders>
            <w:shd w:val="clear" w:color="auto" w:fill="auto"/>
            <w:vAlign w:val="center"/>
          </w:tcPr>
          <w:p>
            <w:pPr>
              <w:spacing w:line="584" w:lineRule="exact"/>
              <w:jc w:val="center"/>
              <w:rPr>
                <w:rFonts w:ascii="仿宋_GB2312" w:hAnsi="Times New Roman" w:eastAsia="仿宋_GB2312" w:cs="Times New Roman"/>
                <w:sz w:val="22"/>
              </w:rPr>
            </w:pPr>
            <w:r>
              <w:rPr>
                <w:rFonts w:hint="eastAsia" w:ascii="仿宋_GB2312" w:hAnsi="Times New Roman" w:eastAsia="仿宋_GB2312" w:cs="Times New Roman"/>
                <w:sz w:val="22"/>
              </w:rPr>
              <w:t>500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left"/>
              <w:rPr>
                <w:rFonts w:ascii="仿宋_GB2312" w:hAnsi="Times New Roman" w:eastAsia="仿宋_GB2312" w:cs="Times New Roman"/>
                <w:kern w:val="0"/>
                <w:sz w:val="22"/>
              </w:rPr>
            </w:pPr>
            <w:r>
              <w:rPr>
                <w:rFonts w:hint="eastAsia" w:ascii="仿宋_GB2312"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vAlign w:val="center"/>
          </w:tcPr>
          <w:p>
            <w:pPr>
              <w:spacing w:line="584" w:lineRule="exact"/>
              <w:jc w:val="center"/>
              <w:rPr>
                <w:rFonts w:ascii="仿宋_GB2312" w:hAnsi="Times New Roman" w:eastAsia="仿宋_GB2312" w:cs="Times New Roman"/>
                <w:sz w:val="22"/>
              </w:rPr>
            </w:pPr>
            <w:r>
              <w:rPr>
                <w:rFonts w:hint="eastAsia" w:ascii="仿宋_GB2312" w:hAnsi="Times New Roman" w:eastAsia="仿宋_GB2312" w:cs="Times New Roman"/>
                <w:sz w:val="22"/>
              </w:rPr>
              <w:t>10581</w:t>
            </w:r>
          </w:p>
        </w:tc>
        <w:tc>
          <w:tcPr>
            <w:tcW w:w="5103" w:type="dxa"/>
            <w:tcBorders>
              <w:top w:val="nil"/>
              <w:left w:val="nil"/>
              <w:bottom w:val="single" w:color="auto" w:sz="4" w:space="0"/>
              <w:right w:val="single" w:color="auto" w:sz="4" w:space="0"/>
            </w:tcBorders>
            <w:shd w:val="clear" w:color="auto" w:fill="auto"/>
            <w:vAlign w:val="center"/>
          </w:tcPr>
          <w:p>
            <w:pPr>
              <w:spacing w:line="584" w:lineRule="exact"/>
              <w:jc w:val="center"/>
              <w:rPr>
                <w:rFonts w:ascii="仿宋_GB2312" w:hAnsi="Times New Roman" w:eastAsia="仿宋_GB2312" w:cs="Times New Roman"/>
                <w:sz w:val="22"/>
              </w:rPr>
            </w:pPr>
            <w:r>
              <w:rPr>
                <w:rFonts w:hint="eastAsia" w:ascii="仿宋_GB2312" w:hAnsi="Times New Roman" w:eastAsia="仿宋_GB2312" w:cs="Times New Roman"/>
                <w:sz w:val="22"/>
              </w:rPr>
              <w:t>500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left"/>
              <w:rPr>
                <w:rFonts w:ascii="仿宋_GB2312" w:hAnsi="Times New Roman" w:eastAsia="仿宋_GB2312" w:cs="Times New Roman"/>
                <w:kern w:val="0"/>
                <w:sz w:val="22"/>
              </w:rPr>
            </w:pPr>
            <w:r>
              <w:rPr>
                <w:rFonts w:hint="eastAsia" w:ascii="仿宋_GB2312"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vAlign w:val="center"/>
          </w:tcPr>
          <w:p>
            <w:pPr>
              <w:spacing w:line="584" w:lineRule="exact"/>
              <w:jc w:val="center"/>
              <w:rPr>
                <w:rFonts w:ascii="仿宋_GB2312" w:hAnsi="Times New Roman" w:eastAsia="仿宋_GB2312" w:cs="Times New Roman"/>
                <w:sz w:val="22"/>
              </w:rPr>
            </w:pPr>
            <w:r>
              <w:rPr>
                <w:rFonts w:hint="eastAsia" w:ascii="仿宋_GB2312" w:hAnsi="Times New Roman" w:eastAsia="仿宋_GB2312" w:cs="Times New Roman"/>
                <w:sz w:val="22"/>
              </w:rPr>
              <w:t>2</w:t>
            </w:r>
          </w:p>
        </w:tc>
        <w:tc>
          <w:tcPr>
            <w:tcW w:w="5103" w:type="dxa"/>
            <w:tcBorders>
              <w:top w:val="nil"/>
              <w:left w:val="nil"/>
              <w:bottom w:val="single" w:color="auto" w:sz="4" w:space="0"/>
              <w:right w:val="single" w:color="auto" w:sz="4" w:space="0"/>
            </w:tcBorders>
            <w:shd w:val="clear" w:color="auto" w:fill="auto"/>
            <w:vAlign w:val="center"/>
          </w:tcPr>
          <w:p>
            <w:pPr>
              <w:spacing w:line="584" w:lineRule="exact"/>
              <w:jc w:val="center"/>
              <w:rPr>
                <w:rFonts w:ascii="仿宋_GB2312" w:hAnsi="Times New Roman" w:eastAsia="仿宋_GB2312" w:cs="Times New Roman"/>
                <w:sz w:val="22"/>
              </w:rPr>
            </w:pPr>
            <w:r>
              <w:rPr>
                <w:rFonts w:hint="eastAsia" w:ascii="仿宋_GB2312" w:hAnsi="Times New Roman" w:eastAsia="仿宋_GB2312" w:cs="Times New Roman"/>
                <w:sz w:val="22"/>
              </w:rPr>
              <w:t>78.8</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left"/>
              <w:rPr>
                <w:rFonts w:ascii="仿宋_GB2312" w:hAnsi="Times New Roman" w:eastAsia="仿宋_GB2312" w:cs="Times New Roman"/>
                <w:kern w:val="0"/>
                <w:sz w:val="22"/>
              </w:rPr>
            </w:pPr>
            <w:r>
              <w:rPr>
                <w:rFonts w:hint="eastAsia" w:ascii="仿宋_GB2312"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vAlign w:val="center"/>
          </w:tcPr>
          <w:p>
            <w:pPr>
              <w:spacing w:line="584" w:lineRule="exact"/>
              <w:jc w:val="center"/>
              <w:rPr>
                <w:rFonts w:ascii="仿宋_GB2312"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vAlign w:val="center"/>
          </w:tcPr>
          <w:p>
            <w:pPr>
              <w:spacing w:line="584" w:lineRule="exact"/>
              <w:jc w:val="center"/>
              <w:rPr>
                <w:rFonts w:ascii="仿宋_GB2312"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left"/>
              <w:rPr>
                <w:rFonts w:ascii="仿宋_GB2312" w:hAnsi="Times New Roman" w:eastAsia="仿宋_GB2312" w:cs="Times New Roman"/>
                <w:kern w:val="0"/>
                <w:sz w:val="22"/>
              </w:rPr>
            </w:pPr>
            <w:r>
              <w:rPr>
                <w:rFonts w:hint="eastAsia" w:ascii="仿宋_GB2312"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vAlign w:val="center"/>
          </w:tcPr>
          <w:p>
            <w:pPr>
              <w:spacing w:line="584" w:lineRule="exact"/>
              <w:jc w:val="center"/>
              <w:rPr>
                <w:rFonts w:ascii="仿宋_GB2312"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vAlign w:val="center"/>
          </w:tcPr>
          <w:p>
            <w:pPr>
              <w:spacing w:line="584" w:lineRule="exact"/>
              <w:jc w:val="center"/>
              <w:rPr>
                <w:rFonts w:ascii="仿宋_GB2312" w:hAnsi="Times New Roman" w:eastAsia="仿宋_GB2312" w:cs="Times New Roman"/>
                <w:sz w:val="22"/>
              </w:rPr>
            </w:pPr>
            <w:r>
              <w:rPr>
                <w:rFonts w:hint="eastAsia" w:ascii="仿宋_GB2312" w:hAnsi="Times New Roman" w:eastAsia="仿宋_GB2312" w:cs="Times New Roman"/>
                <w:sz w:val="22"/>
              </w:rPr>
              <w:t>447.7</w:t>
            </w:r>
          </w:p>
        </w:tc>
      </w:tr>
    </w:tbl>
    <w:p>
      <w:pPr>
        <w:autoSpaceDE w:val="0"/>
        <w:autoSpaceDN w:val="0"/>
        <w:adjustRightInd w:val="0"/>
        <w:spacing w:line="584" w:lineRule="exact"/>
        <w:ind w:left="198" w:firstLine="640" w:firstLineChars="200"/>
        <w:jc w:val="left"/>
        <w:rPr>
          <w:rFonts w:ascii="Times New Roman" w:hAnsi="Times New Roman" w:eastAsia="仿宋_GB2312" w:cs="Times New Roman"/>
          <w:sz w:val="32"/>
          <w:szCs w:val="32"/>
        </w:rPr>
      </w:pPr>
    </w:p>
    <w:p>
      <w:pPr>
        <w:autoSpaceDE w:val="0"/>
        <w:autoSpaceDN w:val="0"/>
        <w:adjustRightInd w:val="0"/>
        <w:spacing w:line="584" w:lineRule="exact"/>
        <w:ind w:firstLine="640" w:firstLineChars="200"/>
        <w:jc w:val="left"/>
        <w:rPr>
          <w:rFonts w:ascii="Times New Roman" w:hAnsi="黑体"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指省级财政当年拨付的资金。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我部门无其他需要说明的事项。</w:t>
      </w:r>
    </w:p>
    <w:sectPr>
      <w:pgSz w:w="16838" w:h="11906" w:orient="landscape"/>
      <w:pgMar w:top="1800" w:right="1440" w:bottom="1800" w:left="144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04349198"/>
    </w:sdtPr>
    <w:sdtContent>
      <w:p>
        <w:pPr>
          <w:pStyle w:val="3"/>
          <w:jc w:val="center"/>
        </w:pPr>
        <w:r>
          <w:rPr>
            <w:rFonts w:hint="eastAsia"/>
          </w:rPr>
          <w:t>-</w:t>
        </w:r>
        <w:r>
          <w:fldChar w:fldCharType="begin"/>
        </w:r>
        <w:r>
          <w:instrText xml:space="preserve">PAGE   \* MERGEFORMAT</w:instrText>
        </w:r>
        <w:r>
          <w:fldChar w:fldCharType="separate"/>
        </w:r>
        <w:r>
          <w:rPr>
            <w:lang w:val="zh-CN"/>
          </w:rPr>
          <w:t>24</w:t>
        </w:r>
        <w:r>
          <w:rPr>
            <w:lang w:val="zh-CN"/>
          </w:rPr>
          <w:fldChar w:fldCharType="end"/>
        </w:r>
        <w:r>
          <w:rPr>
            <w:rFonts w:hint="eastAsia"/>
          </w:rPr>
          <w:t>-</w:t>
        </w:r>
      </w:p>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14299695"/>
    </w:sdtPr>
    <w:sdtContent>
      <w:p>
        <w:pPr>
          <w:pStyle w:val="3"/>
          <w:jc w:val="center"/>
        </w:pPr>
        <w:r>
          <w:fldChar w:fldCharType="begin"/>
        </w:r>
        <w:r>
          <w:instrText xml:space="preserve">PAGE   \* MERGEFORMAT</w:instrText>
        </w:r>
        <w:r>
          <w:fldChar w:fldCharType="separate"/>
        </w:r>
        <w:r>
          <w:rPr>
            <w:lang w:val="zh-CN"/>
          </w:rPr>
          <w:t>22</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032"/>
    <w:rsid w:val="000053CC"/>
    <w:rsid w:val="00037AF6"/>
    <w:rsid w:val="000410F2"/>
    <w:rsid w:val="0004565F"/>
    <w:rsid w:val="00072187"/>
    <w:rsid w:val="00075D5F"/>
    <w:rsid w:val="00076B86"/>
    <w:rsid w:val="0008180F"/>
    <w:rsid w:val="00085A85"/>
    <w:rsid w:val="00093DA3"/>
    <w:rsid w:val="000B529B"/>
    <w:rsid w:val="000C24E6"/>
    <w:rsid w:val="000C3A19"/>
    <w:rsid w:val="000C7F5B"/>
    <w:rsid w:val="000E4305"/>
    <w:rsid w:val="000F0D09"/>
    <w:rsid w:val="001245BB"/>
    <w:rsid w:val="001251A3"/>
    <w:rsid w:val="0015229A"/>
    <w:rsid w:val="00160266"/>
    <w:rsid w:val="001643E8"/>
    <w:rsid w:val="00176C13"/>
    <w:rsid w:val="001919C4"/>
    <w:rsid w:val="0019723B"/>
    <w:rsid w:val="001A0943"/>
    <w:rsid w:val="001B5C1D"/>
    <w:rsid w:val="001E0757"/>
    <w:rsid w:val="001E6DDC"/>
    <w:rsid w:val="001E70E9"/>
    <w:rsid w:val="001F5C92"/>
    <w:rsid w:val="001F7873"/>
    <w:rsid w:val="00230E48"/>
    <w:rsid w:val="00241FD4"/>
    <w:rsid w:val="00246317"/>
    <w:rsid w:val="00251B12"/>
    <w:rsid w:val="00265318"/>
    <w:rsid w:val="00265F39"/>
    <w:rsid w:val="002835D7"/>
    <w:rsid w:val="00290FD6"/>
    <w:rsid w:val="00292821"/>
    <w:rsid w:val="00296113"/>
    <w:rsid w:val="002A673A"/>
    <w:rsid w:val="002B72DA"/>
    <w:rsid w:val="002C5E13"/>
    <w:rsid w:val="002C62BC"/>
    <w:rsid w:val="002E0EB8"/>
    <w:rsid w:val="002F3E58"/>
    <w:rsid w:val="0030542C"/>
    <w:rsid w:val="00311B7A"/>
    <w:rsid w:val="003126B6"/>
    <w:rsid w:val="00313D9C"/>
    <w:rsid w:val="00325215"/>
    <w:rsid w:val="0033339C"/>
    <w:rsid w:val="00335660"/>
    <w:rsid w:val="00397398"/>
    <w:rsid w:val="003B6D37"/>
    <w:rsid w:val="00414BD3"/>
    <w:rsid w:val="00420090"/>
    <w:rsid w:val="00424943"/>
    <w:rsid w:val="0042727E"/>
    <w:rsid w:val="0043175C"/>
    <w:rsid w:val="00437296"/>
    <w:rsid w:val="00451590"/>
    <w:rsid w:val="00451871"/>
    <w:rsid w:val="004706DE"/>
    <w:rsid w:val="00472923"/>
    <w:rsid w:val="00486DCD"/>
    <w:rsid w:val="0049120C"/>
    <w:rsid w:val="004B0C3A"/>
    <w:rsid w:val="004C49A8"/>
    <w:rsid w:val="004C58D3"/>
    <w:rsid w:val="004D5788"/>
    <w:rsid w:val="004E3066"/>
    <w:rsid w:val="004E419C"/>
    <w:rsid w:val="004E74CD"/>
    <w:rsid w:val="004E791D"/>
    <w:rsid w:val="00524EFD"/>
    <w:rsid w:val="00550693"/>
    <w:rsid w:val="00572067"/>
    <w:rsid w:val="00573562"/>
    <w:rsid w:val="00590ECE"/>
    <w:rsid w:val="005C0E90"/>
    <w:rsid w:val="005D0C27"/>
    <w:rsid w:val="005D37CA"/>
    <w:rsid w:val="005F5714"/>
    <w:rsid w:val="005F7AE1"/>
    <w:rsid w:val="00600FB3"/>
    <w:rsid w:val="00611D03"/>
    <w:rsid w:val="00614A29"/>
    <w:rsid w:val="00651BA2"/>
    <w:rsid w:val="00654FB9"/>
    <w:rsid w:val="00673D76"/>
    <w:rsid w:val="006854F0"/>
    <w:rsid w:val="006B1C4A"/>
    <w:rsid w:val="006B610D"/>
    <w:rsid w:val="006C206A"/>
    <w:rsid w:val="006E49F5"/>
    <w:rsid w:val="007013C8"/>
    <w:rsid w:val="00727C84"/>
    <w:rsid w:val="00731360"/>
    <w:rsid w:val="0074338E"/>
    <w:rsid w:val="00753836"/>
    <w:rsid w:val="0075393C"/>
    <w:rsid w:val="00754592"/>
    <w:rsid w:val="00776C08"/>
    <w:rsid w:val="00790ABF"/>
    <w:rsid w:val="007B49AA"/>
    <w:rsid w:val="007C219A"/>
    <w:rsid w:val="007E1DA8"/>
    <w:rsid w:val="007E4B05"/>
    <w:rsid w:val="007E7D24"/>
    <w:rsid w:val="007F1335"/>
    <w:rsid w:val="007F6C26"/>
    <w:rsid w:val="00800F72"/>
    <w:rsid w:val="00811795"/>
    <w:rsid w:val="00813208"/>
    <w:rsid w:val="00815157"/>
    <w:rsid w:val="0083348E"/>
    <w:rsid w:val="008334AE"/>
    <w:rsid w:val="00836FED"/>
    <w:rsid w:val="0083724E"/>
    <w:rsid w:val="00841D53"/>
    <w:rsid w:val="00843DF8"/>
    <w:rsid w:val="00845CD2"/>
    <w:rsid w:val="00852B0D"/>
    <w:rsid w:val="0085425A"/>
    <w:rsid w:val="00862CE4"/>
    <w:rsid w:val="00864B7F"/>
    <w:rsid w:val="00881692"/>
    <w:rsid w:val="00882539"/>
    <w:rsid w:val="00884D13"/>
    <w:rsid w:val="008858FF"/>
    <w:rsid w:val="008A6576"/>
    <w:rsid w:val="008B07F3"/>
    <w:rsid w:val="008B3CC5"/>
    <w:rsid w:val="008B3E56"/>
    <w:rsid w:val="008B52CD"/>
    <w:rsid w:val="008C7C4D"/>
    <w:rsid w:val="008E4261"/>
    <w:rsid w:val="008E70D4"/>
    <w:rsid w:val="008F4662"/>
    <w:rsid w:val="0090563F"/>
    <w:rsid w:val="00905D08"/>
    <w:rsid w:val="00925753"/>
    <w:rsid w:val="00937F8B"/>
    <w:rsid w:val="009425F4"/>
    <w:rsid w:val="00943BD8"/>
    <w:rsid w:val="00954B2C"/>
    <w:rsid w:val="00966C5C"/>
    <w:rsid w:val="009676A1"/>
    <w:rsid w:val="00973104"/>
    <w:rsid w:val="009842F6"/>
    <w:rsid w:val="00984E9A"/>
    <w:rsid w:val="00995BF0"/>
    <w:rsid w:val="00996540"/>
    <w:rsid w:val="009A16D5"/>
    <w:rsid w:val="009A353D"/>
    <w:rsid w:val="009B0B77"/>
    <w:rsid w:val="009B511E"/>
    <w:rsid w:val="009B5215"/>
    <w:rsid w:val="009C6C86"/>
    <w:rsid w:val="009D37D3"/>
    <w:rsid w:val="009D3807"/>
    <w:rsid w:val="00A16E6C"/>
    <w:rsid w:val="00A40F60"/>
    <w:rsid w:val="00A44E3D"/>
    <w:rsid w:val="00A72D2E"/>
    <w:rsid w:val="00A74447"/>
    <w:rsid w:val="00A74CE5"/>
    <w:rsid w:val="00A77500"/>
    <w:rsid w:val="00A8536F"/>
    <w:rsid w:val="00A911E7"/>
    <w:rsid w:val="00A939D9"/>
    <w:rsid w:val="00AB77AA"/>
    <w:rsid w:val="00AC0E98"/>
    <w:rsid w:val="00AC4748"/>
    <w:rsid w:val="00AD5259"/>
    <w:rsid w:val="00B01D36"/>
    <w:rsid w:val="00B078CD"/>
    <w:rsid w:val="00B20712"/>
    <w:rsid w:val="00B40832"/>
    <w:rsid w:val="00B43238"/>
    <w:rsid w:val="00B45DD3"/>
    <w:rsid w:val="00B54B90"/>
    <w:rsid w:val="00B567D7"/>
    <w:rsid w:val="00B6358B"/>
    <w:rsid w:val="00B64FA8"/>
    <w:rsid w:val="00B73582"/>
    <w:rsid w:val="00B75216"/>
    <w:rsid w:val="00B755A2"/>
    <w:rsid w:val="00B9104C"/>
    <w:rsid w:val="00B91D52"/>
    <w:rsid w:val="00B9490F"/>
    <w:rsid w:val="00BA1ACD"/>
    <w:rsid w:val="00BD09F8"/>
    <w:rsid w:val="00BE356A"/>
    <w:rsid w:val="00C005B2"/>
    <w:rsid w:val="00C1565C"/>
    <w:rsid w:val="00C21E0F"/>
    <w:rsid w:val="00C362CA"/>
    <w:rsid w:val="00C37A99"/>
    <w:rsid w:val="00C772C1"/>
    <w:rsid w:val="00C93D22"/>
    <w:rsid w:val="00CA7176"/>
    <w:rsid w:val="00CB51D7"/>
    <w:rsid w:val="00CC75B0"/>
    <w:rsid w:val="00CD2773"/>
    <w:rsid w:val="00CE01BA"/>
    <w:rsid w:val="00CE143B"/>
    <w:rsid w:val="00CE3A91"/>
    <w:rsid w:val="00D07DBA"/>
    <w:rsid w:val="00D23C16"/>
    <w:rsid w:val="00D27003"/>
    <w:rsid w:val="00D324AD"/>
    <w:rsid w:val="00D9307A"/>
    <w:rsid w:val="00DB4322"/>
    <w:rsid w:val="00DD1D0C"/>
    <w:rsid w:val="00DE186D"/>
    <w:rsid w:val="00E167C7"/>
    <w:rsid w:val="00E440CF"/>
    <w:rsid w:val="00E55B78"/>
    <w:rsid w:val="00E76361"/>
    <w:rsid w:val="00E77254"/>
    <w:rsid w:val="00E84020"/>
    <w:rsid w:val="00EB7A80"/>
    <w:rsid w:val="00EC47F6"/>
    <w:rsid w:val="00EE6D6D"/>
    <w:rsid w:val="00EF08C9"/>
    <w:rsid w:val="00EF2784"/>
    <w:rsid w:val="00EF535E"/>
    <w:rsid w:val="00F15CF0"/>
    <w:rsid w:val="00F471F7"/>
    <w:rsid w:val="00F66032"/>
    <w:rsid w:val="00F83B96"/>
    <w:rsid w:val="00F8441D"/>
    <w:rsid w:val="00F87C1E"/>
    <w:rsid w:val="00F958C2"/>
    <w:rsid w:val="00FA2361"/>
    <w:rsid w:val="00FA740E"/>
    <w:rsid w:val="00FC06C7"/>
    <w:rsid w:val="00FD5DB4"/>
    <w:rsid w:val="00FE1724"/>
    <w:rsid w:val="00FE753C"/>
    <w:rsid w:val="00FF2346"/>
    <w:rsid w:val="061E1CC4"/>
    <w:rsid w:val="0A0F057C"/>
    <w:rsid w:val="0A160FD9"/>
    <w:rsid w:val="0C89038B"/>
    <w:rsid w:val="11920911"/>
    <w:rsid w:val="2B235408"/>
    <w:rsid w:val="31F32ABA"/>
    <w:rsid w:val="37D35E39"/>
    <w:rsid w:val="3EAA310B"/>
    <w:rsid w:val="5B177D77"/>
    <w:rsid w:val="605F6C63"/>
    <w:rsid w:val="62BF06D1"/>
    <w:rsid w:val="64D02A62"/>
    <w:rsid w:val="6CCD31CB"/>
    <w:rsid w:val="6E2A4510"/>
    <w:rsid w:val="74A97268"/>
    <w:rsid w:val="784E12A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unhideWhenUsed/>
    <w:qFormat/>
    <w:uiPriority w:val="99"/>
    <w:rPr>
      <w:sz w:val="18"/>
      <w:szCs w:val="18"/>
    </w:rPr>
  </w:style>
  <w:style w:type="paragraph" w:styleId="3">
    <w:name w:val="footer"/>
    <w:basedOn w:val="1"/>
    <w:link w:val="12"/>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4">
    <w:name w:val="header"/>
    <w:basedOn w:val="1"/>
    <w:link w:val="11"/>
    <w:qFormat/>
    <w:uiPriority w:val="99"/>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5">
    <w:name w:val="toc 1"/>
    <w:basedOn w:val="1"/>
    <w:next w:val="1"/>
    <w:qFormat/>
    <w:uiPriority w:val="39"/>
    <w:rPr>
      <w:rFonts w:ascii="Times New Roman" w:hAnsi="Times New Roman" w:eastAsia="宋体" w:cs="Times New Roman"/>
      <w:szCs w:val="24"/>
    </w:rPr>
  </w:style>
  <w:style w:type="paragraph" w:styleId="6">
    <w:name w:val="footnote text"/>
    <w:basedOn w:val="1"/>
    <w:link w:val="15"/>
    <w:unhideWhenUsed/>
    <w:qFormat/>
    <w:uiPriority w:val="99"/>
    <w:pPr>
      <w:snapToGrid w:val="0"/>
      <w:jc w:val="left"/>
    </w:pPr>
    <w:rPr>
      <w:rFonts w:ascii="Calibri" w:hAnsi="Calibri" w:eastAsia="宋体" w:cs="Times New Roman"/>
      <w:sz w:val="18"/>
      <w:szCs w:val="18"/>
    </w:rPr>
  </w:style>
  <w:style w:type="paragraph" w:styleId="7">
    <w:name w:val="toc 2"/>
    <w:basedOn w:val="1"/>
    <w:next w:val="1"/>
    <w:qFormat/>
    <w:uiPriority w:val="39"/>
    <w:pPr>
      <w:ind w:left="420" w:leftChars="200"/>
    </w:pPr>
    <w:rPr>
      <w:rFonts w:ascii="Times New Roman" w:hAnsi="Times New Roman" w:eastAsia="宋体" w:cs="Times New Roman"/>
      <w:szCs w:val="24"/>
    </w:rPr>
  </w:style>
  <w:style w:type="character" w:styleId="10">
    <w:name w:val="footnote reference"/>
    <w:unhideWhenUsed/>
    <w:qFormat/>
    <w:uiPriority w:val="99"/>
    <w:rPr>
      <w:vertAlign w:val="superscript"/>
    </w:rPr>
  </w:style>
  <w:style w:type="character" w:customStyle="1" w:styleId="11">
    <w:name w:val="页眉 Char"/>
    <w:basedOn w:val="9"/>
    <w:link w:val="4"/>
    <w:qFormat/>
    <w:uiPriority w:val="99"/>
    <w:rPr>
      <w:rFonts w:ascii="Times New Roman" w:hAnsi="Times New Roman" w:eastAsia="宋体" w:cs="Times New Roman"/>
      <w:sz w:val="18"/>
      <w:szCs w:val="18"/>
    </w:rPr>
  </w:style>
  <w:style w:type="character" w:customStyle="1" w:styleId="12">
    <w:name w:val="页脚 Char"/>
    <w:basedOn w:val="9"/>
    <w:link w:val="3"/>
    <w:qFormat/>
    <w:uiPriority w:val="99"/>
    <w:rPr>
      <w:rFonts w:ascii="Times New Roman" w:hAnsi="Times New Roman" w:eastAsia="宋体" w:cs="Times New Roman"/>
      <w:sz w:val="18"/>
      <w:szCs w:val="18"/>
    </w:rPr>
  </w:style>
  <w:style w:type="character" w:customStyle="1" w:styleId="13">
    <w:name w:val="批注框文本 Char"/>
    <w:basedOn w:val="9"/>
    <w:link w:val="2"/>
    <w:semiHidden/>
    <w:qFormat/>
    <w:uiPriority w:val="99"/>
    <w:rPr>
      <w:sz w:val="18"/>
      <w:szCs w:val="18"/>
    </w:rPr>
  </w:style>
  <w:style w:type="paragraph" w:customStyle="1" w:styleId="14">
    <w:name w:val="Default"/>
    <w:qFormat/>
    <w:uiPriority w:val="0"/>
    <w:pPr>
      <w:widowControl w:val="0"/>
      <w:autoSpaceDE w:val="0"/>
      <w:autoSpaceDN w:val="0"/>
      <w:adjustRightInd w:val="0"/>
    </w:pPr>
    <w:rPr>
      <w:rFonts w:ascii="Times New Roman" w:hAnsi="Times New Roman" w:cs="Times New Roman" w:eastAsiaTheme="minorEastAsia"/>
      <w:color w:val="000000"/>
      <w:sz w:val="24"/>
      <w:szCs w:val="24"/>
      <w:lang w:val="en-US" w:eastAsia="zh-CN" w:bidi="ar-SA"/>
    </w:rPr>
  </w:style>
  <w:style w:type="character" w:customStyle="1" w:styleId="15">
    <w:name w:val="脚注文本 Char"/>
    <w:basedOn w:val="9"/>
    <w:link w:val="6"/>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F39D8C-33CF-4817-BF40-5496AA5B1DA0}">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24</Pages>
  <Words>2044</Words>
  <Characters>11654</Characters>
  <Lines>97</Lines>
  <Paragraphs>27</Paragraphs>
  <TotalTime>27</TotalTime>
  <ScaleCrop>false</ScaleCrop>
  <LinksUpToDate>false</LinksUpToDate>
  <CharactersWithSpaces>13671</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2019-02-13T02:12:00Z</dcterms:created>
  <dc:creator>guest</dc:creator>
  <cp:lastModifiedBy>111</cp:lastModifiedBy>
  <cp:lastPrinted>2019-02-18T02:45:00Z</cp:lastPrinted>
  <dcterms:modified xsi:type="dcterms:W3CDTF">2024-07-22T08:13:26Z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A73D63C5278C484EB5E8B592F2215E76</vt:lpwstr>
  </property>
</Properties>
</file>