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2" w:name="_GoBack"/>
      <w:r>
        <w:rPr>
          <w:rFonts w:hint="eastAsia" w:ascii="Times New Roman" w:hAnsi="Times New Roman" w:eastAsia="方正小标宋简体" w:cs="Times New Roman"/>
          <w:sz w:val="44"/>
          <w:szCs w:val="44"/>
        </w:rPr>
        <w:t>审计局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1.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和省、市、区相关重大政策措施贯彻落实情况进行跟踪审计。对审计、专项审计调查和核查社会审计机构相关审计报告的结果承担责任，并负有督促被审计单位整改的责任。</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2.贯彻执行审计法律、法规和方针、政策，制定审计规范性文件并监督执行；制定并组织实施全区审计工作发展规划和专业领域审计工作规划；制定并组织实施全区年度审计计划；上报、调整年度审计项目计划；对直接审计、调查和核查的事项依法进行审计评价，作出审计决定或提出审计建议。</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3.向中共廊坊市广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4.直接审计下列事项，出具审计报告，在法定职权范围内作出审计决定，包括国家和省、市、区有关重大政策措施贯彻落实情况；区本级预算执行、决算草案和其他财政收支，区直各部门（含所属单位）预算执行情况、决算和其他财政收支，乡级政府及街道办事处预算执行情况、决算和其他财政收支，区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 xml:space="preserve">5.按规定对区管党政主要领导干部及其他单位主要负责人实施经济责任审计和自然资源资产离任审计。       </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6.组织实施对财经法律法规、规章、政策和宏观调控措施执行情况、财政预算管理及国有资产管理使用等与财政收支有关的特定事项进行专项审计调查。</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7.依法检查审计决定执行情况，督促整改审计查出的问题，依法办理被审计单位对审计决定提请行政复议、行政诉讼或区政府裁决中的有关事项，协助配合有关部门查处相关重大案件。</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 xml:space="preserve">8.指导和监督内部审计工作，核查社会审计机构对依法属于审计监督对象的单位出具的相关审计报告。 </w:t>
      </w:r>
    </w:p>
    <w:p>
      <w:pPr>
        <w:spacing w:line="584" w:lineRule="exact"/>
        <w:ind w:firstLine="660"/>
        <w:rPr>
          <w:rFonts w:ascii="仿宋_GB2312" w:eastAsia="仿宋_GB2312" w:cs="仿宋_GB2312"/>
          <w:kern w:val="0"/>
          <w:sz w:val="32"/>
          <w:szCs w:val="32"/>
        </w:rPr>
      </w:pPr>
      <w:r>
        <w:rPr>
          <w:rFonts w:hint="eastAsia" w:ascii="仿宋_GB2312" w:eastAsia="仿宋_GB2312" w:cs="仿宋_GB2312"/>
          <w:kern w:val="0"/>
          <w:sz w:val="32"/>
          <w:szCs w:val="32"/>
        </w:rPr>
        <w:t>9.组织开展审计领域的交流与合作，指导和推广信息技术在审计领域的应用。</w:t>
      </w:r>
    </w:p>
    <w:p>
      <w:pPr>
        <w:spacing w:line="584" w:lineRule="exact"/>
        <w:ind w:firstLine="660"/>
        <w:rPr>
          <w:rFonts w:ascii="Times New Roman" w:hAnsi="Times New Roman" w:eastAsia="仿宋_GB2312" w:cs="Times New Roman"/>
          <w:sz w:val="32"/>
          <w:szCs w:val="32"/>
        </w:rPr>
      </w:pPr>
      <w:r>
        <w:rPr>
          <w:rFonts w:hint="eastAsia" w:ascii="仿宋_GB2312" w:eastAsia="仿宋_GB2312" w:cs="仿宋_GB2312"/>
          <w:kern w:val="0"/>
          <w:sz w:val="32"/>
          <w:szCs w:val="32"/>
        </w:rPr>
        <w:t>10.完成区委、区政府和市审计局交办的其他任务。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廊坊市广阳区审计局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年预算收入350.84万元，其中：一般公共预算收入350.84万元，基金预算收入0万元，财政专户核拨收入0万元，其他来源收入0万元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楷体" w:hAnsi="楷体" w:eastAsia="楷体"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广阳区审计局2021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年支出预算350.84万元，其中基本支出350.84万元，包括人员类项目经费322.83万元和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公用项目经费28.01万元。</w:t>
      </w:r>
    </w:p>
    <w:p>
      <w:pPr>
        <w:spacing w:line="584" w:lineRule="exact"/>
        <w:ind w:firstLine="640"/>
        <w:rPr>
          <w:rFonts w:ascii="楷体" w:hAnsi="楷体" w:eastAsia="楷体" w:cs="Times New Roman"/>
          <w:b/>
          <w:sz w:val="32"/>
          <w:szCs w:val="32"/>
        </w:rPr>
      </w:pPr>
      <w:r>
        <w:rPr>
          <w:rFonts w:ascii="Times New Roman" w:hAnsi="Times New Roman" w:eastAsia="仿宋_GB2312" w:cs="Times New Roman"/>
          <w:b/>
          <w:sz w:val="32"/>
          <w:szCs w:val="32"/>
        </w:rPr>
        <w:t>3、</w:t>
      </w:r>
      <w:r>
        <w:rPr>
          <w:rFonts w:ascii="楷体" w:hAnsi="楷体" w:eastAsia="楷体"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年预算收支安排350.84万元，较20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减少16.88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减少16.88万元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减少人员</w:t>
      </w:r>
      <w:r>
        <w:rPr>
          <w:rFonts w:ascii="Times New Roman" w:hAnsi="Times New Roman" w:eastAsia="仿宋_GB2312" w:cs="Times New Roman"/>
          <w:sz w:val="32"/>
          <w:szCs w:val="32"/>
        </w:rPr>
        <w:t>经费支出；项目支出</w:t>
      </w:r>
      <w:r>
        <w:rPr>
          <w:rFonts w:hint="eastAsia" w:ascii="Times New Roman" w:hAnsi="Times New Roman" w:eastAsia="仿宋_GB2312" w:cs="Times New Roman"/>
          <w:sz w:val="32"/>
          <w:szCs w:val="32"/>
        </w:rPr>
        <w:t>无增减变化</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年，我局机关运行经费共计安排28.01万元，主要用于</w:t>
      </w:r>
      <w:r>
        <w:rPr>
          <w:rFonts w:hint="eastAsia" w:ascii="Times New Roman" w:hAnsi="Times New Roman" w:eastAsia="仿宋_GB2312" w:cs="Times New Roman"/>
          <w:sz w:val="32"/>
          <w:szCs w:val="32"/>
        </w:rPr>
        <w:t>审计局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.19万元（其中：公务用车购置费为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hint="eastAsia" w:ascii="仿宋_GB2312" w:eastAsia="仿宋_GB2312" w:cs="Times New Roman"/>
          <w:sz w:val="32"/>
          <w:szCs w:val="32"/>
        </w:rPr>
      </w:pPr>
      <w:r>
        <w:rPr>
          <w:rFonts w:hint="eastAsia" w:ascii="仿宋_GB2312" w:hAnsi="Times New Roman" w:eastAsia="仿宋_GB2312"/>
          <w:sz w:val="32"/>
          <w:szCs w:val="32"/>
        </w:rPr>
        <w:t>2021年，我局将继续坚持贯彻落实党的十九大精神，按照上级审计机关的部署和要求，围绕区委、区政府工作中心，力争做到“五个强化”，全面履行审计职责，不断加强党风廉政建设、机关作风建设、意识形态和精神文明建设，提升审计质量，防范审计风险，力争为我区经济社会健康发展作出更大贡献。</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一）审计业务。审计部门主管全区审计工作。通过对公共资金、国有资产、国有资源、领导干部经济责任履行情况进行审计，实现审计监督全覆盖，促进国家治理现代化和国民经济健康发展。主要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经济领域中带有全局性、普遍性、倾向性的特定事项进行系统调查了解并向区政府报告情况和结果。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二）审计管理。审计部门进行内部审计管理和审计法制管理。通过建立健全法规，加大内部审计管理制度提高审计质量和审计机关法制管理水平。制定内部审计措施并组织落实；制定内部审计业务规章、制度、管理办法等并开展监督检查；指导内部审计业务，受理内审业务咨询，提高内部审计质量；协调内部审计和国家审计间工作，保障内部审计工作的顺利进行；控制费用标准严格。</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三）审计政务管理。主要包括系统综合业务管理和机关综合事务管理。充分发挥参谋助手作用和综合协调作用，推进审计事业科学协调发展。具体分为：组织开展信息化建设、教育培训、审计理论研究，抓好新闻宣传和文化建设、政务信息公开，开展审计服务和业务咨询。做到信息保障安全有效，信息化建设稳步推进；加强宣传引导；提高人员业务水平；促进审计文化研究，推动审计事业发展。</w:t>
      </w:r>
    </w:p>
    <w:p>
      <w:pPr>
        <w:spacing w:line="584" w:lineRule="exact"/>
        <w:ind w:firstLine="643"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（三）工作保障措施</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一）强化财政预算执行和财政财务收支审计，提高财政资金使用效益。围绕财政“重点、热点、难点”问题，把百姓关注、政府关心的问题作为审计重点。合理安排2021年预算执行和决算以及其他财政财务收支审计项目。</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二）强化领导干部经济责任审计，促进领导干部依法履职。以贯彻落实党和国家有关方针政策和决策部署，推动领导干部守法、守纪、守规、尽责为目标，利用现有审计资源，统筹安排审计力量，充分发挥审计合力，进一步改进审计方法，注重边审边改，不断完善审计评价体系。</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三）以加强内审建设为抓手，全力推进内审工作发展。进一步加强对我区内部审计工作的指导和监督，加大成果利用，增强国家审计和内部审计的监督合力，全面促进内部审计工作发展，向审计工作全覆盖迈进。</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（四）坚持审计改革创新，从监督层面提高审计质量。坚持以现代审计理念拓展审计思路，创新审计方式方法，实现审计工作“三个转变”。</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五）以信息化建设为载体，推动审计信息化建设及大数据应用。进一步探索“两横两纵”审计模式，加强审计信息化建设，着力推进大数据审计，积极学习大数据审计的先进经验和做法，为以后开展大数据审计奠定基础。</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六）强化审计人员综合素质，提升审计项目质量。强化政治理论学习，加强审计业务培训，开展提质提效创建活动，加大审计成果转化和综合利用，关注审计问题整改，注重提高审计建议的前瞻性和针对性，继续规范审计程序，强化审理和业务会的重要作用，全面切实提升审计项目质量。</w:t>
      </w:r>
    </w:p>
    <w:p>
      <w:pPr>
        <w:spacing w:line="584" w:lineRule="exact"/>
        <w:ind w:firstLine="640" w:firstLineChars="200"/>
        <w:rPr>
          <w:rFonts w:ascii="仿宋_GB2312" w:hAnsi="Times New Roman" w:eastAsia="仿宋_GB2312"/>
          <w:sz w:val="32"/>
          <w:szCs w:val="32"/>
        </w:rPr>
      </w:pPr>
      <w:r>
        <w:rPr>
          <w:rFonts w:ascii="仿宋_GB2312" w:hAnsi="Times New Roman" w:eastAsia="仿宋_GB2312"/>
          <w:sz w:val="32"/>
          <w:szCs w:val="32"/>
        </w:rPr>
        <w:t xml:space="preserve">    （七）强化作风建设和廉政建设，夯实审计工作堡垒。不断加强审计作风建设，认真贯彻落实中央八项规定、省市区委区政府的有关要求，倡导勤俭节约，坚持文明审计。</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87"/>
        <w:gridCol w:w="851"/>
        <w:gridCol w:w="1984"/>
        <w:gridCol w:w="884"/>
        <w:gridCol w:w="2694"/>
        <w:gridCol w:w="850"/>
        <w:gridCol w:w="534"/>
        <w:gridCol w:w="8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8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5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69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26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2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87" w:type="dxa"/>
            <w:vMerge w:val="continue"/>
            <w:tcBorders>
              <w:tl2br w:val="nil"/>
              <w:tr2bl w:val="nil"/>
            </w:tcBorders>
            <w:vAlign w:val="center"/>
          </w:tcPr>
          <w:p/>
        </w:tc>
        <w:tc>
          <w:tcPr>
            <w:tcW w:w="851" w:type="dxa"/>
            <w:vMerge w:val="continue"/>
            <w:tcBorders>
              <w:tl2br w:val="nil"/>
              <w:tr2bl w:val="nil"/>
            </w:tcBorders>
            <w:vAlign w:val="center"/>
          </w:tcPr>
          <w:p/>
        </w:tc>
        <w:tc>
          <w:tcPr>
            <w:tcW w:w="1984" w:type="dxa"/>
            <w:vMerge w:val="continue"/>
            <w:tcBorders>
              <w:tl2br w:val="nil"/>
              <w:tr2bl w:val="nil"/>
            </w:tcBorders>
            <w:vAlign w:val="center"/>
          </w:tcPr>
          <w:p/>
        </w:tc>
        <w:tc>
          <w:tcPr>
            <w:tcW w:w="884" w:type="dxa"/>
            <w:vMerge w:val="continue"/>
            <w:tcBorders>
              <w:tl2br w:val="nil"/>
              <w:tr2bl w:val="nil"/>
            </w:tcBorders>
            <w:vAlign w:val="center"/>
          </w:tcPr>
          <w:p/>
        </w:tc>
        <w:tc>
          <w:tcPr>
            <w:tcW w:w="2694" w:type="dxa"/>
            <w:vMerge w:val="continue"/>
            <w:tcBorders>
              <w:tl2br w:val="nil"/>
              <w:tr2bl w:val="nil"/>
            </w:tcBorders>
            <w:vAlign w:val="center"/>
          </w:tcPr>
          <w:p/>
        </w:tc>
        <w:tc>
          <w:tcPr>
            <w:tcW w:w="8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3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8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26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8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9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审计项目完成率</w:t>
            </w:r>
          </w:p>
        </w:tc>
        <w:tc>
          <w:tcPr>
            <w:tcW w:w="8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10</w:t>
            </w:r>
          </w:p>
        </w:tc>
        <w:tc>
          <w:tcPr>
            <w:tcW w:w="269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实际完成项目数占全年项目总数的比率</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53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90</w:t>
            </w:r>
          </w:p>
        </w:tc>
        <w:tc>
          <w:tcPr>
            <w:tcW w:w="88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226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年初审计项目计划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8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9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维持机关正常运行</w:t>
            </w:r>
          </w:p>
        </w:tc>
        <w:tc>
          <w:tcPr>
            <w:tcW w:w="8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20</w:t>
            </w:r>
          </w:p>
        </w:tc>
        <w:tc>
          <w:tcPr>
            <w:tcW w:w="269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维持机关正常运行</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53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90</w:t>
            </w:r>
          </w:p>
        </w:tc>
        <w:tc>
          <w:tcPr>
            <w:tcW w:w="88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226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维持机关正常运行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8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9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按时完成</w:t>
            </w:r>
          </w:p>
        </w:tc>
        <w:tc>
          <w:tcPr>
            <w:tcW w:w="8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10</w:t>
            </w:r>
          </w:p>
        </w:tc>
        <w:tc>
          <w:tcPr>
            <w:tcW w:w="269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年底前完成全年审计项目计划</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文字描述</w:t>
            </w:r>
          </w:p>
        </w:tc>
        <w:tc>
          <w:tcPr>
            <w:tcW w:w="534" w:type="dxa"/>
            <w:tcBorders>
              <w:tl2br w:val="nil"/>
              <w:tr2bl w:val="nil"/>
            </w:tcBorders>
            <w:vAlign w:val="center"/>
          </w:tcPr>
          <w:p>
            <w:pPr>
              <w:widowControl/>
              <w:adjustRightInd w:val="0"/>
              <w:snapToGrid w:val="0"/>
              <w:jc w:val="center"/>
              <w:rPr>
                <w:rFonts w:ascii="方正书宋_GBK" w:eastAsia="方正书宋_GBK"/>
              </w:rPr>
            </w:pPr>
          </w:p>
        </w:tc>
        <w:tc>
          <w:tcPr>
            <w:tcW w:w="88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12月</w:t>
            </w:r>
          </w:p>
        </w:tc>
        <w:tc>
          <w:tcPr>
            <w:tcW w:w="226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年初审计项目计划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8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9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成本控制</w:t>
            </w:r>
          </w:p>
        </w:tc>
        <w:tc>
          <w:tcPr>
            <w:tcW w:w="8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10</w:t>
            </w:r>
          </w:p>
        </w:tc>
        <w:tc>
          <w:tcPr>
            <w:tcW w:w="269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严格控制各项费用</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文字描述</w:t>
            </w:r>
          </w:p>
        </w:tc>
        <w:tc>
          <w:tcPr>
            <w:tcW w:w="534" w:type="dxa"/>
            <w:tcBorders>
              <w:tl2br w:val="nil"/>
              <w:tr2bl w:val="nil"/>
            </w:tcBorders>
            <w:vAlign w:val="center"/>
          </w:tcPr>
          <w:p>
            <w:pPr>
              <w:widowControl/>
              <w:adjustRightInd w:val="0"/>
              <w:snapToGrid w:val="0"/>
              <w:jc w:val="center"/>
              <w:rPr>
                <w:rFonts w:ascii="方正书宋_GBK" w:eastAsia="方正书宋_GBK"/>
              </w:rPr>
            </w:pPr>
          </w:p>
        </w:tc>
        <w:tc>
          <w:tcPr>
            <w:tcW w:w="88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严格控制费用开支</w:t>
            </w:r>
          </w:p>
        </w:tc>
        <w:tc>
          <w:tcPr>
            <w:tcW w:w="226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47" w:hRule="atLeast"/>
          <w:jc w:val="center"/>
        </w:trPr>
        <w:tc>
          <w:tcPr>
            <w:tcW w:w="68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9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社会效益提升</w:t>
            </w:r>
          </w:p>
        </w:tc>
        <w:tc>
          <w:tcPr>
            <w:tcW w:w="8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20</w:t>
            </w:r>
          </w:p>
        </w:tc>
        <w:tc>
          <w:tcPr>
            <w:tcW w:w="269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促进被审计单位财务规范，提升财政资金使用效益</w:t>
            </w:r>
          </w:p>
        </w:tc>
        <w:tc>
          <w:tcPr>
            <w:tcW w:w="850"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文字描述</w:t>
            </w:r>
          </w:p>
        </w:tc>
        <w:tc>
          <w:tcPr>
            <w:tcW w:w="534" w:type="dxa"/>
            <w:tcBorders>
              <w:tl2br w:val="nil"/>
              <w:tr2bl w:val="nil"/>
            </w:tcBorders>
            <w:vAlign w:val="center"/>
          </w:tcPr>
          <w:p>
            <w:pPr>
              <w:widowControl/>
              <w:adjustRightInd w:val="0"/>
              <w:snapToGrid w:val="0"/>
              <w:jc w:val="center"/>
              <w:rPr>
                <w:rFonts w:ascii="方正书宋_GBK" w:eastAsia="方正书宋_GBK"/>
              </w:rPr>
            </w:pPr>
          </w:p>
        </w:tc>
        <w:tc>
          <w:tcPr>
            <w:tcW w:w="88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提升</w:t>
            </w:r>
          </w:p>
        </w:tc>
        <w:tc>
          <w:tcPr>
            <w:tcW w:w="226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促进被审计单位财务规范，提升财政资金使用效益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8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984" w:type="dxa"/>
            <w:tcBorders>
              <w:tl2br w:val="nil"/>
              <w:tr2bl w:val="nil"/>
            </w:tcBorders>
            <w:vAlign w:val="center"/>
          </w:tcPr>
          <w:p>
            <w:pPr>
              <w:widowControl/>
              <w:adjustRightInd w:val="0"/>
              <w:snapToGrid w:val="0"/>
              <w:rPr>
                <w:rFonts w:ascii="方正书宋_GBK" w:eastAsia="方正书宋_GBK"/>
              </w:rPr>
            </w:pPr>
          </w:p>
        </w:tc>
        <w:tc>
          <w:tcPr>
            <w:tcW w:w="884" w:type="dxa"/>
            <w:tcBorders>
              <w:tl2br w:val="nil"/>
              <w:tr2bl w:val="nil"/>
            </w:tcBorders>
            <w:vAlign w:val="center"/>
          </w:tcPr>
          <w:p>
            <w:pPr>
              <w:widowControl/>
              <w:adjustRightInd w:val="0"/>
              <w:snapToGrid w:val="0"/>
              <w:rPr>
                <w:rFonts w:ascii="方正书宋_GBK" w:eastAsia="方正书宋_GBK"/>
              </w:rPr>
            </w:pPr>
          </w:p>
        </w:tc>
        <w:tc>
          <w:tcPr>
            <w:tcW w:w="2694" w:type="dxa"/>
            <w:tcBorders>
              <w:tl2br w:val="nil"/>
              <w:tr2bl w:val="nil"/>
            </w:tcBorders>
            <w:vAlign w:val="center"/>
          </w:tcPr>
          <w:p>
            <w:pPr>
              <w:widowControl/>
              <w:adjustRightInd w:val="0"/>
              <w:snapToGrid w:val="0"/>
              <w:rPr>
                <w:rFonts w:ascii="方正书宋_GBK" w:eastAsia="方正书宋_GBK"/>
              </w:rPr>
            </w:pPr>
          </w:p>
        </w:tc>
        <w:tc>
          <w:tcPr>
            <w:tcW w:w="850" w:type="dxa"/>
            <w:tcBorders>
              <w:tl2br w:val="nil"/>
              <w:tr2bl w:val="nil"/>
            </w:tcBorders>
            <w:vAlign w:val="center"/>
          </w:tcPr>
          <w:p>
            <w:pPr>
              <w:widowControl/>
              <w:adjustRightInd w:val="0"/>
              <w:snapToGrid w:val="0"/>
              <w:rPr>
                <w:rFonts w:ascii="方正书宋_GBK" w:eastAsia="方正书宋_GBK"/>
              </w:rPr>
            </w:pPr>
          </w:p>
        </w:tc>
        <w:tc>
          <w:tcPr>
            <w:tcW w:w="534" w:type="dxa"/>
            <w:tcBorders>
              <w:tl2br w:val="nil"/>
              <w:tr2bl w:val="nil"/>
            </w:tcBorders>
            <w:vAlign w:val="center"/>
          </w:tcPr>
          <w:p>
            <w:pPr>
              <w:widowControl/>
              <w:adjustRightInd w:val="0"/>
              <w:snapToGrid w:val="0"/>
              <w:rPr>
                <w:rFonts w:ascii="方正书宋_GBK" w:eastAsia="方正书宋_GBK"/>
              </w:rPr>
            </w:pPr>
          </w:p>
        </w:tc>
        <w:tc>
          <w:tcPr>
            <w:tcW w:w="884" w:type="dxa"/>
            <w:tcBorders>
              <w:tl2br w:val="nil"/>
              <w:tr2bl w:val="nil"/>
            </w:tcBorders>
            <w:vAlign w:val="center"/>
          </w:tcPr>
          <w:p>
            <w:pPr>
              <w:widowControl/>
              <w:adjustRightInd w:val="0"/>
              <w:snapToGrid w:val="0"/>
              <w:rPr>
                <w:rFonts w:ascii="方正书宋_GBK" w:eastAsia="方正书宋_GBK"/>
              </w:rPr>
            </w:pPr>
          </w:p>
        </w:tc>
        <w:tc>
          <w:tcPr>
            <w:tcW w:w="226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8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984" w:type="dxa"/>
            <w:tcBorders>
              <w:tl2br w:val="nil"/>
              <w:tr2bl w:val="nil"/>
            </w:tcBorders>
            <w:vAlign w:val="center"/>
          </w:tcPr>
          <w:p>
            <w:pPr>
              <w:widowControl/>
              <w:adjustRightInd w:val="0"/>
              <w:snapToGrid w:val="0"/>
              <w:rPr>
                <w:rFonts w:ascii="方正书宋_GBK" w:eastAsia="方正书宋_GBK"/>
              </w:rPr>
            </w:pPr>
          </w:p>
        </w:tc>
        <w:tc>
          <w:tcPr>
            <w:tcW w:w="884" w:type="dxa"/>
            <w:tcBorders>
              <w:tl2br w:val="nil"/>
              <w:tr2bl w:val="nil"/>
            </w:tcBorders>
            <w:vAlign w:val="center"/>
          </w:tcPr>
          <w:p>
            <w:pPr>
              <w:widowControl/>
              <w:adjustRightInd w:val="0"/>
              <w:snapToGrid w:val="0"/>
              <w:rPr>
                <w:rFonts w:ascii="方正书宋_GBK" w:eastAsia="方正书宋_GBK"/>
              </w:rPr>
            </w:pPr>
          </w:p>
        </w:tc>
        <w:tc>
          <w:tcPr>
            <w:tcW w:w="2694" w:type="dxa"/>
            <w:tcBorders>
              <w:tl2br w:val="nil"/>
              <w:tr2bl w:val="nil"/>
            </w:tcBorders>
            <w:vAlign w:val="center"/>
          </w:tcPr>
          <w:p>
            <w:pPr>
              <w:widowControl/>
              <w:adjustRightInd w:val="0"/>
              <w:snapToGrid w:val="0"/>
              <w:rPr>
                <w:rFonts w:ascii="方正书宋_GBK" w:eastAsia="方正书宋_GBK"/>
              </w:rPr>
            </w:pPr>
          </w:p>
        </w:tc>
        <w:tc>
          <w:tcPr>
            <w:tcW w:w="850" w:type="dxa"/>
            <w:tcBorders>
              <w:tl2br w:val="nil"/>
              <w:tr2bl w:val="nil"/>
            </w:tcBorders>
            <w:vAlign w:val="center"/>
          </w:tcPr>
          <w:p>
            <w:pPr>
              <w:widowControl/>
              <w:adjustRightInd w:val="0"/>
              <w:snapToGrid w:val="0"/>
              <w:rPr>
                <w:rFonts w:ascii="方正书宋_GBK" w:eastAsia="方正书宋_GBK"/>
              </w:rPr>
            </w:pPr>
          </w:p>
        </w:tc>
        <w:tc>
          <w:tcPr>
            <w:tcW w:w="534" w:type="dxa"/>
            <w:tcBorders>
              <w:tl2br w:val="nil"/>
              <w:tr2bl w:val="nil"/>
            </w:tcBorders>
            <w:vAlign w:val="center"/>
          </w:tcPr>
          <w:p>
            <w:pPr>
              <w:widowControl/>
              <w:adjustRightInd w:val="0"/>
              <w:snapToGrid w:val="0"/>
              <w:rPr>
                <w:rFonts w:ascii="方正书宋_GBK" w:eastAsia="方正书宋_GBK"/>
              </w:rPr>
            </w:pPr>
          </w:p>
        </w:tc>
        <w:tc>
          <w:tcPr>
            <w:tcW w:w="884" w:type="dxa"/>
            <w:tcBorders>
              <w:tl2br w:val="nil"/>
              <w:tr2bl w:val="nil"/>
            </w:tcBorders>
            <w:vAlign w:val="center"/>
          </w:tcPr>
          <w:p>
            <w:pPr>
              <w:widowControl/>
              <w:adjustRightInd w:val="0"/>
              <w:snapToGrid w:val="0"/>
              <w:rPr>
                <w:rFonts w:ascii="方正书宋_GBK" w:eastAsia="方正书宋_GBK"/>
              </w:rPr>
            </w:pPr>
          </w:p>
        </w:tc>
        <w:tc>
          <w:tcPr>
            <w:tcW w:w="226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687" w:type="dxa"/>
            <w:vMerge w:val="continue"/>
            <w:tcBorders>
              <w:tl2br w:val="nil"/>
              <w:tr2bl w:val="nil"/>
            </w:tcBorders>
            <w:vAlign w:val="center"/>
          </w:tcPr>
          <w:p/>
        </w:tc>
        <w:tc>
          <w:tcPr>
            <w:tcW w:w="851"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984" w:type="dxa"/>
            <w:tcBorders>
              <w:tl2br w:val="nil"/>
              <w:tr2bl w:val="nil"/>
            </w:tcBorders>
            <w:noWrap/>
            <w:vAlign w:val="center"/>
          </w:tcPr>
          <w:p>
            <w:pPr>
              <w:widowControl/>
              <w:adjustRightInd w:val="0"/>
              <w:snapToGrid w:val="0"/>
              <w:rPr>
                <w:rFonts w:ascii="方正书宋_GBK" w:eastAsia="方正书宋_GBK"/>
              </w:rPr>
            </w:pPr>
          </w:p>
        </w:tc>
        <w:tc>
          <w:tcPr>
            <w:tcW w:w="884" w:type="dxa"/>
            <w:tcBorders>
              <w:tl2br w:val="nil"/>
              <w:tr2bl w:val="nil"/>
            </w:tcBorders>
            <w:noWrap/>
            <w:vAlign w:val="center"/>
          </w:tcPr>
          <w:p>
            <w:pPr>
              <w:widowControl/>
              <w:adjustRightInd w:val="0"/>
              <w:snapToGrid w:val="0"/>
              <w:rPr>
                <w:rFonts w:ascii="方正书宋_GBK" w:eastAsia="方正书宋_GBK"/>
              </w:rPr>
            </w:pPr>
          </w:p>
        </w:tc>
        <w:tc>
          <w:tcPr>
            <w:tcW w:w="2694" w:type="dxa"/>
            <w:tcBorders>
              <w:tl2br w:val="nil"/>
              <w:tr2bl w:val="nil"/>
            </w:tcBorders>
            <w:noWrap/>
            <w:vAlign w:val="center"/>
          </w:tcPr>
          <w:p>
            <w:pPr>
              <w:widowControl/>
              <w:adjustRightInd w:val="0"/>
              <w:snapToGrid w:val="0"/>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p>
        </w:tc>
        <w:tc>
          <w:tcPr>
            <w:tcW w:w="534" w:type="dxa"/>
            <w:tcBorders>
              <w:tl2br w:val="nil"/>
              <w:tr2bl w:val="nil"/>
            </w:tcBorders>
            <w:vAlign w:val="center"/>
          </w:tcPr>
          <w:p>
            <w:pPr>
              <w:widowControl/>
              <w:adjustRightInd w:val="0"/>
              <w:snapToGrid w:val="0"/>
              <w:jc w:val="center"/>
              <w:rPr>
                <w:rFonts w:ascii="方正书宋_GBK" w:eastAsia="方正书宋_GBK"/>
              </w:rPr>
            </w:pPr>
          </w:p>
        </w:tc>
        <w:tc>
          <w:tcPr>
            <w:tcW w:w="884" w:type="dxa"/>
            <w:tcBorders>
              <w:tl2br w:val="nil"/>
              <w:tr2bl w:val="nil"/>
            </w:tcBorders>
            <w:vAlign w:val="center"/>
          </w:tcPr>
          <w:p>
            <w:pPr>
              <w:widowControl/>
              <w:adjustRightInd w:val="0"/>
              <w:snapToGrid w:val="0"/>
              <w:jc w:val="center"/>
              <w:rPr>
                <w:rFonts w:ascii="方正书宋_GBK" w:eastAsia="方正书宋_GBK"/>
              </w:rPr>
            </w:pPr>
          </w:p>
        </w:tc>
        <w:tc>
          <w:tcPr>
            <w:tcW w:w="226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8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984" w:type="dxa"/>
            <w:tcBorders>
              <w:tl2br w:val="nil"/>
              <w:tr2bl w:val="nil"/>
            </w:tcBorders>
            <w:noWrap/>
            <w:vAlign w:val="center"/>
          </w:tcPr>
          <w:p>
            <w:pPr>
              <w:widowControl/>
              <w:adjustRightInd w:val="0"/>
              <w:snapToGrid w:val="0"/>
              <w:rPr>
                <w:rFonts w:ascii="方正书宋_GBK" w:eastAsia="方正书宋_GBK"/>
              </w:rPr>
            </w:pPr>
            <w:r>
              <w:rPr>
                <w:rFonts w:ascii="方正书宋_GBK" w:eastAsia="方正书宋_GBK"/>
              </w:rPr>
              <w:t>对审计报告征求意见稿的满意率</w:t>
            </w:r>
          </w:p>
        </w:tc>
        <w:tc>
          <w:tcPr>
            <w:tcW w:w="884" w:type="dxa"/>
            <w:tcBorders>
              <w:tl2br w:val="nil"/>
              <w:tr2bl w:val="nil"/>
            </w:tcBorders>
            <w:noWrap/>
            <w:vAlign w:val="center"/>
          </w:tcPr>
          <w:p>
            <w:pPr>
              <w:widowControl/>
              <w:adjustRightInd w:val="0"/>
              <w:snapToGrid w:val="0"/>
              <w:rPr>
                <w:rFonts w:ascii="方正书宋_GBK" w:eastAsia="方正书宋_GBK"/>
              </w:rPr>
            </w:pPr>
            <w:r>
              <w:rPr>
                <w:rFonts w:ascii="方正书宋_GBK" w:eastAsia="方正书宋_GBK"/>
              </w:rPr>
              <w:t>30</w:t>
            </w:r>
          </w:p>
        </w:tc>
        <w:tc>
          <w:tcPr>
            <w:tcW w:w="2694" w:type="dxa"/>
            <w:tcBorders>
              <w:tl2br w:val="nil"/>
              <w:tr2bl w:val="nil"/>
            </w:tcBorders>
            <w:noWrap/>
            <w:vAlign w:val="center"/>
          </w:tcPr>
          <w:p>
            <w:pPr>
              <w:widowControl/>
              <w:adjustRightInd w:val="0"/>
              <w:snapToGrid w:val="0"/>
              <w:rPr>
                <w:rFonts w:ascii="方正书宋_GBK" w:eastAsia="方正书宋_GBK"/>
              </w:rPr>
            </w:pPr>
            <w:r>
              <w:rPr>
                <w:rFonts w:ascii="方正书宋_GBK" w:eastAsia="方正书宋_GBK"/>
              </w:rPr>
              <w:t>满意的审计报告征求意见稿占全部审计报告征求意见稿的比率</w:t>
            </w:r>
          </w:p>
        </w:tc>
        <w:tc>
          <w:tcPr>
            <w:tcW w:w="85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53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90</w:t>
            </w:r>
          </w:p>
        </w:tc>
        <w:tc>
          <w:tcPr>
            <w:tcW w:w="884"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w:t>
            </w:r>
          </w:p>
        </w:tc>
        <w:tc>
          <w:tcPr>
            <w:tcW w:w="226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年初审计项目计划</w:t>
            </w:r>
          </w:p>
        </w:tc>
      </w:tr>
    </w:tbl>
    <w:p>
      <w:pPr>
        <w:spacing w:line="584" w:lineRule="exact"/>
        <w:rPr>
          <w:rFonts w:ascii="仿宋_GB2312" w:eastAsia="仿宋_GB2312" w:cs="Times New Roman"/>
          <w:sz w:val="32"/>
          <w:szCs w:val="32"/>
        </w:rPr>
      </w:pPr>
    </w:p>
    <w:p>
      <w:pPr>
        <w:spacing w:line="14" w:lineRule="exact"/>
        <w:ind w:firstLine="420" w:firstLineChars="200"/>
        <w:jc w:val="center"/>
        <w:rPr>
          <w:rFonts w:ascii="Times New Roman" w:hAnsi="Times New Roman" w:eastAsia="仿宋_GB2312" w:cs="Times New Roman"/>
        </w:rPr>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231001</w:t>
            </w:r>
            <w:r>
              <w:rPr>
                <w:rFonts w:ascii="方正小标宋_GBK" w:eastAsia="方正小标宋_GBK" w:cs="Times New Roman"/>
                <w:sz w:val="24"/>
              </w:rPr>
              <w:t>廊坊市</w:t>
            </w:r>
            <w:r>
              <w:rPr>
                <w:rFonts w:hint="eastAsia" w:ascii="方正小标宋_GBK" w:eastAsia="方正小标宋_GBK"/>
                <w:sz w:val="24"/>
              </w:rPr>
              <w:t>广阳区审计局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headerReference r:id="rId3" w:type="default"/>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80.55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广阳区审计局部门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编制部门：廊坊市广阳区审计局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62.65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AA"/>
    <w:rsid w:val="00113868"/>
    <w:rsid w:val="002556F2"/>
    <w:rsid w:val="002C4BC8"/>
    <w:rsid w:val="004F7654"/>
    <w:rsid w:val="007628AA"/>
    <w:rsid w:val="00DA056C"/>
    <w:rsid w:val="00E544D2"/>
    <w:rsid w:val="00E9414D"/>
    <w:rsid w:val="21171246"/>
    <w:rsid w:val="701A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785</Words>
  <Characters>4478</Characters>
  <Lines>37</Lines>
  <Paragraphs>10</Paragraphs>
  <TotalTime>8953</TotalTime>
  <ScaleCrop>false</ScaleCrop>
  <LinksUpToDate>false</LinksUpToDate>
  <CharactersWithSpaces>5253</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2022-07-08T02:04:46Z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CE3A7B4D3E7E46C192F9E495E940B043</vt:lpwstr>
  </property>
</Properties>
</file>