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广阳区新世纪步行街服务中心</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贯彻落实上级党委、政府和区委、区政府关于步行街发展工作的方针和决策部署，坚持和加强党对步行街发展工作的集中统一领导。主要职责是：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（一）负责步行街界定范围内的日常服务工作。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（二）负责开展调查研究，及时向区政府提出步行街发展意见，为领导决策服务；积极推动商业业态调整，促进商业结构提档升级。</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（三）负责协调步行街招商引资和涉外经济服务活动；为投资企业、商户办理证照等相关事宜提供服务。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（四）负责协助步行街社会治安、市容环境、道路交通、市政设施、市场监督管理等行政执法服务工作。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（五）负责协调税务、金融、保险、自然资源、生态环境、邮政、电信、文化、新闻出版、物业等服务工作。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（六）负责步行街内的环卫、绿化、市政维修等综合服务工作。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（七）承担区委、区政府交办的其他事项。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廊坊市广阳区新世纪步行街服务中心</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174.47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174.47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广阳区新世纪步行街服务中心2021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174.47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174.47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171.69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2.78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174.47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79.07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79.07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2.78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步行街服务中心</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黑体" w:hAnsi="黑体" w:eastAsia="黑体" w:cs="Times New Roman"/>
          <w:b/>
          <w:sz w:val="32"/>
          <w:szCs w:val="32"/>
        </w:rPr>
      </w:pPr>
      <w:r>
        <w:rPr>
          <w:rFonts w:ascii="黑体" w:hAnsi="黑体" w:eastAsia="黑体"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步行街服务中心将继续围绕“双提升”大讨论活动，以“站位大局、人本思想、系统思维、创新办法、实干为要”二十字工作原则为基准，大力叫响“为民务实创新、打硬仗扛红旗”的广阳精神，充分发挥年轻力量优势，用与时俱进的开拓思路和时不我待的工作热情助燃街区经济建设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持续改善基础设施。一是积极推动一大街东延工程，保证工程质量的同时加快工程进度，早日实现畅通，完善路网结构，改善步行街道路的微循环。二是对第一大街拆除违建后的土地进行规划建设，合理布局，优化第一大街的街容街貌和停车秩序。三是力促基础电力设施改造。步行街自1998年开发建设以来至今已近20年，陈旧的基础电力设施已跟不上时代发展需求，基础设施面临提升改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切实抓实招商引资。步行街为商业街区，高度重视招商引资，促进街区经济发展是始终不变的目标。紧紧围绕全区“抓项目、园区、楼宇经济”一项重点目标，坚持全域主城区的创新发展理念，在打造“一核两区五带”经济发展新格局上深耕细作、精准发力。扩大招商视野，转变招商理念，营造招商氛围，完善招商政策，不断提高招商引资的针对性和时效性，实现促进街区经济社会发展。</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扎实改进工作作风。增强实干精神，坚决杜绝因循守旧、惯性思维，只求过得去、不求过得硬的想法。大力倡导担当进取的实干精神，抓好党建牛鼻子，发挥基层党组织的战斗堡垒作用，形成奋发进取的机关作风，用实实在在的工作业绩，为促进步行街经济社会又好又快发展做贡献。</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四）广泛开展学习培训。切实加强学习型机关建设，立足实际，采取日常学习、集中培训、专题学习等多种方式，增强培训的系统性、针对性，全面提升干部职工政治思想觉悟、理论业务水平和经办服务能力，努力创建学习型、创新型、服务型、高效型机关。努力建设一支政治坚定、业务精通、勤学善思、尽心履职、公道正派的干部队伍。</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在区委、区政府的正确领导下，步行街服务中心充分发挥职能作用，在各项重点工作的开展中，从不输于打头阵、从不惧怕担责任，扎实抗击新冠疫情、严守安全生产底线、完善基础设施建设、提升街区环境面貌、全力做好文明创城、努力改善营商环境、积极引进重点项目、支持临空搬迁工作等，积极行动、主动作为，为广阳发展提供了一股干劲十足的正能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  始终坚持实干思想</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步行街服务中心在多个重点工作中，积极行动、主动作为。一是积极开展文明城市创建工作。充分发挥指挥员、协调员、战斗员作用，多次的协调联动、集中攻坚，开展“文明星期六”行动，网格员实时督导，多措并举的开展工作，补短板、增欠量，街区面貌整体得以提升，顺利完成创城工作。在全区“十面流动红旗”评比活动当中，步行街服务中心扛得文明创建流动红旗，被廊坊市评为“廊坊市争创全国文明城市突出贡献单位”。二是扎实开展安全生产工作。安全生产无小事，安全生产不容忽视。今年，排查步行街外墙高空坠物安全隐患35处，现已消除隐患并建立档案；与步行街1-5大街企业、商户签订2020年安全生产、消防安全承诺书（告知书）1000余份；街区责任网格，不定期对步行街1-5大街企业商户进行安全生产、消防安全、食品安全检查，全年累计检查1657人次，发现问题及时提示通知，将隐患在萌芽状态消灭，确保了商户的安全、街区的稳定，全年未发生安全生产事故。三是严格开展大气污染防治工作。对辖区餐饮企业进行网格化监管，对油烟净化设备清洗不及时、烟道油渍等问题，进行跟踪整改，确保达标。全年累计巡查1153人次，未发生被上级通报情况。网格员定期对门店进行常态化巡查，严禁散煤流入，落实全辖区散煤“清零”。充分做好重污染天气应对工作，落实重污染天气期间大气污染防治各项重点任务。四是坚决拆除违建工作。步行街服务中心严格按照全区违规违建排查工作要求安排部署，对区域内全面摸排、细致核查。将第一大街新世纪家居建材大世界建有多年的部分违规建筑，经与产权人有理有据的多次沟通，</w:t>
      </w:r>
      <w:r>
        <w:rPr>
          <w:rFonts w:hint="eastAsia" w:ascii="Times New Roman" w:hAnsi="Times New Roman" w:eastAsia="仿宋_GB2312" w:cs="Times New Roman"/>
          <w:sz w:val="32"/>
          <w:szCs w:val="32"/>
          <w:lang w:eastAsia="zh-CN"/>
        </w:rPr>
        <w:t>晓之以理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动之以情</w:t>
      </w:r>
      <w:r>
        <w:rPr>
          <w:rFonts w:hint="eastAsia" w:ascii="Times New Roman" w:hAnsi="Times New Roman" w:eastAsia="仿宋_GB2312" w:cs="Times New Roman"/>
          <w:sz w:val="32"/>
          <w:szCs w:val="32"/>
        </w:rPr>
        <w:t>的商谈，最终按照时间节点对超出面积予以拆除。</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（二）始终坚持为民思想</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把以群众为中心的发展理念落到实处，就是坚持以人民为中心努力保障和改善民生，抓住人民最关心最直接最现实的利益问题，解决人民群众最急需解决的实事难事好事。一是抓实疫情防控。疫情期间，步行街服务中心高站位、严要求，针对辖区不同行业企业，统筹兼顾、分类指导、精准施策，切实做好辖区疫情防控工作。走访排查落实好“外防输入、内防扩散”的重要任务，制定《企业复产复工明白纸》，要求企业要做到“五到位”，降低了复工带来的人员风险。二是真情化解信访矛盾。步行街服务中心及时妥善处理群众信访事件, 本着事事有回音，件件有着落的原则，化解矛盾、维护稳定。全年来，共处理阳光信访平台反馈件13件，处理广阳区创城热线件13件，处理廊坊市人民政府市长热线电话交办件35件，并制定了《廊坊市广阳区关于专项维修资金管理的实施方案》，完善了专项维修资金的管理，确保了资金使用依法依规、公开透明，避免了信访隐患。三是切实做好街心裸露电缆改造工程。步行街街心电缆裸露，时刻存在安全隐患，牵动着每一名群众的心弦。经多部门的全力配合，与大力支持，在2020年9月份开始改造施工，施工期间严格按照工地施工标准，做好安全生产防护，大气污染扬尘治理措施。于12月份完成了改造并验收，消除了安全隐患，得到群众的认可。四是积极推进第一大街南北外街道路东延工程。步行街第一大街南北外街向东延伸，跨过八干渠，修建两座平穿桥，贯通到东安路。当前桥梁已浇筑施工完毕，下一步将敷设桥梁板和修建道路。道路的贯通，将方便群众出行，缓解交通压力，优化街区周边的交通路网。</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（三）始终坚持创新思想</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营造高品质营商环境，提升商业街的整体竞争力，以“双提升”活动为引领，创新思路，提升软环境，着力开拓步行街的改革与发展。一是着力打造“商业+诚信”的文明街区。服务中心联合区信用办组织开展打造诚信街区的诚信经营联盟签名、开展诚信经营“法律讲堂”等一系列活动，大力倡导诚信道德规范，弘扬中华民族积极向善、诚实守信的传统文化，形成人人讲诚信、事事做诚信的良好氛围。二是全力开展招商引资工作。自全区招商引资工作安排部署以来，服务中心作为招商引资第十分团牵头单位，一方面积极与团内各单位沟通协调，收集汇总本团招商引资进展情况，并按上级要求积极上报。另一方面认真开展楼宇经济调研，摸清步行街的楼宇情况、企业主体、重点纳税行业等，并与多家企业进行对接联系，跑项目、找资源。在全区“十面流动红旗”评比活动当中，步行街服务中心扛得项目引建流动红旗。三是支持服务临空搬迁工作。在廊坊市临空经济区广阳区域南部6村街签约选房工作筹备会议之后，步行街立即召开了搬迁动员会议，按照承担任务进行细化分工，将搬迁工作组分成两队，各司其职、各负其责，领导干部发挥带头作用，党员干部发挥先锋作用，敢打头阵、夜以继日、不惧困难，在人员少、困难多的情况下，顺利完成所认领任务。</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（四）始终坚持进步思想</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步行街服务中心是一支年轻有活力、政治素质高、责任心强、有凝聚力、有战斗力的团队，积极向上、追求进步。一是认真开展“双提升”活动。步行街服务中心积极贯彻落实活动精神、迅速安排部署工作，从开好专题班子会和支部讨论会、召开“五看两争创”推进会、参加“半月党校”活动，到参加知识竞赛和演讲比赛，深入开展“大练兵”活动，以实际行动贯彻落实区“双提升”活动精神，不折不扣逐项抓实，确保工作扎实稳步推进。在测评中扛得项目引建、文明创建2面流动红旗并获得广阳区2020年度“重点工作先锋”荣誉称号。二是切实完善机关党建工作。步行街服务中心以“双提升”活动为契机，加强队伍建设，完善机关党建职能，申请成立了广阳区新世纪步行街服务中心支部委员会，选举了支部书记1名，支部委员2名，成立了两个党小组。安排专人负责机关党务工作，确保机关各项党务工作顺利开展。11月份，确定了朱晨同志为预备党员，扩大了机关党员力量，为今后更好的开展工作增添了新的力量。</w:t>
      </w:r>
    </w:p>
    <w:p>
      <w:pPr>
        <w:overflowPunct w:val="0"/>
        <w:adjustRightInd w:val="0"/>
        <w:snapToGrid w:val="0"/>
        <w:spacing w:afterLines="50" w:line="580" w:lineRule="exact"/>
        <w:jc w:val="left"/>
        <w:rPr>
          <w:rFonts w:ascii="楷体_GB2312" w:eastAsia="楷体_GB2312" w:cs="Times New Roman"/>
          <w:b/>
          <w:sz w:val="32"/>
          <w:szCs w:val="32"/>
        </w:rPr>
      </w:pPr>
    </w:p>
    <w:p>
      <w:pPr>
        <w:overflowPunct w:val="0"/>
        <w:adjustRightInd w:val="0"/>
        <w:snapToGrid w:val="0"/>
        <w:spacing w:afterLines="50" w:line="580" w:lineRule="exact"/>
        <w:jc w:val="left"/>
        <w:rPr>
          <w:rFonts w:ascii="楷体_GB2312" w:eastAsia="楷体_GB2312" w:cs="Times New Roman"/>
          <w:b/>
          <w:sz w:val="32"/>
          <w:szCs w:val="32"/>
        </w:rPr>
      </w:pPr>
    </w:p>
    <w:p>
      <w:pPr>
        <w:overflowPunct w:val="0"/>
        <w:adjustRightInd w:val="0"/>
        <w:snapToGrid w:val="0"/>
        <w:spacing w:afterLines="50" w:line="580" w:lineRule="exact"/>
        <w:jc w:val="left"/>
        <w:rPr>
          <w:rFonts w:ascii="楷体_GB2312" w:eastAsia="楷体_GB2312" w:cs="Times New Roman"/>
          <w:b/>
          <w:sz w:val="32"/>
          <w:szCs w:val="32"/>
        </w:rPr>
      </w:pPr>
    </w:p>
    <w:p>
      <w:pPr>
        <w:overflowPunct w:val="0"/>
        <w:adjustRightInd w:val="0"/>
        <w:snapToGrid w:val="0"/>
        <w:spacing w:afterLines="50" w:line="580" w:lineRule="exact"/>
        <w:jc w:val="left"/>
        <w:rPr>
          <w:rFonts w:hint="eastAsia" w:ascii="楷体_GB2312" w:eastAsia="楷体_GB2312" w:cs="Times New Roman"/>
          <w:b/>
          <w:sz w:val="32"/>
          <w:szCs w:val="32"/>
        </w:rPr>
      </w:pPr>
    </w:p>
    <w:p>
      <w:pPr>
        <w:overflowPunct w:val="0"/>
        <w:adjustRightInd w:val="0"/>
        <w:snapToGrid w:val="0"/>
        <w:spacing w:afterLines="50" w:line="580" w:lineRule="exact"/>
        <w:jc w:val="left"/>
        <w:rPr>
          <w:rFonts w:hint="eastAsia" w:ascii="楷体_GB2312" w:eastAsia="楷体_GB2312" w:cs="Times New Roman"/>
          <w:b/>
          <w:sz w:val="32"/>
          <w:szCs w:val="32"/>
        </w:rPr>
      </w:pPr>
    </w:p>
    <w:p>
      <w:pPr>
        <w:overflowPunct w:val="0"/>
        <w:adjustRightInd w:val="0"/>
        <w:snapToGrid w:val="0"/>
        <w:spacing w:afterLines="50" w:line="580" w:lineRule="exact"/>
        <w:jc w:val="left"/>
        <w:rPr>
          <w:rFonts w:ascii="楷体_GB2312" w:eastAsia="楷体_GB2312" w:cs="Times New Roman"/>
          <w:b/>
          <w:sz w:val="32"/>
          <w:szCs w:val="32"/>
        </w:rPr>
      </w:pPr>
    </w:p>
    <w:p>
      <w:pPr>
        <w:overflowPunct w:val="0"/>
        <w:adjustRightInd w:val="0"/>
        <w:snapToGrid w:val="0"/>
        <w:spacing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综合事务完成率</w:t>
            </w:r>
          </w:p>
        </w:tc>
        <w:tc>
          <w:tcPr>
            <w:tcW w:w="2172"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20</w:t>
            </w:r>
          </w:p>
        </w:tc>
        <w:tc>
          <w:tcPr>
            <w:tcW w:w="1483"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综合事务完成数量占事务总数的比例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廊广步【2021】5号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日常费用及时缴纳</w:t>
            </w:r>
          </w:p>
        </w:tc>
        <w:tc>
          <w:tcPr>
            <w:tcW w:w="2172"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20</w:t>
            </w:r>
          </w:p>
        </w:tc>
        <w:tc>
          <w:tcPr>
            <w:tcW w:w="1483"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日常费用及时缴纳</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及时缴纳</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完成时间</w:t>
            </w:r>
          </w:p>
        </w:tc>
        <w:tc>
          <w:tcPr>
            <w:tcW w:w="2172"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20</w:t>
            </w:r>
          </w:p>
        </w:tc>
        <w:tc>
          <w:tcPr>
            <w:tcW w:w="1483"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全年按规定时间完成资金支付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完成</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各项工作正常开展</w:t>
            </w:r>
          </w:p>
        </w:tc>
        <w:tc>
          <w:tcPr>
            <w:tcW w:w="2172" w:type="dxa"/>
            <w:tcBorders>
              <w:tl2br w:val="nil"/>
              <w:tr2bl w:val="nil"/>
            </w:tcBorders>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保证各项工作的正常开展</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各项工作正常开展</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廊广步【2021】5号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机关人员满意度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机关人员对综合事务的满意人数占总人数的比例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181001</w:t>
            </w:r>
            <w:r>
              <w:rPr>
                <w:rFonts w:ascii="方正小标宋_GBK" w:eastAsia="方正小标宋_GBK" w:cs="Times New Roman"/>
                <w:sz w:val="24"/>
              </w:rPr>
              <w:t>廊坊市</w:t>
            </w:r>
            <w:r>
              <w:rPr>
                <w:rFonts w:hint="eastAsia" w:ascii="方正小标宋_GBK" w:eastAsia="方正小标宋_GBK"/>
                <w:sz w:val="24"/>
              </w:rPr>
              <w:t>广阳区新世纪步行街服务中心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21.45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广阳区新世纪步行街</w:t>
            </w:r>
            <w:r>
              <w:rPr>
                <w:rFonts w:hint="eastAsia" w:ascii="Times New Roman" w:hAnsi="Times New Roman" w:eastAsia="仿宋_GB2312" w:cs="Times New Roman"/>
                <w:b/>
                <w:bCs/>
                <w:kern w:val="0"/>
                <w:sz w:val="32"/>
                <w:szCs w:val="32"/>
                <w:lang w:eastAsia="zh-CN"/>
              </w:rPr>
              <w:t>服务</w:t>
            </w:r>
            <w:r>
              <w:rPr>
                <w:rFonts w:hint="eastAsia" w:ascii="Times New Roman" w:hAnsi="Times New Roman" w:eastAsia="仿宋_GB2312" w:cs="Times New Roman"/>
                <w:b/>
                <w:bCs/>
                <w:kern w:val="0"/>
                <w:sz w:val="32"/>
                <w:szCs w:val="32"/>
              </w:rPr>
              <w:t>中心部门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广阳区新世纪步行街服务中心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7B03"/>
    <w:rsid w:val="0002078F"/>
    <w:rsid w:val="000511C4"/>
    <w:rsid w:val="000C141E"/>
    <w:rsid w:val="001144ED"/>
    <w:rsid w:val="001654EC"/>
    <w:rsid w:val="0019608F"/>
    <w:rsid w:val="00296248"/>
    <w:rsid w:val="00301F9F"/>
    <w:rsid w:val="00356683"/>
    <w:rsid w:val="004A54AA"/>
    <w:rsid w:val="004E32E5"/>
    <w:rsid w:val="00807A76"/>
    <w:rsid w:val="008F0EB4"/>
    <w:rsid w:val="00A218C6"/>
    <w:rsid w:val="00B17B32"/>
    <w:rsid w:val="00B80935"/>
    <w:rsid w:val="00C35B94"/>
    <w:rsid w:val="00D347CC"/>
    <w:rsid w:val="00E27CE3"/>
    <w:rsid w:val="07292455"/>
    <w:rsid w:val="109E2641"/>
    <w:rsid w:val="258F43AB"/>
    <w:rsid w:val="2905182A"/>
    <w:rsid w:val="3FB66BCB"/>
    <w:rsid w:val="412D0732"/>
    <w:rsid w:val="5B961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924</Words>
  <Characters>5270</Characters>
  <Lines>43</Lines>
  <Paragraphs>12</Paragraphs>
  <TotalTime>95</TotalTime>
  <ScaleCrop>false</ScaleCrop>
  <LinksUpToDate>false</LinksUpToDate>
  <CharactersWithSpaces>6182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2024-05-16T02:41:24Z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7423A3B1882E4B2D80C36C785FC0FFB7</vt:lpwstr>
  </property>
</Properties>
</file>