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中国人民政治协商会议</w:t>
      </w: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广阳区委员会</w:t>
      </w:r>
    </w:p>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中国人民政治协商会议廊坊市广阳区委员会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根据《中国人民政治协商会议廊坊市广阳区委员会职能配置、内设机构和人员编制规定》， 中国人民政治协商会议廊坊市广阳区委员会的主要职责是：</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（一）按照中国人民政治协商会议章程进行工作。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（二）主要职能是政治协商和民主监督，组织参加本会的各党派、团体和各族各界人士参政议政。</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（三）宣传和贯彻执行国家的宪法法律和各项方针、政策，推动社会力量积极参加物质文明和社会主义精神文明建设，协助国家机关打击经济领域和其他领域内破坏社会主义的犯罪活动。</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密切联系各族各界人士，反映他们及其所联系的群众意见和要求，对国家机关和机关工作人员的工作提出建议和批评，协助国家机关进行机构改革和体制改革，改进工作提高工作效率，克服官僚主义，加强廉政建设。</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（五）调整和处理统一战线各方面的关系和人民政协内部合作的重要事项。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（六）通过各种形式，积极传播先进思想，开展爱祖国、爱人民、爱劳动、爱科学、爱社会主义的公德及革命的理想、道德和纪律的宣传教育工作。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坚持发展科学、繁荣文化的“百花齐放、百鸟齐鸣”的方针，密切联系国家机关和其他有关组织，在政治、法律、经济、教育、科学、技术、文化艺术、医药卫生、体育等方面开展调整研究等活动，广开言路，广开才路，充分发挥委员的专长和作用。</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（八）组织委员视察、参观和调查，了解情况，就各项事业和群众生活的重要问题进行研究，通过建议案、提案和其他形式向党委、政府和其他有关组织提出建议和批评。</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（九）推动委员在自愿的基础上学习马克思列宁主义、毛泽东思想和邓小平理论，学习时事政治、学习和交流业务和科学技术知识，增强为祖国服务的才能。</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（十）宣传和参与贯彻执行国家关于统一祖国的方针政策，积极开展同台湾同胞和各界人士的联系，促进祖国统一大业的实现。</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（十一）宣传和协助贯彻执行国家的知识分子政策，以利于充分发挥知识分子在社会主义现代化建设中的作用。</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宣传和协助贯彻执行国家的民族政策，反映少数民族的意见和要求，为发展少数民族地区的经济、文化，维护少数民族的合法权利和利益，改善和发展社会主义的民族关系，增进各族人民的大团结和维护祖国统一贡献力量。</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（十三）宣传和协助贯彻执行国家的宗教政策，团结宗教界爱国人士和宗教信仰者为祖国的建设和统一贡献力量。</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（十四）宣传和协助贯彻执行国家的侨务政策。加强同国外侨胞的联系和团结，鼓励他们为祖国的建设事业和统一祖国的大业作出贡献。</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（十五）根据统一战线组织的特点进行关于地方近代、现代史料的征集研究和出版工作。</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sectPr>
          <w:footerReference r:id="rId3" w:type="default"/>
          <w:pgSz w:w="11907" w:h="16839"/>
          <w:pgMar w:top="1531" w:right="1134" w:bottom="1474" w:left="1134" w:header="851" w:footer="992" w:gutter="0"/>
          <w:pgNumType w:start="1"/>
          <w:cols w:space="425" w:num="1"/>
          <w:docGrid w:type="lines" w:linePitch="312" w:charSpace="0"/>
        </w:sect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tcPr>
          <w:p>
            <w:pPr>
              <w:spacing w:line="584" w:lineRule="exact"/>
              <w:jc w:val="center"/>
              <w:rPr>
                <w:rFonts w:ascii="仿宋" w:eastAsia="仿宋" w:cs="ArialUnicodeMS"/>
                <w:kern w:val="0"/>
                <w:sz w:val="24"/>
              </w:rPr>
            </w:pPr>
            <w:r>
              <w:rPr>
                <w:rFonts w:hint="eastAsia" w:ascii="Times New Roman" w:hAnsi="Times New Roman" w:eastAsia="仿宋_GB2312" w:cs="Times New Roman"/>
                <w:b/>
              </w:rPr>
              <w:t>中国人民政治协商会议廊坊市广阳区委员会(本级)</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正处级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部门预算的编制实行综合预算制度，即全部收入和支出都反映在预算中。中国人民政治协商会议廊坊市广阳区委员会机关的收支包含在部门预算中。</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917.21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917.21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ascii="Times New Roman" w:hAnsi="Times New Roman" w:eastAsia="楷体_GB2312"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中国人民政治协商会议廊坊市广阳区委员会2021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917.21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805.21</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709.52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95.69</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112</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工作经费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会议费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培训费、互联网接入口检测器经费</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ascii="Times New Roman" w:hAnsi="Times New Roman" w:eastAsia="楷体_GB2312"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917.21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39.19</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人员工资</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37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工作经费和互联网接入口检测器经费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color w:val="000000" w:themeColor="text1"/>
          <w:sz w:val="32"/>
          <w:szCs w:val="32"/>
          <w14:textFill>
            <w14:solidFill>
              <w14:schemeClr w14:val="tx1"/>
            </w14:solidFill>
          </w14:textFill>
        </w:rPr>
        <w:t>95.69</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我单位</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27" w:firstLineChars="196"/>
        <w:jc w:val="left"/>
        <w:rPr>
          <w:rFonts w:ascii="黑体" w:hAnsi="黑体" w:eastAsia="黑体" w:cs="Times New Roman"/>
          <w:sz w:val="32"/>
          <w:szCs w:val="32"/>
        </w:rPr>
      </w:pPr>
      <w:r>
        <w:rPr>
          <w:rFonts w:hint="eastAsia" w:ascii="黑体" w:hAnsi="黑体" w:eastAsia="黑体" w:cs="Times New Roman"/>
          <w:sz w:val="32"/>
          <w:szCs w:val="32"/>
        </w:rPr>
        <w:t xml:space="preserve"> </w:t>
      </w:r>
      <w:r>
        <w:rPr>
          <w:rFonts w:ascii="黑体" w:hAnsi="黑体"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年，我单位财政拨款“三公”经费预算安排37.26万元。其中，因公出国（境）费</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万元；公务用车购置及运维费</w:t>
      </w:r>
      <w:r>
        <w:rPr>
          <w:rFonts w:ascii="仿宋_GB2312" w:hAnsi="Times New Roman" w:eastAsia="仿宋_GB2312" w:cs="仿宋_GB2312"/>
          <w:sz w:val="32"/>
          <w:szCs w:val="32"/>
        </w:rPr>
        <w:t>8.76</w:t>
      </w:r>
      <w:r>
        <w:rPr>
          <w:rFonts w:hint="eastAsia" w:ascii="仿宋_GB2312" w:hAnsi="Times New Roman" w:eastAsia="仿宋_GB2312" w:cs="仿宋_GB2312"/>
          <w:sz w:val="32"/>
          <w:szCs w:val="32"/>
        </w:rPr>
        <w:t>万元（其中：公务用车购置费为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万元，公务用车运维费</w:t>
      </w:r>
      <w:r>
        <w:rPr>
          <w:rFonts w:ascii="仿宋_GB2312" w:hAnsi="Times New Roman" w:eastAsia="仿宋_GB2312" w:cs="仿宋_GB2312"/>
          <w:sz w:val="32"/>
          <w:szCs w:val="32"/>
        </w:rPr>
        <w:t>8.76</w:t>
      </w:r>
      <w:r>
        <w:rPr>
          <w:rFonts w:hint="eastAsia" w:ascii="仿宋_GB2312" w:hAnsi="Times New Roman" w:eastAsia="仿宋_GB2312" w:cs="仿宋_GB2312"/>
          <w:sz w:val="32"/>
          <w:szCs w:val="32"/>
        </w:rPr>
        <w:t>万元</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；公务接待费</w:t>
      </w:r>
      <w:r>
        <w:rPr>
          <w:rFonts w:ascii="仿宋_GB2312" w:hAnsi="Times New Roman" w:eastAsia="仿宋_GB2312" w:cs="仿宋_GB2312"/>
          <w:sz w:val="32"/>
          <w:szCs w:val="32"/>
        </w:rPr>
        <w:t>28.50</w:t>
      </w:r>
      <w:r>
        <w:rPr>
          <w:rFonts w:hint="eastAsia" w:ascii="仿宋_GB2312" w:hAnsi="Times New Roman" w:eastAsia="仿宋_GB2312" w:cs="仿宋_GB2312"/>
          <w:sz w:val="32"/>
          <w:szCs w:val="32"/>
        </w:rPr>
        <w:t>万元。与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年相比持平，</w:t>
      </w:r>
      <w:r>
        <w:rPr>
          <w:rFonts w:hint="eastAsia" w:ascii="仿宋_GB2312" w:hAnsi="Times New Roman" w:eastAsia="仿宋_GB2312" w:cs="仿宋_GB2312"/>
          <w:color w:val="000000"/>
          <w:sz w:val="32"/>
          <w:szCs w:val="32"/>
        </w:rPr>
        <w:t>无增减变化。</w:t>
      </w:r>
    </w:p>
    <w:p>
      <w:pPr>
        <w:numPr>
          <w:ilvl w:val="0"/>
          <w:numId w:val="1"/>
        </w:num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全面学习贯彻党的十九大和十九届二中、三中、四中、五中全会及中央和省、市、区委政协工作会议精神，深入贯彻落实习近平总书记关于加强和改进人民政协工作的重要思想，聚焦新方位新使命，抓好机关干部教育、委员专题培训，政协理论研究等工作，改进学习方法，提高学习效果，提升理论学习的吸引力和感染力；突出工作主轴主线，把握履职中心环节，围绕区委五届八次全会确定的“全域主城区”发展理念和“一核两区五带”发展战略，主动在新时代全局中定位，聚焦全区中心任务，科学制定年度协商计划，报区委审议后狠抓落实；丰富协商形式，完善以全体会议为龙头、以专题议政性常委</w:t>
      </w:r>
      <w:r>
        <w:rPr>
          <w:rFonts w:hint="eastAsia" w:ascii="Times New Roman" w:hAnsi="Times New Roman" w:eastAsia="仿宋_GB2312" w:cs="Times New Roman"/>
          <w:sz w:val="32"/>
          <w:szCs w:val="32"/>
          <w:lang w:eastAsia="zh-CN"/>
        </w:rPr>
        <w:t>会</w:t>
      </w:r>
      <w:r>
        <w:rPr>
          <w:rFonts w:hint="eastAsia" w:ascii="Times New Roman" w:hAnsi="Times New Roman" w:eastAsia="仿宋_GB2312" w:cs="Times New Roman"/>
          <w:sz w:val="32"/>
          <w:szCs w:val="32"/>
        </w:rPr>
        <w:t>会议和专题协商会、协商座谈会等为重点的协商议政格局，更加灵活、更为经常地开展专题协商、对口协商、界别协商、提案办理协商。积极探索网络议政、远程协商等新形式；彰显政协责任担当，加强政协常委会建设，深化委员能力建设，充分发挥区政协党组在政协工作中的领导核心作用，切实担负起把党中央决策部署和省、市、区委要求落实下去，把各方面智慧和力量凝聚起来的政治责任，为决胜全面建成小康社会，加快建设新时代经济强区、美丽广阳做出应有贡献。</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bookmarkStart w:id="3" w:name="_GoBack"/>
      <w:bookmarkEnd w:id="3"/>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一、组织召开政协会议活动</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 完善各项会议制度，规范会议程序，提高会议质量，提高政治协商水平。</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绩效指标：组织召开六届一次全体会议、政协常委</w:t>
      </w:r>
      <w:r>
        <w:rPr>
          <w:rFonts w:hint="eastAsia" w:ascii="Times New Roman" w:hAnsi="Times New Roman" w:eastAsia="仿宋_GB2312" w:cs="Times New Roman"/>
          <w:sz w:val="32"/>
          <w:szCs w:val="32"/>
          <w:lang w:eastAsia="zh-CN"/>
        </w:rPr>
        <w:t>会</w:t>
      </w:r>
      <w:r>
        <w:rPr>
          <w:rFonts w:hint="eastAsia" w:ascii="Times New Roman" w:hAnsi="Times New Roman" w:eastAsia="仿宋_GB2312" w:cs="Times New Roman"/>
          <w:sz w:val="32"/>
          <w:szCs w:val="32"/>
        </w:rPr>
        <w:t>会议、委员座谈会等活动。</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二、组织开展民主协商和考察学习活动</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绩效目标：充分发挥人民政协专门协商机构的作用，明确职责任务，完善制度机制，规范协商内容，丰富协商形式，提高协商议政质量。加强与兄弟县区联谊活动，增进友谊，加强借鉴和学习。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绩效指标：1.按照政协党组协商计划组织召开专题协商活动。</w:t>
      </w:r>
    </w:p>
    <w:p>
      <w:pPr>
        <w:autoSpaceDE w:val="0"/>
        <w:autoSpaceDN w:val="0"/>
        <w:adjustRightInd w:val="0"/>
        <w:spacing w:line="584" w:lineRule="exact"/>
        <w:ind w:left="197" w:leftChars="94" w:firstLine="2240" w:firstLineChars="7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2.组织区政协领导到先进县区进行考察学习经验。</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三、组织开展民主监督工作和提案办理</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紧扣区委区政府决策部署和政策措施的贯彻落实开展民主监督，协助党委政府更好地解决问题、推动工作。完善提案审查、立案、办理、反馈和协商机制，做到提案程序更加规范，制度更加完善，委员提案质量和办理效果不断提高，政协委员履职作用更有成效。</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绩效指标：1.按照政协党组监督计划，组织委员开展民主监督活动。</w:t>
      </w:r>
    </w:p>
    <w:p>
      <w:pPr>
        <w:autoSpaceDE w:val="0"/>
        <w:autoSpaceDN w:val="0"/>
        <w:adjustRightInd w:val="0"/>
        <w:spacing w:line="584" w:lineRule="exact"/>
        <w:ind w:left="197" w:leftChars="94" w:firstLine="2240" w:firstLineChars="7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2.通过提案对口协商会、界别协商会和督办会等形式，提案交办率和办结率达到100%。 </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四、组织开展专题调研活动、做好社情民意信息反映工作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围绕全区大局和政协工作，深入开展调查研究，打牢协商议政和咨政建言的基础。通过调研就区委和区政府关注的问题，提出客观、有价值、有分量、有影响的意见建议，促进党委决策民主化和科学化。通过界别群众渠道密切联系群众，反映社情民意，努力做到协商关系、化解矛盾、理顺情绪，增进社会的和谐稳定。</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一、精心谋划，精准发力。协商活动由区政协办公室和有关专委会负责组织开展。各有关部门要根据选题，认真研究制定具体工作方案，明确时间、地点、协商参与单位、出席人员、成果运用及报送方式等，责任到人，落实到位，切实提高协商活动的质量和水平。</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突出重点，搞好调研。协商活动要建立在充分调研的基础上，每次协商都要抓住关键问题，深入细致地开展调查研究。要以调研的深入促进协商的深度，围绕年度调研课题，坚持高标准，深挖掘，努力形成高质量、有深度的调研报告。</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加强协作，形成合力。积极争取党委、政府有关部门支持与配合，加强与政协参加单位、区直有关部门、大专院校和科研院所的沟通协调，促进各方密切协作。区政协办公室和各专委会之间要加强协作配合，形成协商工作合力。</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注重成效，抓好落实。搞好政协协商与党政部门的工作衔接，综合运用建议案、情况报告、调研报告、重点提案、社情民意信息等形式，向区委、区政府及有关部门报送重要意见和建议。加强跟踪调研和视察，推动协商成果转化为党委、政府决策。</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862"/>
        <w:gridCol w:w="1642"/>
        <w:gridCol w:w="2722"/>
        <w:gridCol w:w="1492"/>
        <w:gridCol w:w="3622"/>
        <w:gridCol w:w="442"/>
        <w:gridCol w:w="562"/>
        <w:gridCol w:w="742"/>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0" w:type="auto"/>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0" w:type="auto"/>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0" w:type="auto"/>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4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362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0" w:type="auto"/>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0" w:type="auto"/>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0" w:type="auto"/>
            <w:vMerge w:val="continue"/>
            <w:tcBorders>
              <w:tl2br w:val="nil"/>
              <w:tr2bl w:val="nil"/>
            </w:tcBorders>
            <w:vAlign w:val="center"/>
          </w:tcPr>
          <w:p/>
        </w:tc>
        <w:tc>
          <w:tcPr>
            <w:tcW w:w="0" w:type="auto"/>
            <w:vMerge w:val="continue"/>
            <w:tcBorders>
              <w:tl2br w:val="nil"/>
              <w:tr2bl w:val="nil"/>
            </w:tcBorders>
            <w:vAlign w:val="center"/>
          </w:tcPr>
          <w:p/>
        </w:tc>
        <w:tc>
          <w:tcPr>
            <w:tcW w:w="0" w:type="auto"/>
            <w:vMerge w:val="continue"/>
            <w:tcBorders>
              <w:tl2br w:val="nil"/>
              <w:tr2bl w:val="nil"/>
            </w:tcBorders>
            <w:vAlign w:val="center"/>
          </w:tcPr>
          <w:p/>
        </w:tc>
        <w:tc>
          <w:tcPr>
            <w:tcW w:w="1492" w:type="dxa"/>
            <w:vMerge w:val="continue"/>
            <w:tcBorders>
              <w:tl2br w:val="nil"/>
              <w:tr2bl w:val="nil"/>
            </w:tcBorders>
            <w:vAlign w:val="center"/>
          </w:tcPr>
          <w:p/>
        </w:tc>
        <w:tc>
          <w:tcPr>
            <w:tcW w:w="362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0" w:type="auto"/>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0" w:type="auto"/>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0" w:type="auto"/>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0" w:type="auto"/>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会议活动参加人数</w:t>
            </w:r>
          </w:p>
        </w:tc>
        <w:tc>
          <w:tcPr>
            <w:tcW w:w="1492" w:type="dxa"/>
            <w:tcBorders>
              <w:tl2br w:val="nil"/>
              <w:tr2bl w:val="nil"/>
            </w:tcBorders>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5</w:t>
            </w:r>
          </w:p>
        </w:tc>
        <w:tc>
          <w:tcPr>
            <w:tcW w:w="362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组织参会人数</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340.00</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39" w:hRule="atLeast"/>
          <w:jc w:val="center"/>
        </w:trPr>
        <w:tc>
          <w:tcPr>
            <w:tcW w:w="0" w:type="auto"/>
            <w:vMerge w:val="continue"/>
            <w:tcBorders>
              <w:tl2br w:val="nil"/>
              <w:tr2bl w:val="nil"/>
            </w:tcBorders>
            <w:vAlign w:val="center"/>
          </w:tcPr>
          <w:p>
            <w:pPr>
              <w:widowControl/>
              <w:adjustRightInd w:val="0"/>
              <w:snapToGrid w:val="0"/>
              <w:jc w:val="center"/>
              <w:rPr>
                <w:rFonts w:ascii="方正书宋_GBK" w:eastAsia="方正书宋_GBK"/>
              </w:rPr>
            </w:pP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参加学习培训委员人数</w:t>
            </w:r>
          </w:p>
        </w:tc>
        <w:tc>
          <w:tcPr>
            <w:tcW w:w="1492" w:type="dxa"/>
            <w:tcBorders>
              <w:tl2br w:val="nil"/>
              <w:tr2bl w:val="nil"/>
            </w:tcBorders>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5</w:t>
            </w:r>
          </w:p>
        </w:tc>
        <w:tc>
          <w:tcPr>
            <w:tcW w:w="362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参加学习培训委员人数</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150.00</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1" w:hRule="atLeast"/>
          <w:jc w:val="center"/>
        </w:trPr>
        <w:tc>
          <w:tcPr>
            <w:tcW w:w="0" w:type="auto"/>
            <w:vMerge w:val="continue"/>
            <w:tcBorders>
              <w:tl2br w:val="nil"/>
              <w:tr2bl w:val="nil"/>
            </w:tcBorders>
            <w:vAlign w:val="center"/>
          </w:tcPr>
          <w:p>
            <w:pPr>
              <w:widowControl/>
              <w:adjustRightInd w:val="0"/>
              <w:snapToGrid w:val="0"/>
              <w:jc w:val="center"/>
              <w:rPr>
                <w:rFonts w:ascii="方正书宋_GBK" w:eastAsia="方正书宋_GBK"/>
              </w:rPr>
            </w:pP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工作计划执行率</w:t>
            </w:r>
          </w:p>
        </w:tc>
        <w:tc>
          <w:tcPr>
            <w:tcW w:w="1492" w:type="dxa"/>
            <w:tcBorders>
              <w:tl2br w:val="nil"/>
              <w:tr2bl w:val="nil"/>
            </w:tcBorders>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5</w:t>
            </w:r>
          </w:p>
        </w:tc>
        <w:tc>
          <w:tcPr>
            <w:tcW w:w="362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实际工作占全年总计划的比重</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0" w:hRule="atLeast"/>
          <w:jc w:val="center"/>
        </w:trPr>
        <w:tc>
          <w:tcPr>
            <w:tcW w:w="0" w:type="auto"/>
            <w:vMerge w:val="continue"/>
            <w:tcBorders>
              <w:tl2br w:val="nil"/>
              <w:tr2bl w:val="nil"/>
            </w:tcBorders>
            <w:vAlign w:val="center"/>
          </w:tcPr>
          <w:p>
            <w:pPr>
              <w:widowControl/>
              <w:adjustRightInd w:val="0"/>
              <w:snapToGrid w:val="0"/>
              <w:jc w:val="center"/>
              <w:rPr>
                <w:rFonts w:ascii="方正书宋_GBK" w:eastAsia="方正书宋_GBK"/>
              </w:rPr>
            </w:pP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采购设备数量</w:t>
            </w:r>
          </w:p>
        </w:tc>
        <w:tc>
          <w:tcPr>
            <w:tcW w:w="1492" w:type="dxa"/>
            <w:tcBorders>
              <w:tl2br w:val="nil"/>
              <w:tr2bl w:val="nil"/>
            </w:tcBorders>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3</w:t>
            </w:r>
          </w:p>
        </w:tc>
        <w:tc>
          <w:tcPr>
            <w:tcW w:w="362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需要采购互联网接入口监测器数量</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84" w:hRule="atLeast"/>
          <w:jc w:val="center"/>
        </w:trPr>
        <w:tc>
          <w:tcPr>
            <w:tcW w:w="0" w:type="auto"/>
            <w:vMerge w:val="continue"/>
            <w:tcBorders>
              <w:tl2br w:val="nil"/>
              <w:tr2bl w:val="nil"/>
            </w:tcBorders>
            <w:vAlign w:val="center"/>
          </w:tcPr>
          <w:p>
            <w:pPr>
              <w:widowControl/>
              <w:adjustRightInd w:val="0"/>
              <w:snapToGrid w:val="0"/>
              <w:jc w:val="center"/>
              <w:rPr>
                <w:rFonts w:ascii="方正书宋_GBK" w:eastAsia="方正书宋_GBK"/>
              </w:rPr>
            </w:pP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会议资料保管率</w:t>
            </w:r>
          </w:p>
        </w:tc>
        <w:tc>
          <w:tcPr>
            <w:tcW w:w="1492" w:type="dxa"/>
            <w:tcBorders>
              <w:tl2br w:val="nil"/>
              <w:tr2bl w:val="nil"/>
            </w:tcBorders>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3</w:t>
            </w:r>
          </w:p>
        </w:tc>
        <w:tc>
          <w:tcPr>
            <w:tcW w:w="362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妥善保管会议资料占应保管相关资料的比例</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会议方案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1" w:hRule="atLeast"/>
          <w:jc w:val="center"/>
        </w:trPr>
        <w:tc>
          <w:tcPr>
            <w:tcW w:w="0" w:type="auto"/>
            <w:vMerge w:val="continue"/>
            <w:tcBorders>
              <w:tl2br w:val="nil"/>
              <w:tr2bl w:val="nil"/>
            </w:tcBorders>
            <w:vAlign w:val="center"/>
          </w:tcPr>
          <w:p>
            <w:pPr>
              <w:widowControl/>
              <w:adjustRightInd w:val="0"/>
              <w:snapToGrid w:val="0"/>
              <w:jc w:val="center"/>
              <w:rPr>
                <w:rFonts w:ascii="方正书宋_GBK" w:eastAsia="方正书宋_GBK"/>
              </w:rPr>
            </w:pP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培训资料保管率</w:t>
            </w:r>
          </w:p>
        </w:tc>
        <w:tc>
          <w:tcPr>
            <w:tcW w:w="1492" w:type="dxa"/>
            <w:tcBorders>
              <w:tl2br w:val="nil"/>
              <w:tr2bl w:val="nil"/>
            </w:tcBorders>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3</w:t>
            </w:r>
          </w:p>
        </w:tc>
        <w:tc>
          <w:tcPr>
            <w:tcW w:w="362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妥善保管培训资料占应保管相关资料的比例</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67" w:hRule="atLeast"/>
          <w:jc w:val="center"/>
        </w:trPr>
        <w:tc>
          <w:tcPr>
            <w:tcW w:w="0" w:type="auto"/>
            <w:vMerge w:val="continue"/>
            <w:tcBorders>
              <w:tl2br w:val="nil"/>
              <w:tr2bl w:val="nil"/>
            </w:tcBorders>
            <w:vAlign w:val="center"/>
          </w:tcPr>
          <w:p>
            <w:pPr>
              <w:widowControl/>
              <w:adjustRightInd w:val="0"/>
              <w:snapToGrid w:val="0"/>
              <w:jc w:val="center"/>
              <w:rPr>
                <w:rFonts w:ascii="方正书宋_GBK" w:eastAsia="方正书宋_GBK"/>
              </w:rPr>
            </w:pP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购置合格率</w:t>
            </w:r>
          </w:p>
        </w:tc>
        <w:tc>
          <w:tcPr>
            <w:tcW w:w="1492" w:type="dxa"/>
            <w:tcBorders>
              <w:tl2br w:val="nil"/>
              <w:tr2bl w:val="nil"/>
            </w:tcBorders>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5</w:t>
            </w:r>
          </w:p>
        </w:tc>
        <w:tc>
          <w:tcPr>
            <w:tcW w:w="362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采购质量合格率</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84" w:hRule="atLeast"/>
          <w:jc w:val="center"/>
        </w:trPr>
        <w:tc>
          <w:tcPr>
            <w:tcW w:w="0" w:type="auto"/>
            <w:vMerge w:val="continue"/>
            <w:tcBorders>
              <w:tl2br w:val="nil"/>
              <w:tr2bl w:val="nil"/>
            </w:tcBorders>
            <w:vAlign w:val="center"/>
          </w:tcPr>
          <w:p>
            <w:pPr>
              <w:widowControl/>
              <w:adjustRightInd w:val="0"/>
              <w:snapToGrid w:val="0"/>
              <w:jc w:val="center"/>
              <w:rPr>
                <w:rFonts w:ascii="方正书宋_GBK" w:eastAsia="方正书宋_GBK"/>
              </w:rPr>
            </w:pP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会议活动完成情况</w:t>
            </w:r>
          </w:p>
        </w:tc>
        <w:tc>
          <w:tcPr>
            <w:tcW w:w="1492" w:type="dxa"/>
            <w:tcBorders>
              <w:tl2br w:val="nil"/>
              <w:tr2bl w:val="nil"/>
            </w:tcBorders>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5</w:t>
            </w:r>
          </w:p>
        </w:tc>
        <w:tc>
          <w:tcPr>
            <w:tcW w:w="362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按工作计划安排是否按时完成会议组织任务</w:t>
            </w:r>
          </w:p>
        </w:tc>
        <w:tc>
          <w:tcPr>
            <w:tcW w:w="0" w:type="auto"/>
            <w:tcBorders>
              <w:tl2br w:val="nil"/>
              <w:tr2bl w:val="nil"/>
            </w:tcBorders>
            <w:vAlign w:val="center"/>
          </w:tcPr>
          <w:p>
            <w:pPr>
              <w:jc w:val="left"/>
              <w:rPr>
                <w:rFonts w:ascii="宋体" w:hAnsi="宋体" w:cs="宋体"/>
                <w:color w:val="000000"/>
                <w:sz w:val="18"/>
                <w:szCs w:val="18"/>
              </w:rPr>
            </w:pPr>
          </w:p>
        </w:tc>
        <w:tc>
          <w:tcPr>
            <w:tcW w:w="0" w:type="auto"/>
            <w:tcBorders>
              <w:tl2br w:val="nil"/>
              <w:tr2bl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365.00</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天</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71" w:hRule="atLeast"/>
          <w:jc w:val="center"/>
        </w:trPr>
        <w:tc>
          <w:tcPr>
            <w:tcW w:w="0" w:type="auto"/>
            <w:vMerge w:val="continue"/>
            <w:tcBorders>
              <w:tl2br w:val="nil"/>
              <w:tr2bl w:val="nil"/>
            </w:tcBorders>
            <w:vAlign w:val="center"/>
          </w:tcP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培训活动完成情况</w:t>
            </w:r>
          </w:p>
        </w:tc>
        <w:tc>
          <w:tcPr>
            <w:tcW w:w="1492" w:type="dxa"/>
            <w:tcBorders>
              <w:tl2br w:val="nil"/>
              <w:tr2bl w:val="nil"/>
            </w:tcBorders>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5</w:t>
            </w:r>
          </w:p>
        </w:tc>
        <w:tc>
          <w:tcPr>
            <w:tcW w:w="362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按区政协计划安排是否按时完成培训组织任务</w:t>
            </w:r>
          </w:p>
        </w:tc>
        <w:tc>
          <w:tcPr>
            <w:tcW w:w="0" w:type="auto"/>
            <w:tcBorders>
              <w:tl2br w:val="nil"/>
              <w:tr2bl w:val="nil"/>
            </w:tcBorders>
            <w:vAlign w:val="center"/>
          </w:tcPr>
          <w:p>
            <w:pPr>
              <w:jc w:val="left"/>
              <w:rPr>
                <w:rFonts w:ascii="宋体" w:hAnsi="宋体" w:cs="宋体"/>
                <w:color w:val="000000"/>
                <w:sz w:val="18"/>
                <w:szCs w:val="18"/>
              </w:rPr>
            </w:pPr>
          </w:p>
        </w:tc>
        <w:tc>
          <w:tcPr>
            <w:tcW w:w="0" w:type="auto"/>
            <w:tcBorders>
              <w:tl2br w:val="nil"/>
              <w:tr2bl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次</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98" w:hRule="atLeast"/>
          <w:jc w:val="center"/>
        </w:trPr>
        <w:tc>
          <w:tcPr>
            <w:tcW w:w="0" w:type="auto"/>
            <w:vMerge w:val="continue"/>
            <w:tcBorders>
              <w:tl2br w:val="nil"/>
              <w:tr2bl w:val="nil"/>
            </w:tcBorders>
            <w:vAlign w:val="center"/>
          </w:tcP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时效</w:t>
            </w: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工作完成时效性</w:t>
            </w:r>
          </w:p>
        </w:tc>
        <w:tc>
          <w:tcPr>
            <w:tcW w:w="1492" w:type="dxa"/>
            <w:tcBorders>
              <w:tl2br w:val="nil"/>
              <w:tr2bl w:val="nil"/>
            </w:tcBorders>
            <w:vAlign w:val="center"/>
          </w:tcPr>
          <w:p>
            <w:pPr>
              <w:widowControl/>
              <w:jc w:val="left"/>
              <w:textAlignment w:val="top"/>
              <w:rPr>
                <w:rFonts w:ascii="宋体" w:hAnsi="宋体" w:cs="宋体"/>
                <w:color w:val="000000"/>
                <w:sz w:val="18"/>
                <w:szCs w:val="18"/>
              </w:rPr>
            </w:pPr>
            <w:r>
              <w:rPr>
                <w:rFonts w:hint="eastAsia" w:ascii="宋体" w:hAnsi="宋体" w:cs="宋体"/>
                <w:color w:val="000000"/>
                <w:sz w:val="18"/>
                <w:szCs w:val="18"/>
              </w:rPr>
              <w:t>5</w:t>
            </w:r>
          </w:p>
        </w:tc>
        <w:tc>
          <w:tcPr>
            <w:tcW w:w="3622"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完成任务占任务总数的比率</w:t>
            </w: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95.00</w:t>
            </w: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统计测评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87" w:hRule="atLeast"/>
          <w:jc w:val="center"/>
        </w:trPr>
        <w:tc>
          <w:tcPr>
            <w:tcW w:w="0" w:type="auto"/>
            <w:vMerge w:val="continue"/>
            <w:tcBorders>
              <w:tl2br w:val="nil"/>
              <w:tr2bl w:val="nil"/>
            </w:tcBorders>
            <w:vAlign w:val="center"/>
          </w:tcP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成本</w:t>
            </w: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会议费标准</w:t>
            </w:r>
          </w:p>
        </w:tc>
        <w:tc>
          <w:tcPr>
            <w:tcW w:w="1492" w:type="dxa"/>
            <w:tcBorders>
              <w:tl2br w:val="nil"/>
              <w:tr2bl w:val="nil"/>
            </w:tcBorders>
            <w:vAlign w:val="center"/>
          </w:tcPr>
          <w:p>
            <w:pPr>
              <w:widowControl/>
              <w:jc w:val="left"/>
              <w:textAlignment w:val="top"/>
              <w:rPr>
                <w:rFonts w:ascii="宋体" w:hAnsi="宋体" w:cs="宋体"/>
                <w:color w:val="000000"/>
                <w:sz w:val="18"/>
                <w:szCs w:val="18"/>
              </w:rPr>
            </w:pPr>
            <w:r>
              <w:rPr>
                <w:rFonts w:hint="eastAsia" w:ascii="宋体" w:hAnsi="宋体" w:cs="宋体"/>
                <w:color w:val="000000"/>
                <w:sz w:val="18"/>
                <w:szCs w:val="18"/>
              </w:rPr>
              <w:t>5</w:t>
            </w:r>
          </w:p>
        </w:tc>
        <w:tc>
          <w:tcPr>
            <w:tcW w:w="3622"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会议费支付标准（一类）</w:t>
            </w: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500.00</w:t>
            </w: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元/人/天</w:t>
            </w: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市、区两级会议费管理办法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38" w:hRule="atLeast"/>
          <w:jc w:val="center"/>
        </w:trPr>
        <w:tc>
          <w:tcPr>
            <w:tcW w:w="0" w:type="auto"/>
            <w:vMerge w:val="continue"/>
            <w:tcBorders>
              <w:tl2br w:val="nil"/>
              <w:tr2bl w:val="nil"/>
            </w:tcBorders>
            <w:vAlign w:val="center"/>
          </w:tcP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成本</w:t>
            </w: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培训费标准</w:t>
            </w:r>
          </w:p>
        </w:tc>
        <w:tc>
          <w:tcPr>
            <w:tcW w:w="1492" w:type="dxa"/>
            <w:tcBorders>
              <w:tl2br w:val="nil"/>
              <w:tr2bl w:val="nil"/>
            </w:tcBorders>
            <w:vAlign w:val="center"/>
          </w:tcPr>
          <w:p>
            <w:pPr>
              <w:widowControl/>
              <w:jc w:val="left"/>
              <w:textAlignment w:val="top"/>
              <w:rPr>
                <w:rFonts w:ascii="宋体" w:hAnsi="宋体" w:cs="宋体"/>
                <w:color w:val="000000"/>
                <w:sz w:val="18"/>
                <w:szCs w:val="18"/>
              </w:rPr>
            </w:pPr>
            <w:r>
              <w:rPr>
                <w:rFonts w:hint="eastAsia" w:ascii="宋体" w:hAnsi="宋体" w:cs="宋体"/>
                <w:color w:val="000000"/>
                <w:sz w:val="18"/>
                <w:szCs w:val="18"/>
              </w:rPr>
              <w:t>5</w:t>
            </w:r>
          </w:p>
        </w:tc>
        <w:tc>
          <w:tcPr>
            <w:tcW w:w="3622"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培训费支付标准（二类）</w:t>
            </w: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450.00</w:t>
            </w: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元/人/天</w:t>
            </w: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市、区两级培训费管理办法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38" w:hRule="atLeast"/>
          <w:jc w:val="center"/>
        </w:trPr>
        <w:tc>
          <w:tcPr>
            <w:tcW w:w="0" w:type="auto"/>
            <w:vMerge w:val="continue"/>
            <w:tcBorders>
              <w:tl2br w:val="nil"/>
              <w:tr2bl w:val="nil"/>
            </w:tcBorders>
            <w:vAlign w:val="center"/>
          </w:tcP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成本</w:t>
            </w: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降低成本厉行节约</w:t>
            </w:r>
          </w:p>
        </w:tc>
        <w:tc>
          <w:tcPr>
            <w:tcW w:w="1492" w:type="dxa"/>
            <w:tcBorders>
              <w:tl2br w:val="nil"/>
              <w:tr2bl w:val="nil"/>
            </w:tcBorders>
            <w:vAlign w:val="center"/>
          </w:tcPr>
          <w:p>
            <w:pPr>
              <w:widowControl/>
              <w:jc w:val="left"/>
              <w:textAlignment w:val="top"/>
              <w:rPr>
                <w:rFonts w:ascii="宋体" w:hAnsi="宋体" w:cs="宋体"/>
                <w:color w:val="000000"/>
                <w:sz w:val="18"/>
                <w:szCs w:val="18"/>
              </w:rPr>
            </w:pPr>
            <w:r>
              <w:rPr>
                <w:rFonts w:hint="eastAsia" w:ascii="宋体" w:hAnsi="宋体" w:cs="宋体"/>
                <w:color w:val="000000"/>
                <w:sz w:val="18"/>
                <w:szCs w:val="18"/>
              </w:rPr>
              <w:t>5</w:t>
            </w:r>
          </w:p>
        </w:tc>
        <w:tc>
          <w:tcPr>
            <w:tcW w:w="3622"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较前一年压减支出率</w:t>
            </w: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5.00</w:t>
            </w: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统计测评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4" w:hRule="atLeast"/>
          <w:jc w:val="center"/>
        </w:trPr>
        <w:tc>
          <w:tcPr>
            <w:tcW w:w="0" w:type="auto"/>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任务完成率</w:t>
            </w:r>
          </w:p>
        </w:tc>
        <w:tc>
          <w:tcPr>
            <w:tcW w:w="149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5</w:t>
            </w:r>
          </w:p>
        </w:tc>
        <w:tc>
          <w:tcPr>
            <w:tcW w:w="362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完成任务占任务总数的比率</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98" w:hRule="atLeast"/>
          <w:jc w:val="center"/>
        </w:trPr>
        <w:tc>
          <w:tcPr>
            <w:tcW w:w="0" w:type="auto"/>
            <w:vMerge w:val="continue"/>
            <w:tcBorders>
              <w:tl2br w:val="nil"/>
              <w:tr2bl w:val="nil"/>
            </w:tcBorders>
            <w:vAlign w:val="center"/>
          </w:tcP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推动工作开展</w:t>
            </w:r>
          </w:p>
        </w:tc>
        <w:tc>
          <w:tcPr>
            <w:tcW w:w="149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5</w:t>
            </w:r>
          </w:p>
        </w:tc>
        <w:tc>
          <w:tcPr>
            <w:tcW w:w="362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会议中委员就社会发展所提意见建议比例提升</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0" w:hRule="atLeast"/>
          <w:jc w:val="center"/>
        </w:trPr>
        <w:tc>
          <w:tcPr>
            <w:tcW w:w="0" w:type="auto"/>
            <w:vMerge w:val="continue"/>
            <w:tcBorders>
              <w:tl2br w:val="nil"/>
              <w:tr2bl w:val="nil"/>
            </w:tcBorders>
            <w:vAlign w:val="center"/>
          </w:tcP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推动工作开展</w:t>
            </w:r>
          </w:p>
        </w:tc>
        <w:tc>
          <w:tcPr>
            <w:tcW w:w="149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5</w:t>
            </w:r>
          </w:p>
        </w:tc>
        <w:tc>
          <w:tcPr>
            <w:tcW w:w="362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培训中委员就社会发展所提意见建议比例提升</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0" w:hRule="atLeast"/>
          <w:jc w:val="center"/>
        </w:trPr>
        <w:tc>
          <w:tcPr>
            <w:tcW w:w="0" w:type="auto"/>
            <w:vMerge w:val="continue"/>
            <w:tcBorders>
              <w:tl2br w:val="nil"/>
              <w:tr2bl w:val="nil"/>
            </w:tcBorders>
            <w:vAlign w:val="center"/>
          </w:tcP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故障减少率</w:t>
            </w:r>
          </w:p>
        </w:tc>
        <w:tc>
          <w:tcPr>
            <w:tcW w:w="149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5</w:t>
            </w:r>
          </w:p>
        </w:tc>
        <w:tc>
          <w:tcPr>
            <w:tcW w:w="362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更换完成后故障的减少次数占总次数的比率</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71" w:hRule="atLeast"/>
          <w:jc w:val="center"/>
        </w:trPr>
        <w:tc>
          <w:tcPr>
            <w:tcW w:w="0" w:type="auto"/>
            <w:vMerge w:val="continue"/>
            <w:tcBorders>
              <w:tl2br w:val="nil"/>
              <w:tr2bl w:val="nil"/>
            </w:tcBorders>
            <w:vAlign w:val="center"/>
          </w:tcPr>
          <w:p>
            <w:pPr>
              <w:adjustRightInd w:val="0"/>
              <w:snapToGrid w:val="0"/>
              <w:jc w:val="center"/>
              <w:rPr>
                <w:rFonts w:ascii="方正书宋_GBK" w:eastAsia="方正书宋_GBK"/>
              </w:rPr>
            </w:pP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政协委员满意度</w:t>
            </w:r>
          </w:p>
        </w:tc>
        <w:tc>
          <w:tcPr>
            <w:tcW w:w="149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4</w:t>
            </w:r>
          </w:p>
        </w:tc>
        <w:tc>
          <w:tcPr>
            <w:tcW w:w="362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参会委员满意人数占全部委员的比例</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统计测评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4" w:hRule="atLeast"/>
          <w:jc w:val="center"/>
        </w:trPr>
        <w:tc>
          <w:tcPr>
            <w:tcW w:w="0" w:type="auto"/>
            <w:vMerge w:val="continue"/>
            <w:tcBorders>
              <w:tl2br w:val="nil"/>
              <w:tr2bl w:val="nil"/>
            </w:tcBorders>
            <w:vAlign w:val="center"/>
          </w:tcP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政协委员满意的</w:t>
            </w:r>
          </w:p>
        </w:tc>
        <w:tc>
          <w:tcPr>
            <w:tcW w:w="149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4</w:t>
            </w:r>
          </w:p>
        </w:tc>
        <w:tc>
          <w:tcPr>
            <w:tcW w:w="362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参训委员满意人数占全部委员的比例</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统计测评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37" w:hRule="atLeast"/>
          <w:jc w:val="center"/>
        </w:trPr>
        <w:tc>
          <w:tcPr>
            <w:tcW w:w="0" w:type="auto"/>
            <w:vMerge w:val="continue"/>
            <w:tcBorders>
              <w:tl2br w:val="nil"/>
              <w:tr2bl w:val="nil"/>
            </w:tcBorders>
            <w:vAlign w:val="center"/>
          </w:tcP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149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4</w:t>
            </w:r>
          </w:p>
        </w:tc>
        <w:tc>
          <w:tcPr>
            <w:tcW w:w="3622"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机关人员、政协委员满意率</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统计测评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33" w:hRule="atLeast"/>
          <w:jc w:val="center"/>
        </w:trPr>
        <w:tc>
          <w:tcPr>
            <w:tcW w:w="0" w:type="auto"/>
            <w:vMerge w:val="continue"/>
            <w:tcBorders>
              <w:tl2br w:val="nil"/>
              <w:tr2bl w:val="nil"/>
            </w:tcBorders>
            <w:vAlign w:val="center"/>
          </w:tcP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0" w:type="auto"/>
            <w:tcBorders>
              <w:tl2br w:val="nil"/>
              <w:tr2bl w:val="nil"/>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使用者对替代设备及系统的满意度</w:t>
            </w:r>
          </w:p>
        </w:tc>
        <w:tc>
          <w:tcPr>
            <w:tcW w:w="1492" w:type="dxa"/>
            <w:tcBorders>
              <w:tl2br w:val="nil"/>
              <w:tr2bl w:val="nil"/>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4</w:t>
            </w:r>
          </w:p>
        </w:tc>
        <w:tc>
          <w:tcPr>
            <w:tcW w:w="3622" w:type="dxa"/>
            <w:tcBorders>
              <w:tl2br w:val="nil"/>
              <w:tr2bl w:val="nil"/>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使用者对替代设备及系统的满意度</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计划标准</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32"/>
          <w:szCs w:val="32"/>
        </w:rPr>
      </w:pPr>
      <w:r>
        <w:rPr>
          <w:rFonts w:ascii="Times New Roman" w:hAnsi="Times New Roman" w:eastAsia="仿宋_GB2312" w:cs="Times New Roman"/>
          <w:sz w:val="28"/>
        </w:rPr>
        <w:t>1.</w:t>
      </w:r>
      <w:r>
        <w:rPr>
          <w:rFonts w:hint="eastAsia" w:ascii="Times New Roman" w:hAnsi="Times New Roman" w:eastAsia="仿宋_GB2312" w:cs="Times New Roman"/>
          <w:sz w:val="32"/>
          <w:szCs w:val="32"/>
        </w:rPr>
        <w:t>工作经费</w:t>
      </w:r>
      <w:r>
        <w:rPr>
          <w:rFonts w:ascii="Times New Roman" w:hAnsi="Times New Roman" w:eastAsia="仿宋_GB2312" w:cs="Times New Roman"/>
          <w:sz w:val="32"/>
          <w:szCs w:val="32"/>
        </w:rPr>
        <w:t>绩效目标表</w:t>
      </w:r>
      <w:bookmarkStart w:id="0" w:name="_Toc29799657"/>
      <w:bookmarkEnd w:id="0"/>
      <w:r>
        <w:rPr>
          <w:rFonts w:ascii="Times New Roman" w:hAnsi="Times New Roman" w:eastAsia="仿宋_GB2312" w:cs="Times New Roman"/>
          <w:vanish/>
          <w:sz w:val="32"/>
          <w:szCs w:val="32"/>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宋体" w:hAnsi="宋体" w:cs="宋体"/>
                <w:color w:val="000000"/>
                <w:kern w:val="0"/>
                <w:sz w:val="18"/>
                <w:szCs w:val="18"/>
              </w:rPr>
              <w:t>经费到达后专款专用，用于机关印刷耗材、报刊、设备维护、维修等支出。达到机关正常运转，改善办公环境，提高办公效率的作用。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数量</w:t>
            </w:r>
          </w:p>
        </w:tc>
        <w:tc>
          <w:tcPr>
            <w:tcW w:w="198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工作计划执行率</w:t>
            </w:r>
          </w:p>
        </w:tc>
        <w:tc>
          <w:tcPr>
            <w:tcW w:w="3402"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实际工作占全年总计划的比重</w:t>
            </w:r>
          </w:p>
        </w:tc>
        <w:tc>
          <w:tcPr>
            <w:tcW w:w="1843"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≧95%</w:t>
            </w:r>
          </w:p>
        </w:tc>
        <w:tc>
          <w:tcPr>
            <w:tcW w:w="215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质量</w:t>
            </w:r>
          </w:p>
        </w:tc>
        <w:tc>
          <w:tcPr>
            <w:tcW w:w="198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采购质量合格率</w:t>
            </w:r>
          </w:p>
        </w:tc>
        <w:tc>
          <w:tcPr>
            <w:tcW w:w="3402"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采购质量合格率</w:t>
            </w:r>
          </w:p>
        </w:tc>
        <w:tc>
          <w:tcPr>
            <w:tcW w:w="1843"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=100%</w:t>
            </w:r>
          </w:p>
        </w:tc>
        <w:tc>
          <w:tcPr>
            <w:tcW w:w="215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时效</w:t>
            </w:r>
          </w:p>
        </w:tc>
        <w:tc>
          <w:tcPr>
            <w:tcW w:w="198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经费保障完成时间</w:t>
            </w:r>
          </w:p>
        </w:tc>
        <w:tc>
          <w:tcPr>
            <w:tcW w:w="3402"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经费保障完成时间</w:t>
            </w:r>
          </w:p>
        </w:tc>
        <w:tc>
          <w:tcPr>
            <w:tcW w:w="1843"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≧365天</w:t>
            </w:r>
          </w:p>
        </w:tc>
        <w:tc>
          <w:tcPr>
            <w:tcW w:w="215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成本</w:t>
            </w:r>
          </w:p>
        </w:tc>
        <w:tc>
          <w:tcPr>
            <w:tcW w:w="198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降低成本率节约</w:t>
            </w:r>
          </w:p>
        </w:tc>
        <w:tc>
          <w:tcPr>
            <w:tcW w:w="3402"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较前一年压减支出率</w:t>
            </w:r>
          </w:p>
        </w:tc>
        <w:tc>
          <w:tcPr>
            <w:tcW w:w="1843"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≧5%</w:t>
            </w:r>
          </w:p>
        </w:tc>
        <w:tc>
          <w:tcPr>
            <w:tcW w:w="215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统计测评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198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任务完成率</w:t>
            </w:r>
          </w:p>
        </w:tc>
        <w:tc>
          <w:tcPr>
            <w:tcW w:w="3402"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完成任务占任务总数的比率</w:t>
            </w:r>
          </w:p>
        </w:tc>
        <w:tc>
          <w:tcPr>
            <w:tcW w:w="1843"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≧95%</w:t>
            </w:r>
          </w:p>
        </w:tc>
        <w:tc>
          <w:tcPr>
            <w:tcW w:w="215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统计测评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198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服务对象满意率</w:t>
            </w:r>
          </w:p>
        </w:tc>
        <w:tc>
          <w:tcPr>
            <w:tcW w:w="3402"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机关人员、政协委员满意率</w:t>
            </w:r>
          </w:p>
        </w:tc>
        <w:tc>
          <w:tcPr>
            <w:tcW w:w="1843"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≧90%</w:t>
            </w:r>
          </w:p>
        </w:tc>
        <w:tc>
          <w:tcPr>
            <w:tcW w:w="215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统计测评</w:t>
            </w:r>
          </w:p>
        </w:tc>
      </w:tr>
    </w:tbl>
    <w:p>
      <w:pPr>
        <w:ind w:firstLine="560" w:firstLineChars="200"/>
        <w:jc w:val="left"/>
        <w:outlineLvl w:val="1"/>
        <w:rPr>
          <w:rFonts w:ascii="Times New Roman" w:hAnsi="Times New Roman" w:eastAsia="仿宋_GB2312" w:cs="Times New Roman"/>
          <w:sz w:val="32"/>
          <w:szCs w:val="32"/>
        </w:rPr>
      </w:pPr>
      <w:r>
        <w:rPr>
          <w:rFonts w:ascii="Times New Roman" w:hAnsi="Times New Roman" w:eastAsia="仿宋_GB2312" w:cs="Times New Roman"/>
          <w:sz w:val="28"/>
        </w:rPr>
        <w:t>2.</w:t>
      </w:r>
      <w:r>
        <w:rPr>
          <w:rFonts w:hint="eastAsia" w:ascii="Times New Roman" w:hAnsi="Times New Roman" w:eastAsia="仿宋_GB2312" w:cs="Times New Roman"/>
          <w:sz w:val="32"/>
          <w:szCs w:val="32"/>
        </w:rPr>
        <w:t>会议费</w:t>
      </w:r>
      <w:r>
        <w:rPr>
          <w:rFonts w:ascii="Times New Roman" w:hAnsi="Times New Roman" w:eastAsia="仿宋_GB2312" w:cs="Times New Roman"/>
          <w:sz w:val="32"/>
          <w:szCs w:val="32"/>
        </w:rPr>
        <w:t>绩效目标表</w:t>
      </w:r>
      <w:r>
        <w:rPr>
          <w:rFonts w:ascii="Times New Roman" w:hAnsi="Times New Roman" w:eastAsia="仿宋_GB2312" w:cs="Times New Roman"/>
          <w:vanish/>
          <w:sz w:val="32"/>
          <w:szCs w:val="32"/>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满足组织召开广阳区政协全会及常委会、主席会所需经费开支，做到专款专用，为委员政治协商、民主监督、参政议政做好保障，为区委、政府提出建设性意见、为广阳发展经济建设献计献策。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数量</w:t>
            </w:r>
            <w:r>
              <w:rPr>
                <w:rFonts w:hint="eastAsia" w:ascii="宋体" w:hAnsi="宋体" w:cs="宋体"/>
                <w:color w:val="000000"/>
                <w:kern w:val="0"/>
                <w:sz w:val="18"/>
                <w:szCs w:val="18"/>
              </w:rPr>
              <w:tab/>
            </w:r>
            <w:r>
              <w:rPr>
                <w:rFonts w:hint="eastAsia" w:ascii="宋体" w:hAnsi="宋体" w:cs="宋体"/>
                <w:color w:val="000000"/>
                <w:kern w:val="0"/>
                <w:sz w:val="18"/>
                <w:szCs w:val="18"/>
              </w:rPr>
              <w:tab/>
            </w:r>
            <w:r>
              <w:rPr>
                <w:rFonts w:hint="eastAsia" w:ascii="宋体" w:hAnsi="宋体" w:cs="宋体"/>
                <w:color w:val="000000"/>
                <w:kern w:val="0"/>
                <w:sz w:val="18"/>
                <w:szCs w:val="18"/>
              </w:rPr>
              <w:tab/>
            </w:r>
          </w:p>
        </w:tc>
        <w:tc>
          <w:tcPr>
            <w:tcW w:w="198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会议活动参加人数</w:t>
            </w:r>
          </w:p>
        </w:tc>
        <w:tc>
          <w:tcPr>
            <w:tcW w:w="3402"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组织参会人数</w:t>
            </w:r>
          </w:p>
        </w:tc>
        <w:tc>
          <w:tcPr>
            <w:tcW w:w="1843"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≧340人</w:t>
            </w:r>
          </w:p>
        </w:tc>
        <w:tc>
          <w:tcPr>
            <w:tcW w:w="215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质量</w:t>
            </w:r>
          </w:p>
        </w:tc>
        <w:tc>
          <w:tcPr>
            <w:tcW w:w="198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会议资料保管率</w:t>
            </w:r>
          </w:p>
        </w:tc>
        <w:tc>
          <w:tcPr>
            <w:tcW w:w="3402"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妥善保管会议资料占应保管相关资料的比例</w:t>
            </w:r>
          </w:p>
        </w:tc>
        <w:tc>
          <w:tcPr>
            <w:tcW w:w="1843"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≧90%</w:t>
            </w:r>
          </w:p>
        </w:tc>
        <w:tc>
          <w:tcPr>
            <w:tcW w:w="215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时效</w:t>
            </w:r>
          </w:p>
        </w:tc>
        <w:tc>
          <w:tcPr>
            <w:tcW w:w="198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会议活动完成情况</w:t>
            </w:r>
          </w:p>
        </w:tc>
        <w:tc>
          <w:tcPr>
            <w:tcW w:w="3402"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按工作计划安排是否按时完成会议组织任务</w:t>
            </w:r>
          </w:p>
        </w:tc>
        <w:tc>
          <w:tcPr>
            <w:tcW w:w="1843"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≧365天</w:t>
            </w:r>
          </w:p>
        </w:tc>
        <w:tc>
          <w:tcPr>
            <w:tcW w:w="215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成本</w:t>
            </w:r>
          </w:p>
        </w:tc>
        <w:tc>
          <w:tcPr>
            <w:tcW w:w="198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会议费标准</w:t>
            </w:r>
          </w:p>
        </w:tc>
        <w:tc>
          <w:tcPr>
            <w:tcW w:w="3402"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会议费支付标准（一类）</w:t>
            </w:r>
          </w:p>
        </w:tc>
        <w:tc>
          <w:tcPr>
            <w:tcW w:w="1843"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≦500元/人/天</w:t>
            </w:r>
          </w:p>
        </w:tc>
        <w:tc>
          <w:tcPr>
            <w:tcW w:w="215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市、区两级会议费管理办法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198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推动工作开展</w:t>
            </w:r>
          </w:p>
        </w:tc>
        <w:tc>
          <w:tcPr>
            <w:tcW w:w="3402"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会议中委员就社会发展所提意见建议比例提升</w:t>
            </w:r>
          </w:p>
        </w:tc>
        <w:tc>
          <w:tcPr>
            <w:tcW w:w="1843"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≧5%</w:t>
            </w:r>
          </w:p>
        </w:tc>
        <w:tc>
          <w:tcPr>
            <w:tcW w:w="215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198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政协委员满意度</w:t>
            </w:r>
          </w:p>
        </w:tc>
        <w:tc>
          <w:tcPr>
            <w:tcW w:w="3402"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参会委员满意人数占全部委员的比例</w:t>
            </w:r>
          </w:p>
        </w:tc>
        <w:tc>
          <w:tcPr>
            <w:tcW w:w="1843"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≧95%</w:t>
            </w:r>
          </w:p>
        </w:tc>
        <w:tc>
          <w:tcPr>
            <w:tcW w:w="215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统计测评</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ascii="Times New Roman" w:hAnsi="Times New Roman" w:eastAsia="仿宋_GB2312" w:cs="Times New Roman"/>
          <w:sz w:val="32"/>
          <w:szCs w:val="32"/>
        </w:rPr>
        <w:t>培训费</w:t>
      </w:r>
      <w:r>
        <w:rPr>
          <w:rFonts w:ascii="Times New Roman" w:hAnsi="Times New Roman" w:eastAsia="仿宋_GB2312" w:cs="Times New Roman"/>
          <w:sz w:val="32"/>
          <w:szCs w:val="32"/>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满足组织委员及机关干部培训所需经费开支，做到专款专用，为政协委员提高政治协商、民主监督、参政议政能力做好保障。增强委员政治把握能力、调查研究能力、联系群众能力、合作共事能力。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数量</w:t>
            </w:r>
          </w:p>
        </w:tc>
        <w:tc>
          <w:tcPr>
            <w:tcW w:w="198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参加学习培训委员人数</w:t>
            </w:r>
          </w:p>
        </w:tc>
        <w:tc>
          <w:tcPr>
            <w:tcW w:w="3402"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参加学习培训委员人数</w:t>
            </w:r>
          </w:p>
        </w:tc>
        <w:tc>
          <w:tcPr>
            <w:tcW w:w="1843"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≧150人</w:t>
            </w:r>
          </w:p>
        </w:tc>
        <w:tc>
          <w:tcPr>
            <w:tcW w:w="215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政协2021年工作计划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质量</w:t>
            </w:r>
          </w:p>
        </w:tc>
        <w:tc>
          <w:tcPr>
            <w:tcW w:w="198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培训资料保管率</w:t>
            </w:r>
          </w:p>
        </w:tc>
        <w:tc>
          <w:tcPr>
            <w:tcW w:w="3402"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妥善保管培训资料占应保管相关资料的比例</w:t>
            </w:r>
          </w:p>
        </w:tc>
        <w:tc>
          <w:tcPr>
            <w:tcW w:w="1843"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≧90%</w:t>
            </w:r>
          </w:p>
        </w:tc>
        <w:tc>
          <w:tcPr>
            <w:tcW w:w="215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时效</w:t>
            </w:r>
          </w:p>
        </w:tc>
        <w:tc>
          <w:tcPr>
            <w:tcW w:w="198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培训活动完成情况</w:t>
            </w:r>
          </w:p>
        </w:tc>
        <w:tc>
          <w:tcPr>
            <w:tcW w:w="3402"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按区政协计划安排是否按时完成培训组织任务</w:t>
            </w:r>
          </w:p>
        </w:tc>
        <w:tc>
          <w:tcPr>
            <w:tcW w:w="1843"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≧2次</w:t>
            </w:r>
          </w:p>
        </w:tc>
        <w:tc>
          <w:tcPr>
            <w:tcW w:w="215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区政协工作安排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成本</w:t>
            </w:r>
          </w:p>
        </w:tc>
        <w:tc>
          <w:tcPr>
            <w:tcW w:w="198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培训费标准</w:t>
            </w:r>
          </w:p>
        </w:tc>
        <w:tc>
          <w:tcPr>
            <w:tcW w:w="3402"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培训费支付标准（二类）</w:t>
            </w:r>
          </w:p>
        </w:tc>
        <w:tc>
          <w:tcPr>
            <w:tcW w:w="1843"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≦450元/人/天</w:t>
            </w:r>
          </w:p>
        </w:tc>
        <w:tc>
          <w:tcPr>
            <w:tcW w:w="215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区级机关培训费管理办法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198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推动工作开展</w:t>
            </w:r>
          </w:p>
        </w:tc>
        <w:tc>
          <w:tcPr>
            <w:tcW w:w="3402"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会议中委员就社会发展所提意见建议比例提升</w:t>
            </w:r>
          </w:p>
        </w:tc>
        <w:tc>
          <w:tcPr>
            <w:tcW w:w="1843"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≧5%</w:t>
            </w:r>
          </w:p>
        </w:tc>
        <w:tc>
          <w:tcPr>
            <w:tcW w:w="215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政协委员满意度</w:t>
            </w:r>
          </w:p>
        </w:tc>
        <w:tc>
          <w:tcPr>
            <w:tcW w:w="198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参训委员满意人数占全部委员的比例</w:t>
            </w:r>
          </w:p>
        </w:tc>
        <w:tc>
          <w:tcPr>
            <w:tcW w:w="3402"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政协委员满意度</w:t>
            </w:r>
          </w:p>
        </w:tc>
        <w:tc>
          <w:tcPr>
            <w:tcW w:w="1843"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≧95%</w:t>
            </w:r>
          </w:p>
        </w:tc>
        <w:tc>
          <w:tcPr>
            <w:tcW w:w="2155" w:type="dxa"/>
            <w:shd w:val="clear" w:color="auto" w:fill="auto"/>
            <w:vAlign w:val="center"/>
          </w:tcPr>
          <w:p>
            <w:pPr>
              <w:spacing w:line="300" w:lineRule="exact"/>
              <w:rPr>
                <w:rFonts w:ascii="宋体" w:hAnsi="宋体" w:cs="宋体"/>
                <w:color w:val="000000"/>
                <w:kern w:val="0"/>
                <w:sz w:val="18"/>
                <w:szCs w:val="18"/>
              </w:rPr>
            </w:pPr>
            <w:r>
              <w:rPr>
                <w:rFonts w:hint="eastAsia" w:ascii="宋体" w:hAnsi="宋体" w:cs="宋体"/>
                <w:color w:val="000000"/>
                <w:kern w:val="0"/>
                <w:sz w:val="18"/>
                <w:szCs w:val="18"/>
              </w:rPr>
              <w:t>统计测评</w:t>
            </w:r>
          </w:p>
        </w:tc>
      </w:tr>
    </w:tbl>
    <w:p>
      <w:pPr>
        <w:spacing w:line="300" w:lineRule="exact"/>
        <w:jc w:val="left"/>
        <w:rPr>
          <w:rFonts w:ascii="Times New Roman" w:hAnsi="Times New Roman" w:eastAsia="仿宋_GB2312" w:cs="Times New Roma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w:t>
      </w:r>
      <w:r>
        <w:rPr>
          <w:rFonts w:hint="eastAsia" w:ascii="Times New Roman" w:hAnsi="Times New Roman" w:eastAsia="仿宋_GB2312" w:cs="Times New Roman"/>
          <w:sz w:val="32"/>
          <w:szCs w:val="32"/>
        </w:rPr>
        <w:t>互联网接入口检测器经费</w:t>
      </w:r>
      <w:r>
        <w:rPr>
          <w:rFonts w:ascii="Times New Roman" w:hAnsi="Times New Roman" w:eastAsia="仿宋_GB2312" w:cs="Times New Roman"/>
          <w:sz w:val="32"/>
          <w:szCs w:val="32"/>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rPr>
              <w:t>购买互联网接入口检测器，于2021年底前安装完成并纳入市级“056”平台监管范围，实现对互联网接入口、电子政务外网、政务平台等全面保密监管，大幅度提升对互联网攻击窃密和传输泄密信息等违法行为的检测发现和应急处置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采购设备数量</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需要采购的设备数量</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=1台</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采购设备合格率</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采购合格设备数量占采购设备总量的比率</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工作完成率</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按时完成的工作占计划工作的比率</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成本控制率</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节约成本占总计划成本的比率</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≧5%</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故障减少率</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更换完成后故障的减少次数占总次数的比率</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≧5%</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可持续效益</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替代设备使用年限</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替代设备使用年限</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≧6年</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满意度</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使用者对替代设备及系统的满意度</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使用者对替代设备及系统的满意程度</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计划标准</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jc w:val="center"/>
        <w:outlineLvl w:val="1"/>
        <w:rPr>
          <w:rFonts w:ascii="Times New Roman" w:hAnsi="Times New Roman" w:cs="Times New Roman"/>
          <w:sz w:val="32"/>
        </w:rPr>
      </w:pPr>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cs="Times New Roman"/>
                <w:sz w:val="32"/>
                <w:szCs w:val="32"/>
              </w:rPr>
            </w:pPr>
            <w:r>
              <w:rPr>
                <w:rFonts w:hint="eastAsia" w:ascii="仿宋" w:hAnsi="仿宋" w:eastAsia="仿宋" w:cs="Times New Roman"/>
                <w:sz w:val="32"/>
                <w:szCs w:val="32"/>
              </w:rPr>
              <w:t>131001</w:t>
            </w:r>
            <w:r>
              <w:rPr>
                <w:rFonts w:hint="eastAsia" w:ascii="方正小标宋_GBK" w:eastAsia="方正小标宋_GBK" w:cs="Times New Roman"/>
                <w:sz w:val="24"/>
              </w:rPr>
              <w:t>中国人民政治协商会议廊坊市广阳区委员会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w:t>
            </w: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sz w:val="18"/>
                <w:szCs w:val="18"/>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4"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中国人民政治协商会议廊坊市广阳区委员会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33.40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中国人民政治协商会议廊坊市广阳区委员会</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hint="eastAsia" w:ascii="方正小标宋_GBK" w:eastAsia="方正小标宋_GBK" w:cs="Times New Roman"/>
                <w:sz w:val="24"/>
              </w:rPr>
              <w:t>编制部门：中国人民政治协商会议廊坊市广阳区委员会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33.40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3.75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483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29.65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UnicodeMS">
    <w:altName w:val="Arial"/>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3</w:t>
    </w:r>
    <w:r>
      <w:rPr>
        <w:rStyle w:val="10"/>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15</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77A4B"/>
    <w:multiLevelType w:val="singleLevel"/>
    <w:tmpl w:val="B9077A4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463CC"/>
    <w:rsid w:val="002F3B31"/>
    <w:rsid w:val="00301F9F"/>
    <w:rsid w:val="00321574"/>
    <w:rsid w:val="00356683"/>
    <w:rsid w:val="00412725"/>
    <w:rsid w:val="004A54AA"/>
    <w:rsid w:val="006E0EF5"/>
    <w:rsid w:val="00773CF2"/>
    <w:rsid w:val="00807A76"/>
    <w:rsid w:val="008F0EB4"/>
    <w:rsid w:val="009162B0"/>
    <w:rsid w:val="00A218C6"/>
    <w:rsid w:val="00B17B32"/>
    <w:rsid w:val="00B74585"/>
    <w:rsid w:val="00B80935"/>
    <w:rsid w:val="00C21093"/>
    <w:rsid w:val="00CF0464"/>
    <w:rsid w:val="00D347CC"/>
    <w:rsid w:val="00D66A9B"/>
    <w:rsid w:val="00E27CE3"/>
    <w:rsid w:val="00E352D3"/>
    <w:rsid w:val="013E5938"/>
    <w:rsid w:val="01E3606D"/>
    <w:rsid w:val="07C81F94"/>
    <w:rsid w:val="0A1C2FB3"/>
    <w:rsid w:val="0D2E3553"/>
    <w:rsid w:val="0DBF3160"/>
    <w:rsid w:val="0FE80786"/>
    <w:rsid w:val="130D585B"/>
    <w:rsid w:val="1B9327D5"/>
    <w:rsid w:val="232B2E85"/>
    <w:rsid w:val="2C712259"/>
    <w:rsid w:val="33261AAB"/>
    <w:rsid w:val="369B34FE"/>
    <w:rsid w:val="3B781E05"/>
    <w:rsid w:val="404B49F4"/>
    <w:rsid w:val="4279557E"/>
    <w:rsid w:val="45897F50"/>
    <w:rsid w:val="4AA960DC"/>
    <w:rsid w:val="4BD81917"/>
    <w:rsid w:val="4C9D3E20"/>
    <w:rsid w:val="4CB570A7"/>
    <w:rsid w:val="5D740BEC"/>
    <w:rsid w:val="6103643B"/>
    <w:rsid w:val="61A21678"/>
    <w:rsid w:val="70D074AE"/>
    <w:rsid w:val="7AD843E1"/>
    <w:rsid w:val="7B391F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basedOn w:val="9"/>
    <w:semiHidden/>
    <w:unhideWhenUsed/>
    <w:qFormat/>
    <w:uiPriority w:val="99"/>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1A6A-0F8A-4898-BA92-DE1E86AC3A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1172</Words>
  <Characters>6687</Characters>
  <Lines>55</Lines>
  <Paragraphs>15</Paragraphs>
  <TotalTime>45</TotalTime>
  <ScaleCrop>false</ScaleCrop>
  <LinksUpToDate>false</LinksUpToDate>
  <CharactersWithSpaces>7844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2024-12-26T03:53:43Z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200023018_btnclosed</vt:lpwstr>
  </property>
  <property fmtid="{D5CDD505-2E9C-101B-9397-08002B2CF9AE}" pid="3" name="KSOProductBuildVer">
    <vt:lpwstr>2052-11.8.2.10972</vt:lpwstr>
  </property>
  <property fmtid="{D5CDD505-2E9C-101B-9397-08002B2CF9AE}" pid="4" name="ICV">
    <vt:lpwstr>5310529672E74A50ADFF0A2C02A61951</vt:lpwstr>
  </property>
</Properties>
</file>