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广阳区档案馆</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根据《廊坊市广阳区档案馆职能配置、内设机构和人员编制规定》， 廊坊市广阳区档案馆的主要职责是：</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广阳区档案馆的主要职责</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（一）贯彻执行国家和本区有关档案管理的法律、法规、规章。</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（二）集中统一管理区直机关各历史时期的档案资料，保守党和国家机密，维护档案完整，确保档案资料安全。</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（三）接收区委、区人大、区政府、区政协、区纪委监委、区直各机关单位及乡镇街道办事处应进馆的档案资料。</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（四）征集散存在社会上对国家和社会有保存价值的珍贵档案资料。</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（五）负责馆藏档案资料的整理、编目、鉴定、统计和技术保护工作。    </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（六）依法开放档案，为党和政府及社会各方面提供利用服务。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（七）承担政府公开信息的收集、管理和集中查阅工作。</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（八）开发档案信息资源，开展档案史料编研出版、展览陈列和社会教育活动。</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（九）运用现代化技术手段，开展馆藏档案信息化建设。</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（十）完成区委交办的其他任务。</w:t>
      </w:r>
    </w:p>
    <w:p>
      <w:pPr>
        <w:autoSpaceDE w:val="0"/>
        <w:autoSpaceDN w:val="0"/>
        <w:adjustRightInd w:val="0"/>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廊坊市广阳区档案馆</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事业</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正科级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财政</w:t>
            </w:r>
            <w:r>
              <w:rPr>
                <w:rFonts w:hint="eastAsia" w:ascii="Times New Roman" w:hAnsi="Times New Roman" w:eastAsia="仿宋_GB2312" w:cs="Times New Roman"/>
                <w:bCs/>
              </w:rPr>
              <w:t>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广阳区档案馆机关及所属事业单位的收支包含在部门预算中</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188.63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188.63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188.63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188.63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168.8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9.83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，主要为纸质档案数字化工作经费等其他支出。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188.63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减少24.6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减少34.6</w:t>
      </w:r>
      <w:r>
        <w:rPr>
          <w:rFonts w:hint="eastAsia" w:ascii="Times New Roman" w:hAnsi="Times New Roman" w:eastAsia="仿宋_GB2312" w:cs="Times New Roman"/>
          <w:sz w:val="32"/>
          <w:szCs w:val="32"/>
          <w:lang w:eastAsia="zh-CN"/>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纸质档案数字化工作经费</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馆</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9.83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廊坊市广阳区档案馆</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馆</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1、围绕区委、区政府中心工作推进工作开展。</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按照区委、区政府的统一部署，在完成全区重点中心工作的同时，充分发挥档案部门的职能作用，为全区各项工作提供第一手的档案资料。</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2、做好各级档案员的业务培训工作。</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针对我区目前各立档单位档案员变换频繁，档案员业务不熟练的实际情况，定期举办档案员培训班，提高各单位尤其是乡镇、街办处对档案工作的重视，提升档案员的工作水平。</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3、继续做好档案接收工作。</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我们将对今年未按时移交的立档单位进行执法检查，查看归档范围、保管年限是否准确等。以确保将来接收进馆档案的质量，更好的为各立档单位以后查阅档案提供更好的服务。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4、继续做好档案数字化扫描整理工作。</w:t>
      </w:r>
    </w:p>
    <w:p>
      <w:pPr>
        <w:spacing w:line="584"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我们继续将全部馆藏档案进行电子化扫描整理工作，全面实现档案数字化管理。</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1、档案收集与整理</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绩效目标：将全年应接收进馆档案进行接收工作，丰富馆藏内容，满足工作考察、历史研究、编史修志等方面的需求，提高档案利用价值。</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绩效指标：档案收集整理完成率100%。</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2、档案保管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绩效目标：定期调控和记录库房温室度，库房建设符合国家标准，分区合理，设备不出现故障，档案保管环境和保障条件进一步优化，维护档案状况，确保机关和档案绝对安全。</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绩效指标：档案资料完好率100%，档案设施、设备完好率100%，库房环境达标率100%</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3.档案电子化扫描</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绩效目标：完成我馆现存档案的扫描工作，实现档案数字化管理。</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绩效指标：文件及目录数据完成量12万件</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是强化政治和制度保障。切实提高政治站位，始终牢记“档案工作姓党”。要旗帜鲜明讲政治，不断增强档案工作的政治敏锐性和政治鉴别力，以高度的政治自觉和强烈的政治担当做好档案工作。完善财务管理规定，专门制定了预算管理制度、货币资金管理办法、资产及物品采购管理办法和项目资金管理办法。保证预算编制合理细致；资产及物品采购程序合理合法，资产管理到位，支出合理，物尽其用。</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2、是做好绩效自评。按要求开展上年度部门预算绩效自评和重点评价工作，对评价中发现的问题及时整改，调整优化支出结构，提高财政资金使用效益。</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是强化内部监督。机关制定了一系列内控制度，严格按照内控制度进行运转，对绩效运行情况、重大支出决策、对外投资、资产处置及其他重要经济业务事项的决策和执行进行督导。成立馆内审工作领导小组及其办公室，加强内审工作。严格审核、监督重大支出决策程序，审核固定资产投资、资产处置及其他重要经济业务事项的决策和执行是否符合馆有关规定，对会计资料进行内部审计，并配合做好审计、财政监督等外部监督工作，确保财政资金安全有效。</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是强化宣传培训调研等。认真贯彻落实全省组织工作会议精神，着力抓好干部教育和培训，扎实做好人才培养工作；加强调研，提出科学的项目实施方案、提高资金使用效益；加大宣传力度，强化预算绩效管理意识，促进预算绩效管理水平进一步提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是强化安全保障。深入贯彻落实国家档案局《关于进一步加强档案安全工作的意见》，建立健全人防、物防、技防三位一体的档案安全保障体系，强化隐患排查治理，防范安全风险挑战，始终把档案安全作为头等大事来抓。</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档案数字化完成率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完成扫描、整理档案数量占馆藏档案数量的比例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档案接收率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全年接收进馆档案数量与应接收进馆档案数量比例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Times New Roman" w:hAnsi="Times New Roman" w:eastAsia="仿宋_GB2312" w:cs="Times New Roman"/>
              </w:rPr>
              <w:t>工作完成时效</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w:t>
            </w:r>
          </w:p>
          <w:p>
            <w:pPr>
              <w:widowControl/>
              <w:adjustRightInd w:val="0"/>
              <w:snapToGrid w:val="0"/>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Times New Roman" w:hAnsi="Times New Roman" w:eastAsia="仿宋_GB2312" w:cs="Times New Roman"/>
              </w:rPr>
              <w:t>工作完成时效</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按时完成</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Times New Roman" w:hAnsi="Times New Roman" w:eastAsia="仿宋_GB2312" w:cs="Times New Roman"/>
              </w:rPr>
              <w:t>按总成本控制</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Times New Roman" w:hAnsi="Times New Roman" w:eastAsia="仿宋_GB2312" w:cs="Times New Roman"/>
              </w:rPr>
              <w:t>按总成本控制</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不超预算安排</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档案查阅、利用情况</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档案查阅、利用情况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长期服务</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调查指标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adjustRightInd w:val="0"/>
              <w:snapToGrid w:val="0"/>
              <w:jc w:val="center"/>
              <w:rPr>
                <w:rFonts w:ascii="方正书宋_GBK" w:eastAsia="方正书宋_GBK"/>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生态</w:t>
            </w:r>
          </w:p>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adjustRightInd w:val="0"/>
              <w:snapToGrid w:val="0"/>
              <w:jc w:val="center"/>
              <w:rPr>
                <w:rFonts w:ascii="仿宋_GB2312" w:hAnsi="仿宋_GB2312" w:eastAsia="仿宋_GB2312" w:cs="仿宋_GB2312"/>
              </w:rPr>
            </w:pPr>
          </w:p>
        </w:tc>
        <w:tc>
          <w:tcPr>
            <w:tcW w:w="2172" w:type="dxa"/>
            <w:tcBorders>
              <w:tl2br w:val="nil"/>
              <w:tr2bl w:val="nil"/>
            </w:tcBorders>
            <w:vAlign w:val="center"/>
          </w:tcPr>
          <w:p>
            <w:pPr>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adjustRightInd w:val="0"/>
              <w:snapToGrid w:val="0"/>
              <w:jc w:val="center"/>
              <w:rPr>
                <w:rFonts w:ascii="仿宋_GB2312" w:hAnsi="仿宋_GB2312" w:eastAsia="仿宋_GB2312" w:cs="仿宋_GB2312"/>
              </w:rPr>
            </w:pPr>
          </w:p>
        </w:tc>
        <w:tc>
          <w:tcPr>
            <w:tcW w:w="2172" w:type="dxa"/>
            <w:tcBorders>
              <w:tl2br w:val="nil"/>
              <w:tr2bl w:val="nil"/>
            </w:tcBorders>
            <w:noWrap/>
            <w:vAlign w:val="center"/>
          </w:tcPr>
          <w:p>
            <w:pPr>
              <w:adjustRightInd w:val="0"/>
              <w:snapToGrid w:val="0"/>
              <w:jc w:val="center"/>
              <w:rPr>
                <w:rFonts w:ascii="仿宋_GB2312" w:hAnsi="仿宋_GB2312" w:eastAsia="仿宋_GB2312" w:cs="仿宋_GB2312"/>
              </w:rPr>
            </w:pPr>
          </w:p>
        </w:tc>
        <w:tc>
          <w:tcPr>
            <w:tcW w:w="1483" w:type="dxa"/>
            <w:tcBorders>
              <w:tl2br w:val="nil"/>
              <w:tr2bl w:val="nil"/>
            </w:tcBorders>
            <w:noWrap/>
            <w:vAlign w:val="center"/>
          </w:tcPr>
          <w:p>
            <w:pPr>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2172"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全区接受档案服务人员满意度调查达到完全满意或满意的全部调查对象的比例</w:t>
            </w:r>
          </w:p>
        </w:tc>
        <w:tc>
          <w:tcPr>
            <w:tcW w:w="54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调查指标</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纸质档案数字化工作经费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hint="eastAsia" w:ascii="仿宋_GB2312" w:eastAsia="仿宋_GB2312"/>
              </w:rPr>
            </w:pPr>
            <w:r>
              <w:rPr>
                <w:rFonts w:hint="eastAsia" w:ascii="仿宋_GB2312" w:eastAsia="仿宋_GB2312"/>
              </w:rPr>
              <w:t>1.将接收纸质档案扫描整理</w:t>
            </w:r>
          </w:p>
          <w:p>
            <w:pPr>
              <w:spacing w:line="300" w:lineRule="exact"/>
              <w:rPr>
                <w:rFonts w:ascii="Times New Roman" w:hAnsi="Times New Roman" w:eastAsia="仿宋_GB2312" w:cs="Times New Roman"/>
                <w:b/>
              </w:rPr>
            </w:pPr>
            <w:r>
              <w:rPr>
                <w:rFonts w:hint="eastAsia" w:ascii="仿宋_GB2312" w:eastAsia="仿宋_GB2312"/>
              </w:rPr>
              <w:t>2.提高档案利用服务质量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档案扫描整理数量</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档案扫描整理数量</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≥1700册</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档案扫描整理验收合格率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档案扫描验收合格率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河北省档案局关于印发《河北省传统载体档案数字化工程实施意见》的通知（冀档【2006】4号）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工作完成时效</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工作完成时效</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按时完成</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按总成本控制</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按总成本控制</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提高档案查阅率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提高档案查阅率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提高查阅率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河北省档案局关于印发《河北省传统载体档案数字化工程实施意见》的通知（冀档【2006】4号）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档案查阅人员满意度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档案查阅人员满意度</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问卷调查</w:t>
            </w:r>
          </w:p>
        </w:tc>
      </w:tr>
    </w:tbl>
    <w:p>
      <w:pPr>
        <w:autoSpaceDE w:val="0"/>
        <w:autoSpaceDN w:val="0"/>
        <w:adjustRightInd w:val="0"/>
        <w:spacing w:line="584" w:lineRule="exact"/>
        <w:ind w:firstLine="160" w:firstLineChars="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ind w:firstLine="6400" w:firstLineChars="2000"/>
        <w:outlineLvl w:val="1"/>
        <w:rPr>
          <w:rFonts w:ascii="Times New Roman" w:hAnsi="Times New Roman" w:cs="Times New Roman"/>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[421001]廊坊市广阳区档案馆</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  计</w:t>
            </w:r>
          </w:p>
        </w:tc>
        <w:tc>
          <w:tcPr>
            <w:tcW w:w="1134" w:type="dxa"/>
            <w:shd w:val="clear" w:color="auto" w:fill="auto"/>
            <w:vAlign w:val="center"/>
          </w:tcPr>
          <w:p>
            <w:pPr>
              <w:spacing w:line="300" w:lineRule="exact"/>
              <w:jc w:val="right"/>
              <w:rPr>
                <w:rFonts w:ascii="黑体" w:hAnsi="黑体" w:eastAsia="黑体" w:cs="黑体"/>
              </w:rPr>
            </w:pPr>
          </w:p>
        </w:tc>
        <w:tc>
          <w:tcPr>
            <w:tcW w:w="1531" w:type="dxa"/>
            <w:shd w:val="clear" w:color="auto" w:fill="auto"/>
            <w:vAlign w:val="center"/>
          </w:tcPr>
          <w:p>
            <w:pPr>
              <w:spacing w:line="300" w:lineRule="exact"/>
              <w:jc w:val="left"/>
              <w:rPr>
                <w:rFonts w:ascii="黑体" w:hAnsi="黑体" w:eastAsia="黑体" w:cs="黑体"/>
              </w:rPr>
            </w:pPr>
          </w:p>
        </w:tc>
        <w:tc>
          <w:tcPr>
            <w:tcW w:w="1531" w:type="dxa"/>
            <w:shd w:val="clear" w:color="auto" w:fill="auto"/>
            <w:vAlign w:val="center"/>
          </w:tcPr>
          <w:p>
            <w:pPr>
              <w:spacing w:line="300" w:lineRule="exact"/>
              <w:jc w:val="left"/>
              <w:rPr>
                <w:rFonts w:ascii="黑体" w:hAnsi="黑体" w:eastAsia="黑体" w:cs="黑体"/>
              </w:rPr>
            </w:pPr>
          </w:p>
        </w:tc>
        <w:tc>
          <w:tcPr>
            <w:tcW w:w="709" w:type="dxa"/>
            <w:shd w:val="clear" w:color="auto" w:fill="auto"/>
            <w:vAlign w:val="center"/>
          </w:tcPr>
          <w:p>
            <w:pPr>
              <w:spacing w:line="300" w:lineRule="exact"/>
              <w:jc w:val="center"/>
              <w:rPr>
                <w:rFonts w:ascii="黑体" w:hAnsi="黑体" w:eastAsia="黑体" w:cs="黑体"/>
              </w:rPr>
            </w:pPr>
          </w:p>
        </w:tc>
        <w:tc>
          <w:tcPr>
            <w:tcW w:w="907" w:type="dxa"/>
            <w:shd w:val="clear" w:color="auto" w:fill="auto"/>
            <w:vAlign w:val="center"/>
          </w:tcPr>
          <w:p>
            <w:pPr>
              <w:spacing w:line="300" w:lineRule="exact"/>
              <w:jc w:val="right"/>
              <w:rPr>
                <w:rFonts w:ascii="黑体" w:hAnsi="黑体" w:eastAsia="黑体" w:cs="黑体"/>
              </w:rPr>
            </w:pPr>
          </w:p>
        </w:tc>
        <w:tc>
          <w:tcPr>
            <w:tcW w:w="907"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531" w:type="dxa"/>
            <w:shd w:val="clear" w:color="auto" w:fill="auto"/>
            <w:vAlign w:val="center"/>
          </w:tcPr>
          <w:p>
            <w:pPr>
              <w:spacing w:line="300" w:lineRule="exact"/>
              <w:jc w:val="left"/>
              <w:rPr>
                <w:rFonts w:ascii="黑体" w:hAnsi="黑体" w:eastAsia="黑体" w:cs="黑体"/>
              </w:rPr>
            </w:pPr>
          </w:p>
        </w:tc>
        <w:tc>
          <w:tcPr>
            <w:tcW w:w="1531" w:type="dxa"/>
            <w:shd w:val="clear" w:color="auto" w:fill="auto"/>
            <w:vAlign w:val="center"/>
          </w:tcPr>
          <w:p>
            <w:pPr>
              <w:spacing w:line="300" w:lineRule="exact"/>
              <w:jc w:val="left"/>
              <w:rPr>
                <w:rFonts w:ascii="黑体" w:hAnsi="黑体" w:eastAsia="黑体" w:cs="黑体"/>
              </w:rPr>
            </w:pPr>
          </w:p>
        </w:tc>
        <w:tc>
          <w:tcPr>
            <w:tcW w:w="709" w:type="dxa"/>
            <w:shd w:val="clear" w:color="auto" w:fill="auto"/>
            <w:vAlign w:val="center"/>
          </w:tcPr>
          <w:p>
            <w:pPr>
              <w:spacing w:line="300" w:lineRule="exact"/>
              <w:jc w:val="center"/>
              <w:rPr>
                <w:rFonts w:ascii="黑体" w:hAnsi="黑体" w:eastAsia="黑体" w:cs="黑体"/>
              </w:rPr>
            </w:pPr>
          </w:p>
        </w:tc>
        <w:tc>
          <w:tcPr>
            <w:tcW w:w="907" w:type="dxa"/>
            <w:shd w:val="clear" w:color="auto" w:fill="auto"/>
            <w:vAlign w:val="center"/>
          </w:tcPr>
          <w:p>
            <w:pPr>
              <w:spacing w:line="300" w:lineRule="exact"/>
              <w:jc w:val="right"/>
              <w:rPr>
                <w:rFonts w:ascii="黑体" w:hAnsi="黑体" w:eastAsia="黑体" w:cs="黑体"/>
              </w:rPr>
            </w:pPr>
          </w:p>
        </w:tc>
        <w:tc>
          <w:tcPr>
            <w:tcW w:w="907"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c>
          <w:tcPr>
            <w:tcW w:w="1134" w:type="dxa"/>
            <w:shd w:val="clear" w:color="auto" w:fill="auto"/>
            <w:vAlign w:val="center"/>
          </w:tcPr>
          <w:p>
            <w:pPr>
              <w:spacing w:line="300" w:lineRule="exact"/>
              <w:jc w:val="right"/>
              <w:rPr>
                <w:rFonts w:ascii="黑体" w:hAnsi="黑体" w:eastAsia="黑体" w:cs="黑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36.85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广阳区档案馆部门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广阳区档案馆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27.41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A5ED8"/>
    <w:rsid w:val="000A62AE"/>
    <w:rsid w:val="000C4B39"/>
    <w:rsid w:val="00126E84"/>
    <w:rsid w:val="001C6C98"/>
    <w:rsid w:val="00207309"/>
    <w:rsid w:val="002705AB"/>
    <w:rsid w:val="00301F9F"/>
    <w:rsid w:val="00342FDF"/>
    <w:rsid w:val="003430FF"/>
    <w:rsid w:val="00356683"/>
    <w:rsid w:val="004A54AA"/>
    <w:rsid w:val="004A573B"/>
    <w:rsid w:val="005B18F7"/>
    <w:rsid w:val="005C0399"/>
    <w:rsid w:val="006B6416"/>
    <w:rsid w:val="007B78AC"/>
    <w:rsid w:val="007D043E"/>
    <w:rsid w:val="00806BFC"/>
    <w:rsid w:val="00807A76"/>
    <w:rsid w:val="008634AB"/>
    <w:rsid w:val="008C6F6F"/>
    <w:rsid w:val="008F0EB4"/>
    <w:rsid w:val="008F65D6"/>
    <w:rsid w:val="00937585"/>
    <w:rsid w:val="00A218C6"/>
    <w:rsid w:val="00A32C47"/>
    <w:rsid w:val="00A40552"/>
    <w:rsid w:val="00A52B9E"/>
    <w:rsid w:val="00AA5AA5"/>
    <w:rsid w:val="00AC3C38"/>
    <w:rsid w:val="00B17B32"/>
    <w:rsid w:val="00B80935"/>
    <w:rsid w:val="00C45B6F"/>
    <w:rsid w:val="00CE5812"/>
    <w:rsid w:val="00CF700A"/>
    <w:rsid w:val="00D13CC5"/>
    <w:rsid w:val="00D347CC"/>
    <w:rsid w:val="00E06F6F"/>
    <w:rsid w:val="00E27CE3"/>
    <w:rsid w:val="00EF789C"/>
    <w:rsid w:val="00F965DF"/>
    <w:rsid w:val="00FA0260"/>
    <w:rsid w:val="00FA6B51"/>
    <w:rsid w:val="00FB08D1"/>
    <w:rsid w:val="00FC0A0D"/>
    <w:rsid w:val="060D012F"/>
    <w:rsid w:val="0839021E"/>
    <w:rsid w:val="10A466DF"/>
    <w:rsid w:val="5EF62523"/>
    <w:rsid w:val="63A65DB6"/>
    <w:rsid w:val="69983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707</Words>
  <Characters>4035</Characters>
  <Lines>33</Lines>
  <Paragraphs>9</Paragraphs>
  <TotalTime>10472</TotalTime>
  <ScaleCrop>false</ScaleCrop>
  <LinksUpToDate>false</LinksUpToDate>
  <CharactersWithSpaces>4733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2024-05-16T06:28:42Z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BC79679B190A41A38D655F4FA80A44EF</vt:lpwstr>
  </property>
</Properties>
</file>