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bookmarkStart w:id="2" w:name="_GoBack"/>
      <w:r>
        <w:rPr>
          <w:rFonts w:hint="eastAsia" w:ascii="Times New Roman" w:hAnsi="Times New Roman" w:eastAsia="方正小标宋简体" w:cs="Times New Roman"/>
          <w:sz w:val="44"/>
          <w:szCs w:val="44"/>
        </w:rPr>
        <w:t>中共</w:t>
      </w: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广阳区委网络安全和信息化委员会办公室</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bookmarkEnd w:id="2"/>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rPr>
        <w:t>中共</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广阳区委</w:t>
      </w:r>
      <w:r>
        <w:rPr>
          <w:rFonts w:ascii="Times New Roman" w:hAnsi="Times New Roman" w:eastAsia="仿宋_GB2312" w:cs="Times New Roman"/>
          <w:sz w:val="32"/>
          <w:szCs w:val="32"/>
        </w:rPr>
        <w:t>网络安全和信息化委员会办公室20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一）负责处理区委网络安全和信息化委员会日常事务工作。协调督促有关方面落实委员会的决定事项、工作部署和要求，组织开展对涉及我区政治、经济、文化、社会、生态及军事等各个领域的网络安全和信息化重大问题研究，向委员会提出工作建议。</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二）组织研究起草我区网络安全和信息化发展战略、宏观规划和重大政策。统筹推进我区网络安全和信息化法治、标准建设，按照规定负责相关法规、规章等的实施和监督检查按照规定推动落实网络安全和信息化领域标准并监督实施；依法完与信息化相关的统计调查制度。</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三）统筹协调全区网络安全保障体系和可信体系建设。协调有关部门制定相关行业网络安全规划及保障评价指标体室系，协调信息安全保护工作；指导推进全区党政军部门、重点行业网络安全保障和信息化工作；协调推动网络安全和信息化核心技术、关键设备等重大科技攻关，统筹推进网络安全和信息化军民融合深度发展；推进网络强区建设，协调推动全区公共服务和社会治理信息化；指导全区网络安全信息共享和通报。</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（四）督促落实我区涉及政治、经济、文化、社会、生态及军事等各个领域网络安全和信息化重大事项；负责协调处理网络安全和信息化重大突发事件与有关应急工作。</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五）负责全区互联网信息内容管理。统筹协调组织互联网宣传管理和舆论引导工作，组织开展网上评论，指导推动网络评论队伍建设，维护互联网意识形态安全；研究拟订互联网新闻信息传播相关政策；负责互联网信息内容监督管理执法，组织开展网络舆论生态治理，依法指导和管理本区落地网站及区内新媒体新应用，会同有关部门处置和封堵网上有害信息，依照相关法律和规定查处违法违规行为和网站。</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（六）负责指导协调全区网络舆情工作。收集、分析、研判、报送和处置网络舆情信息，依法规范舆情服务市场。</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七）推动全区网络阵地建设和重点新闻网站规划建设。指导协调网络游戏、网络视听、网络出版等相关业务，推动移动互联网发展，会同有关部门推动传统媒体与新兴媒体融合发展；负责全区网站转载新闻稿源的管理。</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（八）推动全区网络社会工作和网络文化、网络文明建设发展、联系、服务网络社会组织，指导互联网行业自律，推进网站党建工作。</w:t>
      </w:r>
    </w:p>
    <w:p>
      <w:pPr>
        <w:spacing w:line="579" w:lineRule="exact"/>
        <w:rPr>
          <w:rFonts w:ascii="仿宋_GB2312" w:eastAsia="仿宋_GB2312"/>
          <w:sz w:val="32"/>
          <w:szCs w:val="32"/>
        </w:rPr>
      </w:pPr>
      <w:r>
        <w:rPr>
          <w:rFonts w:hint="eastAsia" w:ascii="仿宋_GB2312" w:eastAsia="仿宋_GB2312"/>
          <w:sz w:val="32"/>
          <w:szCs w:val="32"/>
        </w:rPr>
        <w:t>（九）落实互联网信息服务资本准入和信息网络行业安全党建工作审查的有关政策。依法按程序办理全区网络新闻业务和论坛、博客、搜索引擎等具有新闻舆论及社会动员功能业务及日常监管；指导全区有关部门督促电信运营企业、接入服务企业、域名注册管理和服务机构做好域名注册、互联网地址(IP地址)分配、网站登记备案、接入以及网络行为主体身份信息核对等基础管理工作；指导协调有关部门推进新技术新应用安全评估，统筹协调全区移动互联网管理。</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十）协调推进全区信息网络行业自主创新和发展。协调开展全区互联网经济和发展态势研究，推动建立健全我区信息网络行业投融资支持服务体系、技术创新服务体系统筹协调全区重要信息资源的开发利用与共享。</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（十一）规划指导区内机构开展金融信息服务业务。组织开展全区金融信息服务市场监管；协调金融监管部门建立全区网络金融信息发布、传播监管制度及工作机制。</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（十二）组织拟订网络安全和信息化干部人才队伍发展规划，组织开展网信系统于部教育培训和人才队伍建设，规划指导全区互联网新闻信息服务从业人员教育培训和考评工作，组织开展网络媒介素养教育。</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（十三）组织开展相关领域国内国际交流与合作。</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（十四）指导、检查、推动各级各部门网络安全和信息化工作。</w:t>
      </w:r>
    </w:p>
    <w:p>
      <w:pPr>
        <w:spacing w:line="579" w:lineRule="exact"/>
        <w:ind w:firstLine="640" w:firstLineChars="200"/>
        <w:rPr>
          <w:rFonts w:ascii="仿宋_GB2312" w:eastAsia="仿宋_GB2312"/>
          <w:sz w:val="32"/>
          <w:szCs w:val="32"/>
        </w:rPr>
      </w:pPr>
      <w:r>
        <w:rPr>
          <w:rFonts w:hint="eastAsia" w:ascii="仿宋_GB2312" w:eastAsia="仿宋_GB2312"/>
          <w:sz w:val="32"/>
          <w:szCs w:val="32"/>
        </w:rPr>
        <w:t>（十五）完成省委、市委网络安全和信息化委员会办公室（省、市互联网信息办公室）和区委、区政府及区委网络安全和信息化委员会、区委宣传部交办的其他任务。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Cs/>
              </w:rPr>
            </w:pPr>
            <w:r>
              <w:rPr>
                <w:rFonts w:ascii="Times New Roman" w:hAnsi="Times New Roman" w:eastAsia="仿宋_GB2312" w:cs="Times New Roman"/>
                <w:bCs/>
                <w:sz w:val="18"/>
              </w:rPr>
              <w:t>中共廊坊市广阳区委网络安全和信息化委员会办公室</w:t>
            </w:r>
          </w:p>
        </w:tc>
        <w:tc>
          <w:tcPr>
            <w:tcW w:w="1134" w:type="dxa"/>
            <w:shd w:val="clear" w:color="auto" w:fill="auto"/>
            <w:vAlign w:val="center"/>
          </w:tcPr>
          <w:p>
            <w:pPr>
              <w:spacing w:line="584" w:lineRule="exact"/>
              <w:jc w:val="center"/>
              <w:rPr>
                <w:rFonts w:ascii="Times New Roman" w:hAnsi="Times New Roman" w:eastAsia="仿宋_GB2312" w:cs="Times New Roman"/>
                <w:bCs/>
              </w:rPr>
            </w:pPr>
            <w:r>
              <w:rPr>
                <w:rFonts w:ascii="Times New Roman" w:hAnsi="Times New Roman" w:eastAsia="仿宋_GB2312" w:cs="Times New Roman"/>
                <w:bCs/>
              </w:rPr>
              <w:t>行政</w:t>
            </w:r>
          </w:p>
        </w:tc>
        <w:tc>
          <w:tcPr>
            <w:tcW w:w="1276" w:type="dxa"/>
            <w:shd w:val="clear" w:color="auto" w:fill="auto"/>
            <w:vAlign w:val="center"/>
          </w:tcPr>
          <w:p>
            <w:pPr>
              <w:spacing w:line="584" w:lineRule="exact"/>
              <w:jc w:val="center"/>
              <w:rPr>
                <w:rFonts w:ascii="Times New Roman" w:hAnsi="Times New Roman" w:eastAsia="仿宋_GB2312" w:cs="Times New Roman"/>
                <w:bCs/>
              </w:rPr>
            </w:pPr>
            <w:r>
              <w:rPr>
                <w:rFonts w:ascii="Times New Roman" w:hAnsi="Times New Roman" w:eastAsia="仿宋_GB2312" w:cs="Times New Roman"/>
                <w:bCs/>
              </w:rPr>
              <w:t>正科级</w:t>
            </w:r>
          </w:p>
        </w:tc>
        <w:tc>
          <w:tcPr>
            <w:tcW w:w="2902" w:type="dxa"/>
            <w:shd w:val="clear" w:color="auto" w:fill="auto"/>
            <w:vAlign w:val="center"/>
          </w:tcPr>
          <w:p>
            <w:pPr>
              <w:spacing w:line="584" w:lineRule="exact"/>
              <w:jc w:val="center"/>
              <w:rPr>
                <w:rFonts w:ascii="Times New Roman" w:hAnsi="Times New Roman" w:eastAsia="仿宋_GB2312" w:cs="Times New Roman"/>
                <w:bCs/>
              </w:rPr>
            </w:pPr>
            <w:r>
              <w:rPr>
                <w:rFonts w:ascii="Times New Roman" w:hAnsi="Times New Roman" w:eastAsia="仿宋_GB2312" w:cs="Times New Roman"/>
                <w:bCs/>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按照预算管理有关规定，目前我区部门预算的编制实行综合预算制度，即全部收入和支出都反映在预算中。中共廊坊市广阳区委网络安全和信息化委员会办公室机关及所属事业单位的收支包含在部门预算中。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94.5</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94.5</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w:t>
      </w:r>
      <w:r>
        <w:rPr>
          <w:rFonts w:hint="eastAsia" w:ascii="Times New Roman" w:hAnsi="Times New Roman" w:eastAsia="仿宋_GB2312" w:cs="Times New Roman"/>
          <w:sz w:val="32"/>
          <w:szCs w:val="32"/>
        </w:rPr>
        <w:t>中共</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广阳区委网络安全和信息化委员会办公室2021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94.5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94.5</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86.21</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8.29</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94.5</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15.82</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15.82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，主要为我单位在职人员项目支出。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8.29</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中共廊坊市广阳区委网络安全和信息化委员会办公室办公区的</w:t>
      </w:r>
      <w:r>
        <w:rPr>
          <w:rFonts w:ascii="Times New Roman" w:hAnsi="Times New Roman" w:eastAsia="仿宋_GB2312" w:cs="Times New Roman"/>
          <w:sz w:val="32"/>
          <w:szCs w:val="32"/>
        </w:rPr>
        <w:t>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rPr>
        <w:t>四、财政拨款“三公”经费预算情况及增减变化原因</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（其中：公务用车购置费为0万元，公务用车运维费0万元）；</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无增减变化</w:t>
      </w:r>
      <w:r>
        <w:rPr>
          <w:rFonts w:hint="eastAsia" w:ascii="Times New Roman" w:hAnsi="Times New Roman" w:eastAsia="仿宋_GB2312" w:cs="Times New Roman"/>
          <w:sz w:val="32"/>
          <w:szCs w:val="32"/>
        </w:rPr>
        <w:t>。</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2021年区委网信办将完善网络舆情监测研判，确保全区网络舆论安全，加强网络宣传，营造良好网络环境，开展网络生态治理，保障网络安全和关键信息基础设施可靠稳定，全面提升信息化建设水平。建设、管理和维护政务数据中心、网络维护中心和安全管理中心，确保各项工作顺利开展。</w:t>
      </w:r>
    </w:p>
    <w:p>
      <w:pPr>
        <w:spacing w:line="500" w:lineRule="exact"/>
        <w:ind w:firstLine="643" w:firstLineChars="200"/>
        <w:jc w:val="left"/>
        <w:rPr>
          <w:rFonts w:ascii="仿宋_GB2312" w:eastAsia="仿宋_GB2312"/>
          <w:sz w:val="32"/>
          <w:szCs w:val="32"/>
        </w:rPr>
      </w:pPr>
      <w:r>
        <w:rPr>
          <w:rFonts w:hint="eastAsia" w:ascii="楷体_GB2312" w:hAnsi="楷体_GB2312" w:eastAsia="楷体_GB2312" w:cs="楷体_GB2312"/>
          <w:b/>
          <w:bCs/>
          <w:sz w:val="32"/>
          <w:szCs w:val="32"/>
        </w:rPr>
        <w:t>（二）分项绩效目标</w:t>
      </w:r>
    </w:p>
    <w:p>
      <w:pPr>
        <w:spacing w:line="584" w:lineRule="exact"/>
        <w:ind w:firstLine="640" w:firstLineChars="200"/>
        <w:jc w:val="left"/>
        <w:rPr>
          <w:rFonts w:ascii="仿宋_GB2312" w:hAnsi="Times New Roman" w:eastAsia="仿宋_GB2312" w:cs="Times New Roman"/>
          <w:b/>
          <w:sz w:val="32"/>
          <w:szCs w:val="32"/>
        </w:rPr>
      </w:pPr>
      <w:r>
        <w:rPr>
          <w:rFonts w:hint="eastAsia" w:ascii="仿宋_GB2312" w:eastAsia="仿宋_GB2312"/>
          <w:sz w:val="32"/>
          <w:szCs w:val="32"/>
        </w:rPr>
        <w:t>1、互联网宣传和信息内容管理</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绩效目标：加强网络安全工作，加强互联网宣传和信息内容管理，加强网络文化建设。</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 xml:space="preserve">绩效指标：重大网上宣传活动发稿量大于或等于100篇。          </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2、全区互联网舆情监测运维</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绩效目标：利用舆情监控系统对互联网上涉及广阳区各种信息进行分类梳理，筛选出热点话题和敏感的话题趋势数据，确定舆情在网络中的变化情况，为领导提供决策依据。</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绩效指标：收集、分析、上报舆情信息的数量大于等于500条。</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1、完善制度建设。包括制定完善预算绩效管理制度、资金管理办法、工作保障制度等，为全年预算绩效目标的实现奠定制度基础。</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2、加强支出管理。通过优化支出结构、编细编实预算、加快履行政府采购手续。</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3、加强绩效运行监控。按要求开展绩效运行监控，发现问题及时采取措施，确保绩效目标如期保质实现。</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4、做好绩效自评。按要求开展上年度部门预算绩效自评和重点评价工作，对评价中发现的问题及时整改，调整优化支出结构，提高财政资金使用效益。</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5、规范财务资产管理。完善财务管理制度，严格审批程序，加强固定资产登记、使用和报废处置管理，做到支出合理，物尽其用。</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7、加强宣传培训调研。加强人员培训，提高本部门职工业务素质；加强调研，提出优化财政资金配置、提高资金使用效益的意见；加大宣传力度，强化预算绩效管理意识，促进预算绩效管理水平进一步提升。</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2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81"/>
        <w:gridCol w:w="1276"/>
        <w:gridCol w:w="2551"/>
        <w:gridCol w:w="1134"/>
        <w:gridCol w:w="3504"/>
        <w:gridCol w:w="543"/>
        <w:gridCol w:w="559"/>
        <w:gridCol w:w="70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81"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一级指标</w:t>
            </w:r>
          </w:p>
        </w:tc>
        <w:tc>
          <w:tcPr>
            <w:tcW w:w="1276"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二级</w:t>
            </w:r>
          </w:p>
          <w:p>
            <w:pPr>
              <w:widowControl/>
              <w:adjustRightInd w:val="0"/>
              <w:snapToGrid w:val="0"/>
              <w:jc w:val="center"/>
              <w:rPr>
                <w:rFonts w:ascii="黑体" w:hAnsi="黑体" w:eastAsia="黑体" w:cs="黑体"/>
                <w:bCs/>
              </w:rPr>
            </w:pPr>
            <w:r>
              <w:rPr>
                <w:rFonts w:hint="eastAsia" w:ascii="黑体" w:hAnsi="黑体" w:eastAsia="黑体" w:cs="黑体"/>
                <w:bCs/>
              </w:rPr>
              <w:t>指标</w:t>
            </w:r>
          </w:p>
        </w:tc>
        <w:tc>
          <w:tcPr>
            <w:tcW w:w="2551"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三级</w:t>
            </w:r>
          </w:p>
          <w:p>
            <w:pPr>
              <w:widowControl/>
              <w:adjustRightInd w:val="0"/>
              <w:snapToGrid w:val="0"/>
              <w:jc w:val="center"/>
              <w:rPr>
                <w:rFonts w:ascii="黑体" w:hAnsi="黑体" w:eastAsia="黑体" w:cs="黑体"/>
                <w:bCs/>
              </w:rPr>
            </w:pPr>
            <w:r>
              <w:rPr>
                <w:rFonts w:hint="eastAsia" w:ascii="黑体" w:hAnsi="黑体" w:eastAsia="黑体" w:cs="黑体"/>
                <w:bCs/>
              </w:rPr>
              <w:t>指标</w:t>
            </w:r>
          </w:p>
        </w:tc>
        <w:tc>
          <w:tcPr>
            <w:tcW w:w="1134"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评（扣）分标准</w:t>
            </w:r>
          </w:p>
        </w:tc>
        <w:tc>
          <w:tcPr>
            <w:tcW w:w="3504"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绩效指标</w:t>
            </w:r>
          </w:p>
          <w:p>
            <w:pPr>
              <w:widowControl/>
              <w:adjustRightInd w:val="0"/>
              <w:snapToGrid w:val="0"/>
              <w:jc w:val="center"/>
              <w:rPr>
                <w:rFonts w:ascii="黑体" w:hAnsi="黑体" w:eastAsia="黑体" w:cs="黑体"/>
                <w:bCs/>
              </w:rPr>
            </w:pPr>
            <w:r>
              <w:rPr>
                <w:rFonts w:hint="eastAsia" w:ascii="黑体" w:hAnsi="黑体" w:eastAsia="黑体" w:cs="黑体"/>
                <w:bCs/>
              </w:rPr>
              <w:t>描述</w:t>
            </w:r>
          </w:p>
        </w:tc>
        <w:tc>
          <w:tcPr>
            <w:tcW w:w="1811" w:type="dxa"/>
            <w:gridSpan w:val="3"/>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指标值</w:t>
            </w:r>
          </w:p>
        </w:tc>
        <w:tc>
          <w:tcPr>
            <w:tcW w:w="1417"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指标值</w:t>
            </w:r>
          </w:p>
          <w:p>
            <w:pPr>
              <w:widowControl/>
              <w:adjustRightInd w:val="0"/>
              <w:snapToGrid w:val="0"/>
              <w:jc w:val="center"/>
              <w:rPr>
                <w:rFonts w:ascii="黑体" w:hAnsi="黑体" w:eastAsia="黑体" w:cs="黑体"/>
                <w:bCs/>
              </w:rPr>
            </w:pPr>
            <w:r>
              <w:rPr>
                <w:rFonts w:hint="eastAsia" w:ascii="黑体" w:hAnsi="黑体" w:eastAsia="黑体" w:cs="黑体"/>
                <w:bCs/>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81" w:type="dxa"/>
            <w:vMerge w:val="continue"/>
            <w:tcBorders>
              <w:tl2br w:val="nil"/>
              <w:tr2bl w:val="nil"/>
            </w:tcBorders>
            <w:vAlign w:val="center"/>
          </w:tcPr>
          <w:p/>
        </w:tc>
        <w:tc>
          <w:tcPr>
            <w:tcW w:w="1276" w:type="dxa"/>
            <w:vMerge w:val="continue"/>
            <w:tcBorders>
              <w:tl2br w:val="nil"/>
              <w:tr2bl w:val="nil"/>
            </w:tcBorders>
            <w:vAlign w:val="center"/>
          </w:tcPr>
          <w:p/>
        </w:tc>
        <w:tc>
          <w:tcPr>
            <w:tcW w:w="2551" w:type="dxa"/>
            <w:vMerge w:val="continue"/>
            <w:tcBorders>
              <w:tl2br w:val="nil"/>
              <w:tr2bl w:val="nil"/>
            </w:tcBorders>
            <w:vAlign w:val="center"/>
          </w:tcPr>
          <w:p/>
        </w:tc>
        <w:tc>
          <w:tcPr>
            <w:tcW w:w="1134" w:type="dxa"/>
            <w:vMerge w:val="continue"/>
            <w:tcBorders>
              <w:tl2br w:val="nil"/>
              <w:tr2bl w:val="nil"/>
            </w:tcBorders>
            <w:vAlign w:val="center"/>
          </w:tcPr>
          <w:p/>
        </w:tc>
        <w:tc>
          <w:tcPr>
            <w:tcW w:w="3504"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符号</w:t>
            </w:r>
          </w:p>
        </w:tc>
        <w:tc>
          <w:tcPr>
            <w:tcW w:w="559"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值</w:t>
            </w:r>
          </w:p>
        </w:tc>
        <w:tc>
          <w:tcPr>
            <w:tcW w:w="709"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单位</w:t>
            </w:r>
          </w:p>
        </w:tc>
        <w:tc>
          <w:tcPr>
            <w:tcW w:w="141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81" w:type="dxa"/>
            <w:vMerge w:val="restart"/>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部门产出</w:t>
            </w:r>
          </w:p>
        </w:tc>
        <w:tc>
          <w:tcPr>
            <w:tcW w:w="1276"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数量</w:t>
            </w:r>
          </w:p>
        </w:tc>
        <w:tc>
          <w:tcPr>
            <w:tcW w:w="2551"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舆情信息数量（条）</w:t>
            </w:r>
          </w:p>
        </w:tc>
        <w:tc>
          <w:tcPr>
            <w:tcW w:w="1134"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20</w:t>
            </w:r>
          </w:p>
        </w:tc>
        <w:tc>
          <w:tcPr>
            <w:tcW w:w="3504"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收集、分析、上报舆情信息的数量</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559"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500</w:t>
            </w:r>
          </w:p>
        </w:tc>
        <w:tc>
          <w:tcPr>
            <w:tcW w:w="709"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条</w:t>
            </w:r>
          </w:p>
        </w:tc>
        <w:tc>
          <w:tcPr>
            <w:tcW w:w="141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省市文件要求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81" w:type="dxa"/>
            <w:vMerge w:val="continue"/>
            <w:tcBorders>
              <w:tl2br w:val="nil"/>
              <w:tr2bl w:val="nil"/>
            </w:tcBorders>
            <w:vAlign w:val="center"/>
          </w:tcPr>
          <w:p>
            <w:pPr>
              <w:jc w:val="center"/>
              <w:rPr>
                <w:rFonts w:ascii="仿宋_GB2312" w:hAnsi="仿宋_GB2312" w:eastAsia="仿宋_GB2312" w:cs="仿宋_GB2312"/>
              </w:rPr>
            </w:pPr>
          </w:p>
        </w:tc>
        <w:tc>
          <w:tcPr>
            <w:tcW w:w="1276"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质量</w:t>
            </w:r>
          </w:p>
        </w:tc>
        <w:tc>
          <w:tcPr>
            <w:tcW w:w="2551"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网络生态环境</w:t>
            </w:r>
          </w:p>
        </w:tc>
        <w:tc>
          <w:tcPr>
            <w:tcW w:w="1134"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20</w:t>
            </w:r>
          </w:p>
        </w:tc>
        <w:tc>
          <w:tcPr>
            <w:tcW w:w="3504"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全区网络生态环境整体情况</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文字描述</w:t>
            </w:r>
          </w:p>
        </w:tc>
        <w:tc>
          <w:tcPr>
            <w:tcW w:w="559"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709"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明显好转</w:t>
            </w:r>
          </w:p>
        </w:tc>
        <w:tc>
          <w:tcPr>
            <w:tcW w:w="141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省市文件要求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81" w:type="dxa"/>
            <w:vMerge w:val="continue"/>
            <w:tcBorders>
              <w:tl2br w:val="nil"/>
              <w:tr2bl w:val="nil"/>
            </w:tcBorders>
            <w:vAlign w:val="center"/>
          </w:tcPr>
          <w:p>
            <w:pPr>
              <w:jc w:val="center"/>
              <w:rPr>
                <w:rFonts w:ascii="仿宋_GB2312" w:hAnsi="仿宋_GB2312" w:eastAsia="仿宋_GB2312" w:cs="仿宋_GB2312"/>
              </w:rPr>
            </w:pPr>
          </w:p>
        </w:tc>
        <w:tc>
          <w:tcPr>
            <w:tcW w:w="1276"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时效</w:t>
            </w:r>
          </w:p>
        </w:tc>
        <w:tc>
          <w:tcPr>
            <w:tcW w:w="2551"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及时性</w:t>
            </w:r>
          </w:p>
        </w:tc>
        <w:tc>
          <w:tcPr>
            <w:tcW w:w="1134"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20</w:t>
            </w:r>
          </w:p>
        </w:tc>
        <w:tc>
          <w:tcPr>
            <w:tcW w:w="3504"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舆情监测事件从发现到处理的时间</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559"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2</w:t>
            </w:r>
          </w:p>
        </w:tc>
        <w:tc>
          <w:tcPr>
            <w:tcW w:w="709"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小时</w:t>
            </w:r>
          </w:p>
        </w:tc>
        <w:tc>
          <w:tcPr>
            <w:tcW w:w="141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省市文件要求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81" w:type="dxa"/>
            <w:vMerge w:val="restart"/>
            <w:tcBorders>
              <w:tl2br w:val="nil"/>
              <w:tr2bl w:val="nil"/>
            </w:tcBorders>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部门效果</w:t>
            </w:r>
          </w:p>
        </w:tc>
        <w:tc>
          <w:tcPr>
            <w:tcW w:w="1276"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社会</w:t>
            </w:r>
          </w:p>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效益</w:t>
            </w:r>
          </w:p>
        </w:tc>
        <w:tc>
          <w:tcPr>
            <w:tcW w:w="2551"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涉及广阳舆情监测覆盖率</w:t>
            </w:r>
          </w:p>
        </w:tc>
        <w:tc>
          <w:tcPr>
            <w:tcW w:w="1134"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20</w:t>
            </w:r>
          </w:p>
        </w:tc>
        <w:tc>
          <w:tcPr>
            <w:tcW w:w="3504"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涉及广阳舆情监测覆盖率</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559"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80</w:t>
            </w:r>
          </w:p>
        </w:tc>
        <w:tc>
          <w:tcPr>
            <w:tcW w:w="709"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141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省市文件要求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81" w:type="dxa"/>
            <w:vMerge w:val="continue"/>
            <w:tcBorders>
              <w:tl2br w:val="nil"/>
              <w:tr2bl w:val="nil"/>
            </w:tcBorders>
            <w:vAlign w:val="center"/>
          </w:tcPr>
          <w:p>
            <w:pPr>
              <w:jc w:val="center"/>
              <w:rPr>
                <w:rFonts w:ascii="仿宋_GB2312" w:hAnsi="仿宋_GB2312" w:eastAsia="仿宋_GB2312" w:cs="仿宋_GB2312"/>
              </w:rPr>
            </w:pPr>
          </w:p>
        </w:tc>
        <w:tc>
          <w:tcPr>
            <w:tcW w:w="1276" w:type="dxa"/>
            <w:tcBorders>
              <w:tl2br w:val="nil"/>
              <w:tr2bl w:val="nil"/>
            </w:tcBorders>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可持续影响</w:t>
            </w:r>
          </w:p>
        </w:tc>
        <w:tc>
          <w:tcPr>
            <w:tcW w:w="2551" w:type="dxa"/>
            <w:tcBorders>
              <w:tl2br w:val="nil"/>
              <w:tr2bl w:val="nil"/>
            </w:tcBorders>
            <w:noWrap/>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提供服务</w:t>
            </w:r>
          </w:p>
        </w:tc>
        <w:tc>
          <w:tcPr>
            <w:tcW w:w="1134" w:type="dxa"/>
            <w:tcBorders>
              <w:tl2br w:val="nil"/>
              <w:tr2bl w:val="nil"/>
            </w:tcBorders>
            <w:noWrap/>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10</w:t>
            </w:r>
          </w:p>
        </w:tc>
        <w:tc>
          <w:tcPr>
            <w:tcW w:w="3504" w:type="dxa"/>
            <w:tcBorders>
              <w:tl2br w:val="nil"/>
              <w:tr2bl w:val="nil"/>
            </w:tcBorders>
            <w:noWrap/>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向全区群众提供服务</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文字描述</w:t>
            </w:r>
          </w:p>
        </w:tc>
        <w:tc>
          <w:tcPr>
            <w:tcW w:w="559"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709"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可持续</w:t>
            </w:r>
          </w:p>
        </w:tc>
        <w:tc>
          <w:tcPr>
            <w:tcW w:w="141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省市文件要求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81" w:type="dxa"/>
            <w:vMerge w:val="continue"/>
            <w:tcBorders>
              <w:tl2br w:val="nil"/>
              <w:tr2bl w:val="nil"/>
            </w:tcBorders>
            <w:vAlign w:val="center"/>
          </w:tcPr>
          <w:p>
            <w:pPr>
              <w:jc w:val="center"/>
              <w:rPr>
                <w:rFonts w:ascii="仿宋_GB2312" w:hAnsi="仿宋_GB2312" w:eastAsia="仿宋_GB2312" w:cs="仿宋_GB2312"/>
              </w:rPr>
            </w:pPr>
          </w:p>
        </w:tc>
        <w:tc>
          <w:tcPr>
            <w:tcW w:w="1276"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满意度</w:t>
            </w:r>
          </w:p>
        </w:tc>
        <w:tc>
          <w:tcPr>
            <w:tcW w:w="2551" w:type="dxa"/>
            <w:tcBorders>
              <w:tl2br w:val="nil"/>
              <w:tr2bl w:val="nil"/>
            </w:tcBorders>
            <w:noWrap/>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群众满意度</w:t>
            </w:r>
          </w:p>
        </w:tc>
        <w:tc>
          <w:tcPr>
            <w:tcW w:w="1134" w:type="dxa"/>
            <w:tcBorders>
              <w:tl2br w:val="nil"/>
              <w:tr2bl w:val="nil"/>
            </w:tcBorders>
            <w:noWrap/>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10</w:t>
            </w:r>
          </w:p>
        </w:tc>
        <w:tc>
          <w:tcPr>
            <w:tcW w:w="3504" w:type="dxa"/>
            <w:tcBorders>
              <w:tl2br w:val="nil"/>
              <w:tr2bl w:val="nil"/>
            </w:tcBorders>
            <w:noWrap/>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针对舆情监测事件处理情况</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559"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80</w:t>
            </w:r>
          </w:p>
        </w:tc>
        <w:tc>
          <w:tcPr>
            <w:tcW w:w="709"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141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省市文件要求</w:t>
            </w:r>
          </w:p>
        </w:tc>
      </w:tr>
    </w:tbl>
    <w:p>
      <w:pPr>
        <w:spacing w:line="584" w:lineRule="exact"/>
        <w:rPr>
          <w:rFonts w:ascii="仿宋_GB2312" w:eastAsia="仿宋_GB2312"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0"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0"/>
    <w:p>
      <w:pPr>
        <w:spacing w:line="584" w:lineRule="exact"/>
        <w:jc w:val="left"/>
        <w:outlineLvl w:val="0"/>
        <w:rPr>
          <w:rFonts w:ascii="Times New Roman" w:hAnsi="Times New Roman" w:eastAsia="仿宋_GB2312" w:cs="Times New Roman"/>
        </w:rPr>
      </w:pPr>
    </w:p>
    <w:p>
      <w:pPr>
        <w:jc w:val="center"/>
        <w:outlineLvl w:val="1"/>
        <w:rPr>
          <w:rFonts w:ascii="方正小标宋简体" w:hAnsi="方正小标宋简体" w:eastAsia="方正小标宋简体" w:cs="方正小标宋简体"/>
          <w:sz w:val="32"/>
        </w:rPr>
      </w:pPr>
      <w:bookmarkStart w:id="1" w:name="_Toc64920910"/>
      <w:r>
        <w:rPr>
          <w:rFonts w:hint="eastAsia" w:ascii="方正小标宋简体" w:hAnsi="方正小标宋简体" w:eastAsia="方正小标宋简体" w:cs="方正小标宋简体"/>
          <w:sz w:val="32"/>
        </w:rPr>
        <w:t>部门政府采购预算</w:t>
      </w:r>
      <w:bookmarkEnd w:id="1"/>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黑体" w:hAnsi="黑体" w:eastAsia="黑体" w:cs="黑体"/>
                <w:bCs/>
                <w:sz w:val="24"/>
              </w:rPr>
            </w:pPr>
            <w:r>
              <w:rPr>
                <w:rFonts w:hint="eastAsia" w:ascii="黑体" w:hAnsi="黑体" w:eastAsia="黑体" w:cs="黑体"/>
                <w:bCs/>
              </w:rPr>
              <w:t>[410001]中共廊坊市广阳区委网络安全和信息化委员会办公室</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黑体" w:hAnsi="黑体" w:eastAsia="黑体" w:cs="黑体"/>
                <w:bCs/>
                <w:sz w:val="24"/>
              </w:rPr>
            </w:pPr>
            <w:r>
              <w:rPr>
                <w:rFonts w:hint="eastAsia" w:ascii="黑体" w:hAnsi="黑体" w:eastAsia="黑体" w:cs="黑体"/>
                <w:bCs/>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政府采购项目来源</w:t>
            </w:r>
          </w:p>
        </w:tc>
        <w:tc>
          <w:tcPr>
            <w:tcW w:w="1531"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采购物品名称</w:t>
            </w:r>
          </w:p>
        </w:tc>
        <w:tc>
          <w:tcPr>
            <w:tcW w:w="1531"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政府采购目录序号</w:t>
            </w:r>
          </w:p>
        </w:tc>
        <w:tc>
          <w:tcPr>
            <w:tcW w:w="709"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计量  单位</w:t>
            </w:r>
          </w:p>
        </w:tc>
        <w:tc>
          <w:tcPr>
            <w:tcW w:w="907"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数量</w:t>
            </w:r>
          </w:p>
        </w:tc>
        <w:tc>
          <w:tcPr>
            <w:tcW w:w="907"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单价</w:t>
            </w:r>
          </w:p>
        </w:tc>
        <w:tc>
          <w:tcPr>
            <w:tcW w:w="6804" w:type="dxa"/>
            <w:gridSpan w:val="6"/>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项目名称</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预算资金</w:t>
            </w:r>
          </w:p>
        </w:tc>
        <w:tc>
          <w:tcPr>
            <w:tcW w:w="1531" w:type="dxa"/>
            <w:vMerge w:val="continue"/>
            <w:shd w:val="clear" w:color="auto" w:fill="auto"/>
            <w:vAlign w:val="center"/>
          </w:tcPr>
          <w:p>
            <w:pPr>
              <w:rPr>
                <w:rFonts w:ascii="黑体" w:hAnsi="黑体" w:eastAsia="黑体" w:cs="黑体"/>
                <w:bCs/>
              </w:rPr>
            </w:pPr>
          </w:p>
        </w:tc>
        <w:tc>
          <w:tcPr>
            <w:tcW w:w="1531" w:type="dxa"/>
            <w:vMerge w:val="continue"/>
            <w:shd w:val="clear" w:color="auto" w:fill="auto"/>
            <w:vAlign w:val="center"/>
          </w:tcPr>
          <w:p>
            <w:pPr>
              <w:rPr>
                <w:rFonts w:ascii="黑体" w:hAnsi="黑体" w:eastAsia="黑体" w:cs="黑体"/>
                <w:bCs/>
              </w:rPr>
            </w:pPr>
          </w:p>
        </w:tc>
        <w:tc>
          <w:tcPr>
            <w:tcW w:w="709" w:type="dxa"/>
            <w:vMerge w:val="continue"/>
            <w:shd w:val="clear" w:color="auto" w:fill="auto"/>
            <w:vAlign w:val="center"/>
          </w:tcPr>
          <w:p>
            <w:pPr>
              <w:rPr>
                <w:rFonts w:ascii="黑体" w:hAnsi="黑体" w:eastAsia="黑体" w:cs="黑体"/>
                <w:bCs/>
              </w:rPr>
            </w:pPr>
          </w:p>
        </w:tc>
        <w:tc>
          <w:tcPr>
            <w:tcW w:w="907" w:type="dxa"/>
            <w:vMerge w:val="continue"/>
            <w:shd w:val="clear" w:color="auto" w:fill="auto"/>
            <w:vAlign w:val="center"/>
          </w:tcPr>
          <w:p>
            <w:pPr>
              <w:rPr>
                <w:rFonts w:ascii="黑体" w:hAnsi="黑体" w:eastAsia="黑体" w:cs="黑体"/>
                <w:bCs/>
              </w:rPr>
            </w:pPr>
          </w:p>
        </w:tc>
        <w:tc>
          <w:tcPr>
            <w:tcW w:w="907" w:type="dxa"/>
            <w:vMerge w:val="continue"/>
            <w:shd w:val="clear" w:color="auto" w:fill="auto"/>
            <w:vAlign w:val="center"/>
          </w:tcPr>
          <w:p>
            <w:pPr>
              <w:rPr>
                <w:rFonts w:ascii="黑体" w:hAnsi="黑体" w:eastAsia="黑体" w:cs="黑体"/>
                <w:bCs/>
              </w:rPr>
            </w:pP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合计</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一般公共预算拨款</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基金预算拨款</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国有资本经营预算拨款</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财政专户核拨</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合  计</w:t>
            </w:r>
          </w:p>
        </w:tc>
        <w:tc>
          <w:tcPr>
            <w:tcW w:w="1134" w:type="dxa"/>
            <w:shd w:val="clear" w:color="auto" w:fill="auto"/>
            <w:vAlign w:val="center"/>
          </w:tcPr>
          <w:p>
            <w:pPr>
              <w:spacing w:line="300" w:lineRule="exact"/>
              <w:jc w:val="right"/>
              <w:rPr>
                <w:rFonts w:ascii="黑体" w:hAnsi="黑体" w:eastAsia="黑体" w:cs="黑体"/>
                <w:bCs/>
              </w:rPr>
            </w:pPr>
          </w:p>
        </w:tc>
        <w:tc>
          <w:tcPr>
            <w:tcW w:w="1531" w:type="dxa"/>
            <w:shd w:val="clear" w:color="auto" w:fill="auto"/>
            <w:vAlign w:val="center"/>
          </w:tcPr>
          <w:p>
            <w:pPr>
              <w:spacing w:line="300" w:lineRule="exact"/>
              <w:jc w:val="left"/>
              <w:rPr>
                <w:rFonts w:ascii="黑体" w:hAnsi="黑体" w:eastAsia="黑体" w:cs="黑体"/>
                <w:bCs/>
              </w:rPr>
            </w:pPr>
          </w:p>
        </w:tc>
        <w:tc>
          <w:tcPr>
            <w:tcW w:w="1531" w:type="dxa"/>
            <w:shd w:val="clear" w:color="auto" w:fill="auto"/>
            <w:vAlign w:val="center"/>
          </w:tcPr>
          <w:p>
            <w:pPr>
              <w:spacing w:line="300" w:lineRule="exact"/>
              <w:jc w:val="left"/>
              <w:rPr>
                <w:rFonts w:ascii="黑体" w:hAnsi="黑体" w:eastAsia="黑体" w:cs="黑体"/>
                <w:bCs/>
              </w:rPr>
            </w:pPr>
          </w:p>
        </w:tc>
        <w:tc>
          <w:tcPr>
            <w:tcW w:w="709" w:type="dxa"/>
            <w:shd w:val="clear" w:color="auto" w:fill="auto"/>
            <w:vAlign w:val="center"/>
          </w:tcPr>
          <w:p>
            <w:pPr>
              <w:spacing w:line="300" w:lineRule="exact"/>
              <w:jc w:val="center"/>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Cs/>
              </w:rPr>
            </w:pPr>
          </w:p>
        </w:tc>
        <w:tc>
          <w:tcPr>
            <w:tcW w:w="1134" w:type="dxa"/>
            <w:shd w:val="clear" w:color="auto" w:fill="auto"/>
            <w:vAlign w:val="center"/>
          </w:tcPr>
          <w:p>
            <w:pPr>
              <w:spacing w:line="300" w:lineRule="exact"/>
              <w:jc w:val="right"/>
              <w:rPr>
                <w:rFonts w:ascii="方正书宋_GBK" w:eastAsia="方正书宋_GBK" w:cs="Times New Roman"/>
                <w:bCs/>
              </w:rPr>
            </w:pPr>
          </w:p>
        </w:tc>
        <w:tc>
          <w:tcPr>
            <w:tcW w:w="1531" w:type="dxa"/>
            <w:shd w:val="clear" w:color="auto" w:fill="auto"/>
            <w:vAlign w:val="center"/>
          </w:tcPr>
          <w:p>
            <w:pPr>
              <w:spacing w:line="300" w:lineRule="exact"/>
              <w:jc w:val="left"/>
              <w:rPr>
                <w:rFonts w:ascii="方正书宋_GBK" w:eastAsia="方正书宋_GBK" w:cs="Times New Roman"/>
                <w:bCs/>
              </w:rPr>
            </w:pPr>
          </w:p>
        </w:tc>
        <w:tc>
          <w:tcPr>
            <w:tcW w:w="1531" w:type="dxa"/>
            <w:shd w:val="clear" w:color="auto" w:fill="auto"/>
            <w:vAlign w:val="center"/>
          </w:tcPr>
          <w:p>
            <w:pPr>
              <w:spacing w:line="300" w:lineRule="exact"/>
              <w:jc w:val="left"/>
              <w:rPr>
                <w:rFonts w:ascii="方正书宋_GBK" w:eastAsia="方正书宋_GBK" w:cs="Times New Roman"/>
                <w:bCs/>
              </w:rPr>
            </w:pPr>
          </w:p>
        </w:tc>
        <w:tc>
          <w:tcPr>
            <w:tcW w:w="709" w:type="dxa"/>
            <w:shd w:val="clear" w:color="auto" w:fill="auto"/>
            <w:vAlign w:val="center"/>
          </w:tcPr>
          <w:p>
            <w:pPr>
              <w:spacing w:line="300" w:lineRule="exact"/>
              <w:jc w:val="center"/>
              <w:rPr>
                <w:rFonts w:ascii="方正书宋_GBK" w:eastAsia="方正书宋_GBK" w:cs="Times New Roman"/>
                <w:bCs/>
              </w:rPr>
            </w:pPr>
          </w:p>
        </w:tc>
        <w:tc>
          <w:tcPr>
            <w:tcW w:w="907" w:type="dxa"/>
            <w:shd w:val="clear" w:color="auto" w:fill="auto"/>
            <w:vAlign w:val="center"/>
          </w:tcPr>
          <w:p>
            <w:pPr>
              <w:spacing w:line="300" w:lineRule="exact"/>
              <w:jc w:val="right"/>
              <w:rPr>
                <w:rFonts w:ascii="方正书宋_GBK" w:eastAsia="方正书宋_GBK" w:cs="Times New Roman"/>
                <w:bCs/>
              </w:rPr>
            </w:pPr>
          </w:p>
        </w:tc>
        <w:tc>
          <w:tcPr>
            <w:tcW w:w="907" w:type="dxa"/>
            <w:shd w:val="clear" w:color="auto" w:fill="auto"/>
            <w:vAlign w:val="center"/>
          </w:tcPr>
          <w:p>
            <w:pPr>
              <w:spacing w:line="300" w:lineRule="exact"/>
              <w:jc w:val="right"/>
              <w:rPr>
                <w:rFonts w:ascii="方正书宋_GBK" w:eastAsia="方正书宋_GBK" w:cs="Times New Roman"/>
                <w:bCs/>
              </w:rPr>
            </w:pPr>
          </w:p>
        </w:tc>
        <w:tc>
          <w:tcPr>
            <w:tcW w:w="1134" w:type="dxa"/>
            <w:shd w:val="clear" w:color="auto" w:fill="auto"/>
            <w:vAlign w:val="center"/>
          </w:tcPr>
          <w:p>
            <w:pPr>
              <w:spacing w:line="300" w:lineRule="exact"/>
              <w:jc w:val="right"/>
              <w:rPr>
                <w:rFonts w:ascii="方正书宋_GBK" w:eastAsia="方正书宋_GBK" w:cs="Times New Roman"/>
                <w:bCs/>
              </w:rPr>
            </w:pPr>
          </w:p>
        </w:tc>
        <w:tc>
          <w:tcPr>
            <w:tcW w:w="1134" w:type="dxa"/>
            <w:shd w:val="clear" w:color="auto" w:fill="auto"/>
            <w:vAlign w:val="center"/>
          </w:tcPr>
          <w:p>
            <w:pPr>
              <w:spacing w:line="300" w:lineRule="exact"/>
              <w:jc w:val="right"/>
              <w:rPr>
                <w:rFonts w:ascii="方正书宋_GBK" w:eastAsia="方正书宋_GBK" w:cs="Times New Roman"/>
                <w:bCs/>
              </w:rPr>
            </w:pPr>
          </w:p>
        </w:tc>
        <w:tc>
          <w:tcPr>
            <w:tcW w:w="1134" w:type="dxa"/>
            <w:shd w:val="clear" w:color="auto" w:fill="auto"/>
            <w:vAlign w:val="center"/>
          </w:tcPr>
          <w:p>
            <w:pPr>
              <w:spacing w:line="300" w:lineRule="exact"/>
              <w:jc w:val="right"/>
              <w:rPr>
                <w:rFonts w:ascii="方正书宋_GBK" w:eastAsia="方正书宋_GBK" w:cs="Times New Roman"/>
                <w:bCs/>
              </w:rPr>
            </w:pPr>
          </w:p>
        </w:tc>
        <w:tc>
          <w:tcPr>
            <w:tcW w:w="1134" w:type="dxa"/>
            <w:shd w:val="clear" w:color="auto" w:fill="auto"/>
            <w:vAlign w:val="center"/>
          </w:tcPr>
          <w:p>
            <w:pPr>
              <w:spacing w:line="300" w:lineRule="exact"/>
              <w:jc w:val="right"/>
              <w:rPr>
                <w:rFonts w:ascii="方正书宋_GBK" w:eastAsia="方正书宋_GBK" w:cs="Times New Roman"/>
                <w:bCs/>
              </w:rPr>
            </w:pPr>
          </w:p>
        </w:tc>
        <w:tc>
          <w:tcPr>
            <w:tcW w:w="1134" w:type="dxa"/>
            <w:shd w:val="clear" w:color="auto" w:fill="auto"/>
            <w:vAlign w:val="center"/>
          </w:tcPr>
          <w:p>
            <w:pPr>
              <w:spacing w:line="300" w:lineRule="exact"/>
              <w:jc w:val="right"/>
              <w:rPr>
                <w:rFonts w:ascii="方正书宋_GBK" w:eastAsia="方正书宋_GBK" w:cs="Times New Roman"/>
                <w:bCs/>
              </w:rPr>
            </w:pPr>
          </w:p>
        </w:tc>
        <w:tc>
          <w:tcPr>
            <w:tcW w:w="1134" w:type="dxa"/>
            <w:shd w:val="clear" w:color="auto" w:fill="auto"/>
            <w:vAlign w:val="center"/>
          </w:tcPr>
          <w:p>
            <w:pPr>
              <w:spacing w:line="300" w:lineRule="exact"/>
              <w:jc w:val="right"/>
              <w:rPr>
                <w:rFonts w:ascii="方正书宋_GBK" w:eastAsia="方正书宋_GBK" w:cs="Times New Roman"/>
                <w:bCs/>
              </w:rPr>
            </w:pPr>
          </w:p>
        </w:tc>
      </w:tr>
    </w:tbl>
    <w:p>
      <w:pPr>
        <w:spacing w:line="584" w:lineRule="exact"/>
        <w:ind w:firstLine="640" w:firstLineChars="200"/>
        <w:outlineLvl w:val="0"/>
        <w:rPr>
          <w:rFonts w:ascii="Times New Roman" w:hAnsi="Times New Roman" w:eastAsia="仿宋_GB2312" w:cs="Times New Roman"/>
          <w:sz w:val="32"/>
          <w:szCs w:val="2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中共</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广阳区委网络安全和信息化委员会办公室</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171.411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（详见下表），本年度我部门拟购置固定资产总额为0万元。</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中共</w:t>
            </w: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广阳区委网络安全和信息化委员会办公室部门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中共</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广阳区委网络安全和信息化委员会办公室</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171.411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106</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171.411</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18D1"/>
    <w:rsid w:val="00074264"/>
    <w:rsid w:val="000A1669"/>
    <w:rsid w:val="000A4F5F"/>
    <w:rsid w:val="000B239B"/>
    <w:rsid w:val="000C28BA"/>
    <w:rsid w:val="001935C7"/>
    <w:rsid w:val="001972EC"/>
    <w:rsid w:val="001B1A35"/>
    <w:rsid w:val="00301F9F"/>
    <w:rsid w:val="00350E86"/>
    <w:rsid w:val="00356683"/>
    <w:rsid w:val="00381488"/>
    <w:rsid w:val="004A54AA"/>
    <w:rsid w:val="00506A4D"/>
    <w:rsid w:val="005A459A"/>
    <w:rsid w:val="00606F49"/>
    <w:rsid w:val="00651F3F"/>
    <w:rsid w:val="006A481E"/>
    <w:rsid w:val="006B4F7C"/>
    <w:rsid w:val="00793142"/>
    <w:rsid w:val="007B1388"/>
    <w:rsid w:val="007F3DD0"/>
    <w:rsid w:val="00807A76"/>
    <w:rsid w:val="008A5D48"/>
    <w:rsid w:val="008F0EB4"/>
    <w:rsid w:val="009944B7"/>
    <w:rsid w:val="009D7227"/>
    <w:rsid w:val="00A218C6"/>
    <w:rsid w:val="00AD34A4"/>
    <w:rsid w:val="00AD5F3A"/>
    <w:rsid w:val="00B17B32"/>
    <w:rsid w:val="00B313FC"/>
    <w:rsid w:val="00B80935"/>
    <w:rsid w:val="00BF6B6F"/>
    <w:rsid w:val="00C670B3"/>
    <w:rsid w:val="00D347CC"/>
    <w:rsid w:val="00D96CBB"/>
    <w:rsid w:val="00E27CE3"/>
    <w:rsid w:val="00E80D1E"/>
    <w:rsid w:val="00F42BCC"/>
    <w:rsid w:val="00FE0575"/>
    <w:rsid w:val="063760EB"/>
    <w:rsid w:val="078D2320"/>
    <w:rsid w:val="101C31BD"/>
    <w:rsid w:val="14B91245"/>
    <w:rsid w:val="1B175F4F"/>
    <w:rsid w:val="24886FE8"/>
    <w:rsid w:val="2B2126F1"/>
    <w:rsid w:val="62FC6CD2"/>
    <w:rsid w:val="7CB201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720</Words>
  <Characters>4107</Characters>
  <Lines>34</Lines>
  <Paragraphs>9</Paragraphs>
  <TotalTime>8</TotalTime>
  <ScaleCrop>false</ScaleCrop>
  <LinksUpToDate>false</LinksUpToDate>
  <CharactersWithSpaces>4818</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2021-03-24T08:49:00Z</dcterms:created>
  <dc:creator>guest</dc:creator>
  <cp:lastModifiedBy>lenovo</cp:lastModifiedBy>
  <cp:lastPrinted>2018-01-30T06:12:00Z</cp:lastPrinted>
  <dcterms:modified xsi:type="dcterms:W3CDTF">2022-07-08T03:18:28Z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F304F0B2D38545EB9E73F11C02D7183E</vt:lpwstr>
  </property>
</Properties>
</file>