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2"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r>
        <w:rPr>
          <w:rFonts w:hint="eastAsia" w:ascii="方正小标宋简体" w:hAnsi="Times New Roman" w:eastAsia="方正小标宋简体" w:cs="Times New Roman"/>
          <w:sz w:val="44"/>
          <w:szCs w:val="44"/>
        </w:rPr>
        <w:t>司法局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bookmarkEnd w:id="2"/>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广阳区司法局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（一）承担全面依法治区重大问题的政策研究。组织协调有关方面提出全面依法治区中长期规划建议，负责有关重大决策部署督察工作。</w:t>
      </w:r>
    </w:p>
    <w:p>
      <w:pPr>
        <w:spacing w:line="579"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（二）负责区政府各部门、各乡镇（街道）规范性文件的备案审查工作。负责对区政府政策措施、规范性文件和合同协议的合法性审核工作；承办区政府交办的涉法事务；负责区政府规章的编纂工作。</w:t>
      </w:r>
    </w:p>
    <w:p>
      <w:pPr>
        <w:spacing w:line="579"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三）承担统筹推进全区法治政府建设的责任。指导、监督区政府各部门、各乡镇（街道）依法行政工作；负责综合协调行政执法工作；承担推进行政执法体制改革有关工作；推进严格规范公正文明执法。依法承办行政复议案件；受区政府委托，代理行政诉讼案件的应诉；指导、监督全区行政复议和行政应诉工作。</w:t>
      </w:r>
    </w:p>
    <w:p>
      <w:pPr>
        <w:spacing w:line="579"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（四）承担统筹规划全区法治社会建设的责任。负责拟订全区法治宣传教育规划，组织实施普法宣传工作；推动全区人民参与和促进法治建设；指导全区依法治理和法治创建工作。</w:t>
      </w:r>
    </w:p>
    <w:p>
      <w:pPr>
        <w:spacing w:line="579"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（五）负责全区社区矫正工作；负责全区刑满释放人员帮教安置工作。</w:t>
      </w:r>
    </w:p>
    <w:p>
      <w:pPr>
        <w:spacing w:line="579"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六）负责制定全区公共法律服务体系建设规划并指导实施，统筹和布局城乡、区域法律服务资源。负责全区各乡镇（街道）司法所建设和人民调解工作、基层法律服务、人民陪审员选任工作、人民监督员选任工作、指导全区人民调解员协会工作。</w:t>
      </w:r>
    </w:p>
    <w:p>
      <w:pPr>
        <w:spacing w:line="579"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（七）指导、监督全区司法鉴定工作、法律援助工作、村居法律顾问工作、全区律师工作和法律服务所管理工作。</w:t>
      </w:r>
    </w:p>
    <w:p>
      <w:pPr>
        <w:spacing w:line="579"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(八)管理和指导全区司法行政系统的队伍建设和思想政治工作；规划、协调、指导全区法治人才队伍建设相关工作。</w:t>
      </w:r>
    </w:p>
    <w:p>
      <w:pPr>
        <w:spacing w:line="579"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（九）负责机关与下属单位的经费、国有资产、警车、物资、财务、装备、设施、场所等保障与监督工作。</w:t>
      </w:r>
    </w:p>
    <w:p>
      <w:pPr>
        <w:spacing w:line="579"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(十)</w:t>
      </w:r>
      <w:r>
        <w:rPr>
          <w:rFonts w:hint="eastAsia" w:ascii="仿宋_GB2312" w:eastAsia="仿宋_GB2312"/>
          <w:sz w:val="32"/>
          <w:szCs w:val="32"/>
        </w:rPr>
        <w:t> </w:t>
      </w:r>
      <w:r>
        <w:rPr>
          <w:rFonts w:hint="eastAsia" w:ascii="仿宋_GB2312" w:hAnsi="仿宋" w:eastAsia="仿宋_GB2312"/>
          <w:sz w:val="32"/>
          <w:szCs w:val="32"/>
        </w:rPr>
        <w:t>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szCs w:val="24"/>
              </w:rPr>
              <w:t>廊坊市广阳区司法局</w:t>
            </w:r>
          </w:p>
        </w:tc>
        <w:tc>
          <w:tcPr>
            <w:tcW w:w="1134"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szCs w:val="24"/>
              </w:rPr>
              <w:t>行政</w:t>
            </w:r>
          </w:p>
        </w:tc>
        <w:tc>
          <w:tcPr>
            <w:tcW w:w="1276"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szCs w:val="24"/>
              </w:rPr>
              <w:t>正科级</w:t>
            </w:r>
          </w:p>
        </w:tc>
        <w:tc>
          <w:tcPr>
            <w:tcW w:w="2902"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szCs w:val="24"/>
              </w:rPr>
              <w:t>财政拨款</w:t>
            </w:r>
          </w:p>
        </w:tc>
      </w:tr>
    </w:tbl>
    <w:p>
      <w:pPr>
        <w:spacing w:line="584" w:lineRule="exact"/>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广阳区司法局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715.33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715.33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廊坊市广阳区司法局2021年度部门预算中支出预算的总体情况。2021年支出预算715.33万元，其中基本支出715.33万元，包括人员类项目经费</w:t>
      </w:r>
      <w:r>
        <w:rPr>
          <w:rFonts w:hint="eastAsia" w:ascii="仿宋_GB2312" w:hAnsi="仿宋" w:eastAsia="仿宋_GB2312" w:cs="Times New Roman"/>
          <w:sz w:val="32"/>
          <w:szCs w:val="32"/>
        </w:rPr>
        <w:t>632.62</w:t>
      </w:r>
      <w:r>
        <w:rPr>
          <w:rFonts w:hint="eastAsia" w:ascii="仿宋_GB2312" w:hAnsi="Times New Roman" w:eastAsia="仿宋_GB2312" w:cs="Times New Roman"/>
          <w:sz w:val="32"/>
          <w:szCs w:val="32"/>
        </w:rPr>
        <w:t>万元和运转类公用项目经费</w:t>
      </w:r>
      <w:r>
        <w:rPr>
          <w:rFonts w:hint="eastAsia" w:ascii="仿宋_GB2312" w:hAnsi="仿宋" w:eastAsia="仿宋_GB2312" w:cs="Times New Roman"/>
          <w:sz w:val="32"/>
          <w:szCs w:val="32"/>
        </w:rPr>
        <w:t>82.71</w:t>
      </w:r>
      <w:r>
        <w:rPr>
          <w:rFonts w:hint="eastAsia" w:ascii="仿宋_GB2312"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2021年预算收支安排715.33万元，较2020年预算减少26.53万元，其中：基本支出增加22.95万元，主要为人员经费支出；项目支出减少49.48万元，主要为减少社区矫正、</w:t>
      </w:r>
      <w:r>
        <w:rPr>
          <w:rFonts w:hint="eastAsia" w:ascii="仿宋_GB2312" w:eastAsia="仿宋_GB2312"/>
          <w:sz w:val="32"/>
          <w:szCs w:val="32"/>
        </w:rPr>
        <w:t>中央政法纪检监察转移支付资金</w:t>
      </w:r>
      <w:r>
        <w:rPr>
          <w:rFonts w:hint="eastAsia" w:ascii="仿宋_GB2312"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21</w:t>
      </w:r>
      <w:r>
        <w:rPr>
          <w:rFonts w:ascii="仿宋_GB2312" w:hAnsi="Times New Roman" w:eastAsia="仿宋_GB2312" w:cs="Times New Roman"/>
          <w:sz w:val="32"/>
          <w:szCs w:val="32"/>
        </w:rPr>
        <w:t>年，我局机关运行经费共计安排</w:t>
      </w:r>
      <w:r>
        <w:rPr>
          <w:rFonts w:hint="eastAsia" w:ascii="仿宋_GB2312" w:hAnsi="Times New Roman" w:eastAsia="仿宋_GB2312" w:cs="Times New Roman"/>
          <w:sz w:val="32"/>
          <w:szCs w:val="32"/>
        </w:rPr>
        <w:t>82.71</w:t>
      </w:r>
      <w:r>
        <w:rPr>
          <w:rFonts w:ascii="仿宋_GB2312" w:hAnsi="Times New Roman" w:eastAsia="仿宋_GB2312" w:cs="Times New Roman"/>
          <w:sz w:val="32"/>
          <w:szCs w:val="32"/>
        </w:rPr>
        <w:t>万元，主要用于</w:t>
      </w:r>
      <w:r>
        <w:rPr>
          <w:rFonts w:hint="eastAsia" w:ascii="仿宋_GB2312" w:hAnsi="Times New Roman" w:eastAsia="仿宋_GB2312" w:cs="Times New Roman"/>
          <w:sz w:val="32"/>
          <w:szCs w:val="32"/>
        </w:rPr>
        <w:t>廊坊市广阳区司法局</w:t>
      </w:r>
      <w:r>
        <w:rPr>
          <w:rFonts w:ascii="仿宋_GB2312"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仿宋_GB2312" w:cs="Times New Roman"/>
          <w:b/>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21</w:t>
      </w:r>
      <w:r>
        <w:rPr>
          <w:rFonts w:ascii="仿宋_GB2312" w:hAnsi="Times New Roman" w:eastAsia="仿宋_GB2312" w:cs="Times New Roman"/>
          <w:sz w:val="32"/>
          <w:szCs w:val="32"/>
        </w:rPr>
        <w:t>年，我局财政拨款“三公”经费预算安排</w:t>
      </w:r>
      <w:r>
        <w:rPr>
          <w:rFonts w:hint="eastAsia" w:ascii="仿宋_GB2312" w:hAnsi="Times New Roman" w:eastAsia="仿宋_GB2312" w:cs="Times New Roman"/>
          <w:sz w:val="32"/>
          <w:szCs w:val="32"/>
        </w:rPr>
        <w:t>8.76</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其中</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因公出国（境）费</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rPr>
        <w:t>8.76</w:t>
      </w:r>
      <w:r>
        <w:rPr>
          <w:rFonts w:ascii="仿宋_GB2312" w:hAnsi="Times New Roman" w:eastAsia="仿宋_GB2312" w:cs="Times New Roman"/>
          <w:sz w:val="32"/>
          <w:szCs w:val="32"/>
        </w:rPr>
        <w:t>万元（其中：公务用车购置费为</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万元，公务用车运维费</w:t>
      </w:r>
      <w:r>
        <w:rPr>
          <w:rFonts w:hint="eastAsia" w:ascii="仿宋_GB2312" w:hAnsi="Times New Roman" w:eastAsia="仿宋_GB2312" w:cs="Times New Roman"/>
          <w:sz w:val="32"/>
          <w:szCs w:val="32"/>
        </w:rPr>
        <w:t>8.76</w:t>
      </w:r>
      <w:r>
        <w:rPr>
          <w:rFonts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万元。与20</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年</w:t>
      </w:r>
      <w:r>
        <w:rPr>
          <w:rFonts w:hint="eastAsia" w:ascii="仿宋_GB2312"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全区司法行政工作将继续围绕“精良管理当先锋，高端发展做贡献”主题实践活动，和政法干警核心价值观教育实践活动，深入开展社会矛盾化解、社会管理创新、公正廉洁执法和干部队伍建设四项重点任务，积极拓展矛盾纠纷调解、法律服务、法制宣传领域，进一步加强基层基础建设和队伍建设，深化司法行政体制改革和工作机制改革，努力提高司法行政工作专业化、规范化、法制化、信息化水平。</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部门职责-分项绩效目标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司法所人员基层津贴绩效目标：指导、监督社区矫正、人民调解、安置帮教、社会矛盾调处、协调司法调解、行政调解、人民调解“三调联动”工作。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治区绩效目标：承办全面依法治区理论和实践调查研究工作，提出政策建议；承办全面依法治区工作规划建议的协调工作；组织起草全面依法治区有关重要文件；研究提出建设法治政府、推进依法行政的意见和措施；负责全面依法治区重大决策部署和政策措施的督促检查工作；负责拟订区委全面依法治区办年度督察工作计划，组织开展重点工作督察，提出督察意见、问责建议；接受各乡镇（街办处）、区直各部门法治工作重要决定和方案的备案；负责拟定本系统发展战略、中长期规划、重大政策；负责推进全区司法行政改革工作；承办区司法局规范性文件审查；负责政府依法行政层级监督等项工作负责人大、政协的建议、提案工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治宣传绩效目标：负责拟订全区法治宣传教育规划并组织实施；指导、监督全区法治宣传、依法治理工作；组织指导法治宣传报道工作；承担广阳区法治宣传教育领导小组办公室工作；指导、监督全区各部门“谁执法谁普法”的普法责任制落实，推进全民普法工作；指导、监督全区国家工作人员学法用法工作；指导、监督全区各部门各行业依法治理和基层法治创建工作；指导全区社会主义法治文化建设工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制绩效目标：负责对区政府政策措施、合同协议的合法性审核；负责规范性文件的组织起草、审查备案、协调论证工作；对以区政府或区政府办公室名义印发规范性文件审核工作；指导全区行政执法队伍规范化、制度化建设和行政执法人员培训工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社区矫正绩效目标：在入矫阶段普及社区矫正规章制度，开展法律常识再教育，促进社区服刑人员遵规守纪。</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承担全区社区矫正人员集中管理、集中教育、心理矫正，对社区服刑人员的监督管理、风险评估、突发事件的处置。</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层工作管理绩效目标：指导、监督基层司法所、人民调解工作；负责制定全区保障人民群众参与、促进、监督法治建设的制度措施；参与面向社会征集法律法规制定项目建议；指导人民团体、群众自治组织和社会组织参与、支持法治社会建设工作；负责全区司法所建设工作；指导全区人民调解、行政调解、行业性专业性调解工作；指导人民调解员协会工作；负责和指导全区人民监督员、人民陪审员选任管理工作；负责规划和推进全区公共法律服务体系和平台建设工作。健全完善“以案定补”制度与政府购买方式，2017年底调解民间纠纷案件180件最大限度降低重新违法犯罪和社会不稳定因素发生率90%。</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援助绩效目标：指导、检查全区法律援助工作；规划法律援助事业发展布局；监督管理全区法律援助机构和法律援助从业人员；办理法律援助案件，政府购买法律服务；管理“7803148”法律援助专线。实现全区“一村（居）一法律顾问”的工作目标，使村（居）法律服务更加便民快捷。</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业务管理绩效目标：指导监督系统计划财务工作；负责对机关和直属单位经济财务活动的内部审计监督；负责和指导本系统思想政治工作、组织工作、干警队伍建设，指导、监督党的建设。负责规划、协调、指导法治人才队伍建设相关工作；负责全区司法行政系统统计工作；协助局领导协调与各股室及各司法所的关系；加强机关后勤保障，确保正常办公环境需要</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部门职责分类绩效目标情况说明</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总体绩效目标：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全区司法行政工作将继续围绕“精良管理当先锋，高端发展做贡献”主题实践活动，和政法干警核心价值观教育实践活动，深入开展社会矛盾化解、社会管理创新、公正廉洁执法和干部队伍建设四项重点任务，积极拓展矛盾纠纷调解、法律服务、法制宣传领域，进一步加强基层基础建设和队伍建设，深化司法行政体制改革和工作机制改革，努力提高司法行政工作专业化、规范化、法制化、信息化水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职责分类绩效目标：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1、贯彻落实国家有关司法工作的法律、法规及司法行政工作方针政策；制订全区司法行政系统规章、制度，编制全区司法行政工作中期规划、年度计划并组织实施。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2、制订全区法制宣传、普及法律常识的规划并组织实施，指导全区各单位、各部门、各行业法制宣传、依法治理工作。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3、负责全区社区矫正工作。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4、指导、监督全区律师工作和法律顾问工作，对全区法律服务所进行管理。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5、指导、监督各乡镇（街办处）司法所、法律服务所建设和人民调解、基层法律服务和安置帮教工作；指导全区人民调解员协会工作。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6、监督管理全区的法律援助工作。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7、负责机关和下属单位的经费、国有资产进行管理和监督。</w:t>
      </w:r>
    </w:p>
    <w:p>
      <w:pPr>
        <w:numPr>
          <w:ilvl w:val="0"/>
          <w:numId w:val="1"/>
        </w:numPr>
        <w:spacing w:line="584"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指导、监督全区司法鉴定人和司法鉴定机构工作。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9、管理和指导全区司法行政系统的队伍建设和思想政治工作；负责全区司法行政系统警务管理</w:t>
      </w:r>
    </w:p>
    <w:p>
      <w:pPr>
        <w:spacing w:line="584" w:lineRule="exact"/>
        <w:ind w:left="64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和警务督察工作。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10、承担区政府和上级机关交办的其他事项。</w:t>
      </w:r>
    </w:p>
    <w:p>
      <w:pPr>
        <w:spacing w:line="584"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部门职责-分项绩效目标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司法所人员基层津贴绩效目标：指导、监督社区矫正、人民调解、安置帮教、社会矛盾调处、协调司法调解、行政调解、人民调解“三调联动”工作。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治区绩效目标：承办全面依法治区理论和实践调查研究工作，提出政策建议；承办全面依法治区工作规划建议的协调工作；组织起草全面依法治区有关重要文件；研究提出建设法治政府、推进依法行政的意见和措施；负责全面依法治区重大决策部署和政策措施的督促检查工作；负责拟订区委全面依法治区办年度督察工作计划，组织开展重点工作督察，提出督察意见、问责建议；接受各乡镇（街办处）、区直各部门法治工作重要决定和方案的备案；负责拟定本系统发展战略、中长期规划、重大政策；负责推进全区司法行政改革工作；承办区司法局规范性文件审查；负责政府依法行政层级监督等项工作负责人大、政协的建议、提案工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治宣传绩效目标：负责拟订全区法治宣传教育规划并组织实施；指导、监督全区法治宣传、依法治理工作；组织指导法治宣传报道工作；承担广阳区法治宣传教育领导小组办公室工作；指导、监督全区各部门“谁执法谁普法”的普法责任制落实，推进全民普法工作；指导、监督全区国家工作人员学法用法工作；指导、监督全区各部门各行业依法治理和基层法治创建工作；指导全区社会主义法治文化建设工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制绩效目标：负责对区政府政策措施、合同协议的合法性审核；负责规范性文件的组织起草、审查备案、协调论证工作；对以区政府或区政府办公室名义印发规范性文件审核工作；指导全区行政执法队伍规范化、制度化建设和行政执法人员培训工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社区矫正绩效目标：在入矫阶段普及社区矫正规章制度，开展法律常识再教育，促进社区服刑人员遵规守纪。</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承担全区社区矫正人员集中管理、集中教育、心理矫正，对社区服刑人员的监督管理、风险评估、突发事件的处置。</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层工作管理绩效目标：指导、监督基层司法所、人民调解工作；负责制定全区保障人民群众参与、促进、监督法治建设的制度措施；参与面向社会征集法律法规制定项目建议；指导人民团体、群众自治组织和社会组织参与、支持法治社会建设工作；负责全区司法所建设工作；指导全区人民调解、行政调解、行业性专业性调解工作；指导人民调解员协会工作；负责和指导全区人民监督员、人民陪审员选任管理工作；负责规划和推进全区公共法律服务体系和平台建设工作。健全完善“以案定补”制度与政府购买方式，2017年底调解民间纠纷案件180件最大限度降低重新违法犯罪和社会不稳定因素发生率90%。</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按照基层保障工作的意见的指导标准，预算需要20万元。</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援助绩效目标：指导、检查全区法律援助工作；规划法律援助事业发展布局；监督管理全区法律援助机构和法律援助从业人员；办理法律援助案件，政府购买法律服务；管理“7803148”法律援助专线。实现全区“一村（居）一法律顾问”的工作目标，使村（居）法律服务更加便民快捷。</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我区每年法律援助案件90余起，按照法律援助经费保障工作的意见的指导标准几项预算需3万元。</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业务管理绩效目标：指导监督系统计划财务工作；负责对机关和直属单位经济财务活动的内部审计监督；负责和指导本系统思想政治工作、组织工作、干警队伍建设，指导、监督党的建设。负责规划、协调、指导法治人才队伍建设相关工作；负责全区司法行政系统统计工作；协助局领导协调与各股室及各司法所的关系；加强机关后勤保障，确保正常办公环境需要。</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实现本年度发展规划目标的保障措施</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司法所人员基层津贴保障措施：各司法所在辖区举办法治知识讲座，为妇联主任、村街调解员讲解婚姻、继承、反家暴法律常识；矛盾纠纷排查30余次，接收刑释解教人员19人次，核实信息率达到100%。</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区矫正保障措施：接收入矫社区服刑人员199人，入矫人员司法e通手机定位监管199人，入矫人员司法e通手机定位监管达到99%，入矫人员心理矫正率98%，2020年社区矫正人员集中教育率99%，上下半年各一次，培训周期4至5天。</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援助保障措施：2020年底法律援助案件受理120件，对接受法律援助的人员进行调查，满意程度达到95%，2020年底组织法律援助宣传活动并发放各种法律宣传手册2万册。政府购买法律服务实施一村（居委会）一律师活动，全区219个村街全部覆盖，2020年建立完善的法律顾问工作制度；在村（居）显要位置公示法律顾问姓名、联系方式；完善法律顾问工作日志与台帐，矛盾排查工作率90%，提供法律咨询数量800次。</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普法宣传保障措施：2020 年“七五”普法，举办法治知识讲座，举办全区教育系统法治副校长培训班，调整普法讲师团，积极招募普法志愿者，建立完善微信、微博普法制度，督导各执法单位开展“谁执法谁普法”活动，部署“12.4”全国法制宣传日活动，发放各种法律宣传手册2万册。实施“互联网+法治宣传”行动，建设普法网络集群，网络舆情处置率达到100%。</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基层工作管理保障措施：健全完善“以案定补”制度与政府购买方式，2018年底调解民间纠纷案件251件最大限度降低重新违法犯罪和社会不稳定因素发生率90%，增强人民调解工作的公信力。</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制保障措施：2019年广阳区共新增行政执法人员123人，注销45人；开展“行政执法先进单位”“行政执法标兵”“优秀行政执法案卷”评选活动，广阳区共评选“行政执法先进单位”3个，“行政执法标兵”30名，“优秀行政执法案卷”60卷。</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治区保障措施：2019年以来，在机构改革中随着原政府法制办职能的划转，我局克服人员少、经验不足等困难，认真承办政府的应诉（复）工作，并依法履行行政复议职能。截至目前，共承办行政应诉案件20件，已办结8件，12件仍在审理中；应复案件3件，已办结1件。共收到行政复议申请10件，受案范围涉及土地、房产、拆迁、行政处罚等方面，在行政复议案件审查审理中，坚持公平、公正、公开原则，对复杂案件认真组织当事人双方举行听证，邀请专家进行评判，收效明显。</w:t>
      </w:r>
    </w:p>
    <w:p>
      <w:pPr>
        <w:spacing w:line="584" w:lineRule="exact"/>
        <w:ind w:firstLine="640" w:firstLineChars="200"/>
        <w:rPr>
          <w:rFonts w:ascii="Times New Roman" w:hAnsi="宋体"/>
        </w:rPr>
      </w:pPr>
      <w:r>
        <w:rPr>
          <w:rFonts w:hint="eastAsia" w:ascii="仿宋_GB2312" w:hAnsi="仿宋_GB2312" w:eastAsia="仿宋_GB2312" w:cs="仿宋_GB2312"/>
          <w:sz w:val="32"/>
          <w:szCs w:val="32"/>
        </w:rPr>
        <w:t>司法所规范化建设的保障措施：2020年广阳区现有十个司法所，保障人民调解网络平台畅通率100%，建立人民调解工作档案、建立社区矫正档案、建立安置帮教档案、建立法律援助档案、建立法制宣传教育档案、建立依法治理、社会治安综合治理等业务的各项档案。积极推进司法所外观标识规范化、所务管理规范化、办公设施齐备、网络平台，与京津冀协</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rPr>
        <w:t>发展。</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55"/>
        <w:gridCol w:w="825"/>
        <w:gridCol w:w="1006"/>
        <w:gridCol w:w="2063"/>
        <w:gridCol w:w="1483"/>
        <w:gridCol w:w="543"/>
        <w:gridCol w:w="488"/>
        <w:gridCol w:w="573"/>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85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006"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206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4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76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855" w:type="dxa"/>
            <w:vMerge w:val="continue"/>
            <w:tcBorders>
              <w:tl2br w:val="nil"/>
              <w:tr2bl w:val="nil"/>
            </w:tcBorders>
            <w:vAlign w:val="center"/>
          </w:tcPr>
          <w:p/>
        </w:tc>
        <w:tc>
          <w:tcPr>
            <w:tcW w:w="825" w:type="dxa"/>
            <w:vMerge w:val="continue"/>
            <w:tcBorders>
              <w:tl2br w:val="nil"/>
              <w:tr2bl w:val="nil"/>
            </w:tcBorders>
            <w:vAlign w:val="center"/>
          </w:tcPr>
          <w:p/>
        </w:tc>
        <w:tc>
          <w:tcPr>
            <w:tcW w:w="1006" w:type="dxa"/>
            <w:vMerge w:val="continue"/>
            <w:tcBorders>
              <w:tl2br w:val="nil"/>
              <w:tr2bl w:val="nil"/>
            </w:tcBorders>
            <w:vAlign w:val="center"/>
          </w:tcPr>
          <w:p/>
        </w:tc>
        <w:tc>
          <w:tcPr>
            <w:tcW w:w="2063"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763"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855"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产出</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100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新增/年检行政执法人员数量</w:t>
            </w:r>
          </w:p>
        </w:tc>
        <w:tc>
          <w:tcPr>
            <w:tcW w:w="206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符合条件的行政执法人员参加培训情况</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1100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名</w:t>
            </w:r>
          </w:p>
        </w:tc>
        <w:tc>
          <w:tcPr>
            <w:tcW w:w="176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参加培训人员名单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55"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100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组织服务</w:t>
            </w:r>
          </w:p>
        </w:tc>
        <w:tc>
          <w:tcPr>
            <w:tcW w:w="206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实际服务质量占应该组织服务质量的比例</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76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满意度调查表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855"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时效</w:t>
            </w:r>
          </w:p>
        </w:tc>
        <w:tc>
          <w:tcPr>
            <w:tcW w:w="100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完成及时率</w:t>
            </w:r>
          </w:p>
        </w:tc>
        <w:tc>
          <w:tcPr>
            <w:tcW w:w="206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资金支出及时率</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98</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76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执行情况表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55" w:type="dxa"/>
            <w:vMerge w:val="continue"/>
            <w:tcBorders>
              <w:tl2br w:val="nil"/>
              <w:tr2bl w:val="nil"/>
            </w:tcBorders>
            <w:vAlign w:val="center"/>
          </w:tcPr>
          <w:p>
            <w:pPr>
              <w:jc w:val="center"/>
            </w:p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成本</w:t>
            </w:r>
          </w:p>
        </w:tc>
        <w:tc>
          <w:tcPr>
            <w:tcW w:w="1006" w:type="dxa"/>
            <w:tcBorders>
              <w:tl2br w:val="nil"/>
              <w:tr2bl w:val="nil"/>
            </w:tcBorders>
            <w:vAlign w:val="center"/>
          </w:tcPr>
          <w:p>
            <w:pPr>
              <w:jc w:val="center"/>
              <w:rPr>
                <w:rFonts w:ascii="仿宋_GB2312" w:hAnsi="仿宋_GB2312" w:eastAsia="仿宋_GB2312" w:cs="仿宋_GB2312"/>
              </w:rPr>
            </w:pPr>
          </w:p>
        </w:tc>
        <w:tc>
          <w:tcPr>
            <w:tcW w:w="2063" w:type="dxa"/>
            <w:tcBorders>
              <w:tl2br w:val="nil"/>
              <w:tr2bl w:val="nil"/>
            </w:tcBorders>
            <w:vAlign w:val="center"/>
          </w:tcPr>
          <w:p>
            <w:pPr>
              <w:widowControl/>
              <w:adjustRightInd w:val="0"/>
              <w:snapToGrid w:val="0"/>
              <w:jc w:val="center"/>
              <w:rPr>
                <w:rFonts w:ascii="方正书宋_GBK" w:eastAsia="方正书宋_GBK"/>
              </w:rPr>
            </w:pPr>
          </w:p>
        </w:tc>
        <w:tc>
          <w:tcPr>
            <w:tcW w:w="1483" w:type="dxa"/>
            <w:tcBorders>
              <w:tl2br w:val="nil"/>
              <w:tr2bl w:val="nil"/>
            </w:tcBorders>
            <w:vAlign w:val="center"/>
          </w:tcPr>
          <w:p>
            <w:pPr>
              <w:widowControl/>
              <w:adjustRightInd w:val="0"/>
              <w:snapToGrid w:val="0"/>
              <w:jc w:val="center"/>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763" w:type="dxa"/>
            <w:tcBorders>
              <w:tl2br w:val="nil"/>
              <w:tr2bl w:val="nil"/>
            </w:tcBorders>
            <w:vAlign w:val="center"/>
          </w:tcPr>
          <w:p>
            <w:pPr>
              <w:widowControl/>
              <w:adjustRightInd w:val="0"/>
              <w:snapToGrid w:val="0"/>
              <w:jc w:val="center"/>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55" w:type="dxa"/>
            <w:vMerge w:val="restart"/>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部门</w:t>
            </w:r>
          </w:p>
          <w:p>
            <w:pPr>
              <w:jc w:val="center"/>
              <w:rPr>
                <w:rFonts w:ascii="仿宋_GB2312" w:hAnsi="仿宋_GB2312" w:eastAsia="仿宋_GB2312" w:cs="仿宋_GB2312"/>
              </w:rPr>
            </w:pPr>
            <w:r>
              <w:rPr>
                <w:rFonts w:hint="eastAsia" w:ascii="仿宋_GB2312" w:hAnsi="仿宋_GB2312" w:eastAsia="仿宋_GB2312" w:cs="仿宋_GB2312"/>
              </w:rPr>
              <w:t>效果</w:t>
            </w: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社会</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1006"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任务完成率</w:t>
            </w:r>
          </w:p>
        </w:tc>
        <w:tc>
          <w:tcPr>
            <w:tcW w:w="206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实际完成任务数占总任务数的比例</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76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指标及时验收依据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55"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经济</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1006" w:type="dxa"/>
            <w:tcBorders>
              <w:tl2br w:val="nil"/>
              <w:tr2bl w:val="nil"/>
            </w:tcBorders>
            <w:vAlign w:val="center"/>
          </w:tcPr>
          <w:p>
            <w:pPr>
              <w:jc w:val="center"/>
              <w:rPr>
                <w:rFonts w:ascii="仿宋_GB2312" w:hAnsi="仿宋_GB2312" w:eastAsia="仿宋_GB2312" w:cs="仿宋_GB2312"/>
              </w:rPr>
            </w:pPr>
          </w:p>
        </w:tc>
        <w:tc>
          <w:tcPr>
            <w:tcW w:w="2063" w:type="dxa"/>
            <w:tcBorders>
              <w:tl2br w:val="nil"/>
              <w:tr2bl w:val="nil"/>
            </w:tcBorders>
            <w:vAlign w:val="center"/>
          </w:tcPr>
          <w:p>
            <w:pPr>
              <w:jc w:val="center"/>
              <w:rPr>
                <w:rFonts w:ascii="仿宋_GB2312" w:hAnsi="仿宋_GB2312" w:eastAsia="仿宋_GB2312" w:cs="仿宋_GB2312"/>
              </w:rPr>
            </w:pPr>
          </w:p>
        </w:tc>
        <w:tc>
          <w:tcPr>
            <w:tcW w:w="1483" w:type="dxa"/>
            <w:tcBorders>
              <w:tl2br w:val="nil"/>
              <w:tr2bl w:val="nil"/>
            </w:tcBorders>
            <w:vAlign w:val="center"/>
          </w:tcPr>
          <w:p>
            <w:pPr>
              <w:jc w:val="center"/>
              <w:rPr>
                <w:rFonts w:ascii="仿宋_GB2312" w:hAnsi="仿宋_GB2312" w:eastAsia="仿宋_GB2312" w:cs="仿宋_GB2312"/>
              </w:rPr>
            </w:pPr>
          </w:p>
        </w:tc>
        <w:tc>
          <w:tcPr>
            <w:tcW w:w="543" w:type="dxa"/>
            <w:tcBorders>
              <w:tl2br w:val="nil"/>
              <w:tr2bl w:val="nil"/>
            </w:tcBorders>
            <w:vAlign w:val="center"/>
          </w:tcPr>
          <w:p>
            <w:pPr>
              <w:jc w:val="center"/>
              <w:rPr>
                <w:rFonts w:ascii="仿宋_GB2312" w:hAnsi="仿宋_GB2312" w:eastAsia="仿宋_GB2312" w:cs="仿宋_GB2312"/>
              </w:rPr>
            </w:pPr>
          </w:p>
        </w:tc>
        <w:tc>
          <w:tcPr>
            <w:tcW w:w="488" w:type="dxa"/>
            <w:tcBorders>
              <w:tl2br w:val="nil"/>
              <w:tr2bl w:val="nil"/>
            </w:tcBorders>
            <w:vAlign w:val="center"/>
          </w:tcPr>
          <w:p>
            <w:pPr>
              <w:jc w:val="center"/>
              <w:rPr>
                <w:rFonts w:ascii="仿宋_GB2312" w:hAnsi="仿宋_GB2312" w:eastAsia="仿宋_GB2312" w:cs="仿宋_GB2312"/>
              </w:rPr>
            </w:pPr>
          </w:p>
        </w:tc>
        <w:tc>
          <w:tcPr>
            <w:tcW w:w="573" w:type="dxa"/>
            <w:tcBorders>
              <w:tl2br w:val="nil"/>
              <w:tr2bl w:val="nil"/>
            </w:tcBorders>
            <w:vAlign w:val="center"/>
          </w:tcPr>
          <w:p>
            <w:pPr>
              <w:jc w:val="center"/>
              <w:rPr>
                <w:rFonts w:ascii="仿宋_GB2312" w:hAnsi="仿宋_GB2312" w:eastAsia="仿宋_GB2312" w:cs="仿宋_GB2312"/>
              </w:rPr>
            </w:pPr>
          </w:p>
        </w:tc>
        <w:tc>
          <w:tcPr>
            <w:tcW w:w="1763" w:type="dxa"/>
            <w:tcBorders>
              <w:tl2br w:val="nil"/>
              <w:tr2bl w:val="nil"/>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55"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生态</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1006" w:type="dxa"/>
            <w:tcBorders>
              <w:tl2br w:val="nil"/>
              <w:tr2bl w:val="nil"/>
            </w:tcBorders>
            <w:vAlign w:val="center"/>
          </w:tcPr>
          <w:p>
            <w:pPr>
              <w:jc w:val="center"/>
              <w:rPr>
                <w:rFonts w:ascii="仿宋_GB2312" w:hAnsi="仿宋_GB2312" w:eastAsia="仿宋_GB2312" w:cs="仿宋_GB2312"/>
              </w:rPr>
            </w:pPr>
          </w:p>
        </w:tc>
        <w:tc>
          <w:tcPr>
            <w:tcW w:w="2063" w:type="dxa"/>
            <w:tcBorders>
              <w:tl2br w:val="nil"/>
              <w:tr2bl w:val="nil"/>
            </w:tcBorders>
            <w:vAlign w:val="center"/>
          </w:tcPr>
          <w:p>
            <w:pPr>
              <w:jc w:val="center"/>
              <w:rPr>
                <w:rFonts w:ascii="仿宋_GB2312" w:hAnsi="仿宋_GB2312" w:eastAsia="仿宋_GB2312" w:cs="仿宋_GB2312"/>
              </w:rPr>
            </w:pPr>
          </w:p>
        </w:tc>
        <w:tc>
          <w:tcPr>
            <w:tcW w:w="1483" w:type="dxa"/>
            <w:tcBorders>
              <w:tl2br w:val="nil"/>
              <w:tr2bl w:val="nil"/>
            </w:tcBorders>
            <w:vAlign w:val="center"/>
          </w:tcPr>
          <w:p>
            <w:pPr>
              <w:jc w:val="center"/>
              <w:rPr>
                <w:rFonts w:ascii="仿宋_GB2312" w:hAnsi="仿宋_GB2312" w:eastAsia="仿宋_GB2312" w:cs="仿宋_GB2312"/>
              </w:rPr>
            </w:pPr>
          </w:p>
        </w:tc>
        <w:tc>
          <w:tcPr>
            <w:tcW w:w="543" w:type="dxa"/>
            <w:tcBorders>
              <w:tl2br w:val="nil"/>
              <w:tr2bl w:val="nil"/>
            </w:tcBorders>
            <w:vAlign w:val="center"/>
          </w:tcPr>
          <w:p>
            <w:pPr>
              <w:jc w:val="center"/>
              <w:rPr>
                <w:rFonts w:ascii="仿宋_GB2312" w:hAnsi="仿宋_GB2312" w:eastAsia="仿宋_GB2312" w:cs="仿宋_GB2312"/>
              </w:rPr>
            </w:pPr>
          </w:p>
        </w:tc>
        <w:tc>
          <w:tcPr>
            <w:tcW w:w="488" w:type="dxa"/>
            <w:tcBorders>
              <w:tl2br w:val="nil"/>
              <w:tr2bl w:val="nil"/>
            </w:tcBorders>
            <w:vAlign w:val="center"/>
          </w:tcPr>
          <w:p>
            <w:pPr>
              <w:jc w:val="center"/>
              <w:rPr>
                <w:rFonts w:ascii="仿宋_GB2312" w:hAnsi="仿宋_GB2312" w:eastAsia="仿宋_GB2312" w:cs="仿宋_GB2312"/>
              </w:rPr>
            </w:pPr>
          </w:p>
        </w:tc>
        <w:tc>
          <w:tcPr>
            <w:tcW w:w="573" w:type="dxa"/>
            <w:tcBorders>
              <w:tl2br w:val="nil"/>
              <w:tr2bl w:val="nil"/>
            </w:tcBorders>
            <w:vAlign w:val="center"/>
          </w:tcPr>
          <w:p>
            <w:pPr>
              <w:jc w:val="center"/>
              <w:rPr>
                <w:rFonts w:ascii="仿宋_GB2312" w:hAnsi="仿宋_GB2312" w:eastAsia="仿宋_GB2312" w:cs="仿宋_GB2312"/>
              </w:rPr>
            </w:pPr>
          </w:p>
        </w:tc>
        <w:tc>
          <w:tcPr>
            <w:tcW w:w="1763" w:type="dxa"/>
            <w:tcBorders>
              <w:tl2br w:val="nil"/>
              <w:tr2bl w:val="nil"/>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855"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1006" w:type="dxa"/>
            <w:tcBorders>
              <w:tl2br w:val="nil"/>
              <w:tr2bl w:val="nil"/>
            </w:tcBorders>
            <w:noWrap/>
            <w:vAlign w:val="center"/>
          </w:tcPr>
          <w:p>
            <w:pPr>
              <w:jc w:val="center"/>
              <w:rPr>
                <w:rFonts w:ascii="仿宋_GB2312" w:hAnsi="仿宋_GB2312" w:eastAsia="仿宋_GB2312" w:cs="仿宋_GB2312"/>
              </w:rPr>
            </w:pPr>
          </w:p>
        </w:tc>
        <w:tc>
          <w:tcPr>
            <w:tcW w:w="2063" w:type="dxa"/>
            <w:tcBorders>
              <w:tl2br w:val="nil"/>
              <w:tr2bl w:val="nil"/>
            </w:tcBorders>
            <w:noWrap/>
            <w:vAlign w:val="center"/>
          </w:tcPr>
          <w:p>
            <w:pPr>
              <w:jc w:val="center"/>
              <w:rPr>
                <w:rFonts w:ascii="仿宋_GB2312" w:hAnsi="仿宋_GB2312" w:eastAsia="仿宋_GB2312" w:cs="仿宋_GB2312"/>
              </w:rPr>
            </w:pPr>
          </w:p>
        </w:tc>
        <w:tc>
          <w:tcPr>
            <w:tcW w:w="1483" w:type="dxa"/>
            <w:tcBorders>
              <w:tl2br w:val="nil"/>
              <w:tr2bl w:val="nil"/>
            </w:tcBorders>
            <w:noWrap/>
            <w:vAlign w:val="center"/>
          </w:tcPr>
          <w:p>
            <w:pPr>
              <w:jc w:val="center"/>
              <w:rPr>
                <w:rFonts w:ascii="仿宋_GB2312" w:hAnsi="仿宋_GB2312" w:eastAsia="仿宋_GB2312" w:cs="仿宋_GB2312"/>
              </w:rPr>
            </w:pPr>
          </w:p>
        </w:tc>
        <w:tc>
          <w:tcPr>
            <w:tcW w:w="543" w:type="dxa"/>
            <w:tcBorders>
              <w:tl2br w:val="nil"/>
              <w:tr2bl w:val="nil"/>
            </w:tcBorders>
            <w:vAlign w:val="center"/>
          </w:tcPr>
          <w:p>
            <w:pPr>
              <w:jc w:val="center"/>
              <w:rPr>
                <w:rFonts w:ascii="仿宋_GB2312" w:hAnsi="仿宋_GB2312" w:eastAsia="仿宋_GB2312" w:cs="仿宋_GB2312"/>
              </w:rPr>
            </w:pPr>
          </w:p>
        </w:tc>
        <w:tc>
          <w:tcPr>
            <w:tcW w:w="488" w:type="dxa"/>
            <w:tcBorders>
              <w:tl2br w:val="nil"/>
              <w:tr2bl w:val="nil"/>
            </w:tcBorders>
            <w:vAlign w:val="center"/>
          </w:tcPr>
          <w:p>
            <w:pPr>
              <w:jc w:val="center"/>
              <w:rPr>
                <w:rFonts w:ascii="仿宋_GB2312" w:hAnsi="仿宋_GB2312" w:eastAsia="仿宋_GB2312" w:cs="仿宋_GB2312"/>
              </w:rPr>
            </w:pPr>
          </w:p>
        </w:tc>
        <w:tc>
          <w:tcPr>
            <w:tcW w:w="573" w:type="dxa"/>
            <w:tcBorders>
              <w:tl2br w:val="nil"/>
              <w:tr2bl w:val="nil"/>
            </w:tcBorders>
            <w:vAlign w:val="center"/>
          </w:tcPr>
          <w:p>
            <w:pPr>
              <w:jc w:val="center"/>
              <w:rPr>
                <w:rFonts w:ascii="仿宋_GB2312" w:hAnsi="仿宋_GB2312" w:eastAsia="仿宋_GB2312" w:cs="仿宋_GB2312"/>
              </w:rPr>
            </w:pPr>
          </w:p>
        </w:tc>
        <w:tc>
          <w:tcPr>
            <w:tcW w:w="1763" w:type="dxa"/>
            <w:tcBorders>
              <w:tl2br w:val="nil"/>
              <w:tr2bl w:val="nil"/>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55"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满意度</w:t>
            </w:r>
          </w:p>
        </w:tc>
        <w:tc>
          <w:tcPr>
            <w:tcW w:w="1006"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单位人员满意度</w:t>
            </w:r>
          </w:p>
        </w:tc>
        <w:tc>
          <w:tcPr>
            <w:tcW w:w="2063"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单位人员满意度</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98</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76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满意度调查问卷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方正小标宋简体" w:hAnsi="方正小标宋简体" w:eastAsia="方正小标宋简体" w:cs="方正小标宋简体"/>
          <w:sz w:val="32"/>
        </w:rPr>
      </w:pPr>
      <w:bookmarkStart w:id="1" w:name="_Toc64920910"/>
      <w:r>
        <w:rPr>
          <w:rFonts w:hint="eastAsia" w:ascii="方正小标宋简体" w:hAnsi="方正小标宋简体" w:eastAsia="方正小标宋简体" w:cs="方正小标宋简体"/>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bCs/>
                <w:sz w:val="24"/>
              </w:rPr>
            </w:pPr>
            <w:r>
              <w:rPr>
                <w:rFonts w:hint="eastAsia" w:ascii="黑体" w:hAnsi="黑体" w:eastAsia="黑体" w:cs="黑体"/>
                <w:bCs/>
              </w:rPr>
              <w:t>[375001]</w:t>
            </w:r>
            <w:r>
              <w:rPr>
                <w:rFonts w:hint="eastAsia" w:ascii="黑体" w:hAnsi="黑体" w:eastAsia="黑体" w:cs="黑体"/>
                <w:bCs/>
                <w:sz w:val="24"/>
              </w:rPr>
              <w:t>廊坊市广阳区司法局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bCs/>
                <w:sz w:val="24"/>
              </w:rPr>
            </w:pPr>
            <w:r>
              <w:rPr>
                <w:rFonts w:hint="eastAsia" w:ascii="黑体" w:hAnsi="黑体" w:eastAsia="黑体" w:cs="黑体"/>
                <w:bCs/>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Cs/>
              </w:rPr>
            </w:pPr>
          </w:p>
        </w:tc>
        <w:tc>
          <w:tcPr>
            <w:tcW w:w="1134" w:type="dxa"/>
            <w:shd w:val="clear" w:color="auto" w:fill="auto"/>
            <w:vAlign w:val="center"/>
          </w:tcPr>
          <w:p>
            <w:pPr>
              <w:spacing w:line="300" w:lineRule="exact"/>
              <w:jc w:val="right"/>
              <w:rPr>
                <w:rFonts w:ascii="方正书宋_GBK" w:eastAsia="方正书宋_GBK" w:cs="Times New Roman"/>
                <w:bCs/>
              </w:rPr>
            </w:pPr>
          </w:p>
        </w:tc>
        <w:tc>
          <w:tcPr>
            <w:tcW w:w="1531" w:type="dxa"/>
            <w:shd w:val="clear" w:color="auto" w:fill="auto"/>
            <w:vAlign w:val="center"/>
          </w:tcPr>
          <w:p>
            <w:pPr>
              <w:spacing w:line="300" w:lineRule="exact"/>
              <w:jc w:val="left"/>
              <w:rPr>
                <w:rFonts w:ascii="方正书宋_GBK" w:eastAsia="方正书宋_GBK" w:cs="Times New Roman"/>
                <w:bCs/>
              </w:rPr>
            </w:pPr>
          </w:p>
        </w:tc>
        <w:tc>
          <w:tcPr>
            <w:tcW w:w="1531" w:type="dxa"/>
            <w:shd w:val="clear" w:color="auto" w:fill="auto"/>
            <w:vAlign w:val="center"/>
          </w:tcPr>
          <w:p>
            <w:pPr>
              <w:spacing w:line="300" w:lineRule="exact"/>
              <w:jc w:val="left"/>
              <w:rPr>
                <w:rFonts w:ascii="方正书宋_GBK" w:eastAsia="方正书宋_GBK" w:cs="Times New Roman"/>
                <w:bCs/>
              </w:rPr>
            </w:pPr>
          </w:p>
        </w:tc>
        <w:tc>
          <w:tcPr>
            <w:tcW w:w="709" w:type="dxa"/>
            <w:shd w:val="clear" w:color="auto" w:fill="auto"/>
            <w:vAlign w:val="center"/>
          </w:tcPr>
          <w:p>
            <w:pPr>
              <w:spacing w:line="300" w:lineRule="exact"/>
              <w:jc w:val="center"/>
              <w:rPr>
                <w:rFonts w:ascii="方正书宋_GBK" w:eastAsia="方正书宋_GBK" w:cs="Times New Roman"/>
                <w:bCs/>
              </w:rPr>
            </w:pPr>
          </w:p>
        </w:tc>
        <w:tc>
          <w:tcPr>
            <w:tcW w:w="907" w:type="dxa"/>
            <w:shd w:val="clear" w:color="auto" w:fill="auto"/>
            <w:vAlign w:val="center"/>
          </w:tcPr>
          <w:p>
            <w:pPr>
              <w:spacing w:line="300" w:lineRule="exact"/>
              <w:jc w:val="right"/>
              <w:rPr>
                <w:rFonts w:ascii="方正书宋_GBK" w:eastAsia="方正书宋_GBK" w:cs="Times New Roman"/>
                <w:bCs/>
              </w:rPr>
            </w:pPr>
          </w:p>
        </w:tc>
        <w:tc>
          <w:tcPr>
            <w:tcW w:w="907" w:type="dxa"/>
            <w:shd w:val="clear" w:color="auto" w:fill="auto"/>
            <w:vAlign w:val="center"/>
          </w:tcPr>
          <w:p>
            <w:pPr>
              <w:spacing w:line="300" w:lineRule="exact"/>
              <w:jc w:val="right"/>
              <w:rPr>
                <w:rFonts w:ascii="方正书宋_GBK" w:eastAsia="方正书宋_GBK" w:cs="Times New Roman"/>
                <w:bCs/>
              </w:rPr>
            </w:pPr>
          </w:p>
        </w:tc>
        <w:tc>
          <w:tcPr>
            <w:tcW w:w="1134" w:type="dxa"/>
            <w:shd w:val="clear" w:color="auto" w:fill="auto"/>
            <w:vAlign w:val="center"/>
          </w:tcPr>
          <w:p>
            <w:pPr>
              <w:spacing w:line="300" w:lineRule="exact"/>
              <w:jc w:val="right"/>
              <w:rPr>
                <w:rFonts w:ascii="方正书宋_GBK" w:eastAsia="方正书宋_GBK" w:cs="Times New Roman"/>
                <w:bCs/>
              </w:rPr>
            </w:pPr>
          </w:p>
        </w:tc>
        <w:tc>
          <w:tcPr>
            <w:tcW w:w="1134" w:type="dxa"/>
            <w:shd w:val="clear" w:color="auto" w:fill="auto"/>
            <w:vAlign w:val="center"/>
          </w:tcPr>
          <w:p>
            <w:pPr>
              <w:spacing w:line="300" w:lineRule="exact"/>
              <w:jc w:val="right"/>
              <w:rPr>
                <w:rFonts w:ascii="方正书宋_GBK" w:eastAsia="方正书宋_GBK" w:cs="Times New Roman"/>
                <w:bCs/>
              </w:rPr>
            </w:pPr>
          </w:p>
        </w:tc>
        <w:tc>
          <w:tcPr>
            <w:tcW w:w="1134" w:type="dxa"/>
            <w:shd w:val="clear" w:color="auto" w:fill="auto"/>
            <w:vAlign w:val="center"/>
          </w:tcPr>
          <w:p>
            <w:pPr>
              <w:spacing w:line="300" w:lineRule="exact"/>
              <w:jc w:val="right"/>
              <w:rPr>
                <w:rFonts w:ascii="方正书宋_GBK" w:eastAsia="方正书宋_GBK" w:cs="Times New Roman"/>
                <w:bCs/>
              </w:rPr>
            </w:pPr>
          </w:p>
        </w:tc>
        <w:tc>
          <w:tcPr>
            <w:tcW w:w="1134" w:type="dxa"/>
            <w:shd w:val="clear" w:color="auto" w:fill="auto"/>
            <w:vAlign w:val="center"/>
          </w:tcPr>
          <w:p>
            <w:pPr>
              <w:spacing w:line="300" w:lineRule="exact"/>
              <w:jc w:val="right"/>
              <w:rPr>
                <w:rFonts w:ascii="方正书宋_GBK" w:eastAsia="方正书宋_GBK" w:cs="Times New Roman"/>
                <w:bCs/>
              </w:rPr>
            </w:pPr>
          </w:p>
        </w:tc>
        <w:tc>
          <w:tcPr>
            <w:tcW w:w="1134" w:type="dxa"/>
            <w:shd w:val="clear" w:color="auto" w:fill="auto"/>
            <w:vAlign w:val="center"/>
          </w:tcPr>
          <w:p>
            <w:pPr>
              <w:spacing w:line="300" w:lineRule="exact"/>
              <w:jc w:val="right"/>
              <w:rPr>
                <w:rFonts w:ascii="方正书宋_GBK" w:eastAsia="方正书宋_GBK" w:cs="Times New Roman"/>
                <w:bCs/>
              </w:rPr>
            </w:pPr>
          </w:p>
        </w:tc>
        <w:tc>
          <w:tcPr>
            <w:tcW w:w="1134" w:type="dxa"/>
            <w:shd w:val="clear" w:color="auto" w:fill="auto"/>
            <w:vAlign w:val="center"/>
          </w:tcPr>
          <w:p>
            <w:pPr>
              <w:spacing w:line="300" w:lineRule="exact"/>
              <w:jc w:val="right"/>
              <w:rPr>
                <w:rFonts w:ascii="方正书宋_GBK" w:eastAsia="方正书宋_GBK" w:cs="Times New Roman"/>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广阳区司法局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327.03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总额为0万元，己列入政府采购预算，详见政府采购预算表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广阳区司法局部门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广阳区司法局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327.03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635.5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77.00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635.5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77.00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46.02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204.01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17</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E17B3"/>
    <w:multiLevelType w:val="singleLevel"/>
    <w:tmpl w:val="7FBE17B3"/>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D3B99"/>
    <w:rsid w:val="001D724E"/>
    <w:rsid w:val="002D61D1"/>
    <w:rsid w:val="00301F9F"/>
    <w:rsid w:val="00334713"/>
    <w:rsid w:val="00345778"/>
    <w:rsid w:val="00356683"/>
    <w:rsid w:val="003F3B38"/>
    <w:rsid w:val="00497B3F"/>
    <w:rsid w:val="004A54AA"/>
    <w:rsid w:val="00593973"/>
    <w:rsid w:val="005B03BC"/>
    <w:rsid w:val="00656EBC"/>
    <w:rsid w:val="007360F7"/>
    <w:rsid w:val="00742848"/>
    <w:rsid w:val="00807A76"/>
    <w:rsid w:val="00882755"/>
    <w:rsid w:val="008F0EB4"/>
    <w:rsid w:val="009359BB"/>
    <w:rsid w:val="009F290F"/>
    <w:rsid w:val="00A002D8"/>
    <w:rsid w:val="00A218C6"/>
    <w:rsid w:val="00AE68AE"/>
    <w:rsid w:val="00B02EBE"/>
    <w:rsid w:val="00B17B32"/>
    <w:rsid w:val="00B80935"/>
    <w:rsid w:val="00C6431A"/>
    <w:rsid w:val="00CF2AC3"/>
    <w:rsid w:val="00D347CC"/>
    <w:rsid w:val="00D74F6F"/>
    <w:rsid w:val="00E27CE3"/>
    <w:rsid w:val="00E410B7"/>
    <w:rsid w:val="00E43819"/>
    <w:rsid w:val="00E46921"/>
    <w:rsid w:val="00E8235A"/>
    <w:rsid w:val="06684E62"/>
    <w:rsid w:val="1A622C0D"/>
    <w:rsid w:val="277755D3"/>
    <w:rsid w:val="2EE35389"/>
    <w:rsid w:val="45520DA8"/>
    <w:rsid w:val="54A3157A"/>
    <w:rsid w:val="623E1E68"/>
    <w:rsid w:val="6FD905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1194</Words>
  <Characters>6808</Characters>
  <Lines>56</Lines>
  <Paragraphs>15</Paragraphs>
  <TotalTime>19</TotalTime>
  <ScaleCrop>false</ScaleCrop>
  <LinksUpToDate>false</LinksUpToDate>
  <CharactersWithSpaces>7987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2024-07-19T08:29:52Z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88B8A7A639BE41FFA9A3016B63DBAE76</vt:lpwstr>
  </property>
</Properties>
</file>