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3" w:firstLineChars="200"/>
        <w:jc w:val="center"/>
        <w:rPr>
          <w:rFonts w:ascii="黑体" w:hAnsi="黑体" w:eastAsia="黑体" w:cs="Times New Roman"/>
          <w:b/>
          <w:sz w:val="44"/>
          <w:szCs w:val="44"/>
        </w:rPr>
      </w:pPr>
      <w:bookmarkStart w:id="3" w:name="_GoBack"/>
      <w:r>
        <w:rPr>
          <w:rFonts w:hint="eastAsia" w:ascii="黑体" w:hAnsi="黑体" w:eastAsia="黑体" w:cs="Times New Roman"/>
          <w:b/>
          <w:sz w:val="44"/>
          <w:szCs w:val="44"/>
        </w:rPr>
        <w:t>中国共产党</w:t>
      </w:r>
      <w:r>
        <w:rPr>
          <w:rFonts w:ascii="黑体" w:hAnsi="黑体" w:eastAsia="黑体" w:cs="Times New Roman"/>
          <w:b/>
          <w:sz w:val="44"/>
          <w:szCs w:val="44"/>
        </w:rPr>
        <w:t>廊坊市</w:t>
      </w:r>
      <w:r>
        <w:rPr>
          <w:rFonts w:hint="eastAsia" w:ascii="黑体" w:hAnsi="黑体" w:eastAsia="黑体" w:cs="Times New Roman"/>
          <w:b/>
          <w:sz w:val="44"/>
          <w:szCs w:val="44"/>
        </w:rPr>
        <w:t>广阳区委员会统一战线工作部</w:t>
      </w:r>
    </w:p>
    <w:p>
      <w:pPr>
        <w:spacing w:line="584" w:lineRule="exact"/>
        <w:ind w:firstLine="883" w:firstLineChars="200"/>
        <w:jc w:val="center"/>
        <w:rPr>
          <w:rFonts w:ascii="黑体" w:hAnsi="黑体" w:eastAsia="黑体" w:cs="Times New Roman"/>
          <w:b/>
          <w:sz w:val="44"/>
          <w:szCs w:val="44"/>
        </w:rPr>
      </w:pPr>
      <w:r>
        <w:rPr>
          <w:rFonts w:ascii="黑体" w:hAnsi="黑体" w:eastAsia="黑体" w:cs="Times New Roman"/>
          <w:b/>
          <w:sz w:val="44"/>
          <w:szCs w:val="44"/>
        </w:rPr>
        <w:t>20</w:t>
      </w:r>
      <w:r>
        <w:rPr>
          <w:rFonts w:hint="eastAsia" w:ascii="黑体" w:hAnsi="黑体" w:eastAsia="黑体" w:cs="Times New Roman"/>
          <w:b/>
          <w:sz w:val="44"/>
          <w:szCs w:val="44"/>
        </w:rPr>
        <w:t>21</w:t>
      </w:r>
      <w:r>
        <w:rPr>
          <w:rFonts w:ascii="黑体" w:hAnsi="黑体" w:eastAsia="黑体" w:cs="Times New Roman"/>
          <w:b/>
          <w:sz w:val="44"/>
          <w:szCs w:val="44"/>
        </w:rPr>
        <w:t>年部门预算信息公开</w:t>
      </w:r>
      <w:r>
        <w:rPr>
          <w:rFonts w:hint="eastAsia" w:ascii="黑体" w:hAnsi="黑体" w:eastAsia="黑体" w:cs="Times New Roman"/>
          <w:b/>
          <w:sz w:val="44"/>
          <w:szCs w:val="44"/>
        </w:rPr>
        <w:t>情况说明</w:t>
      </w:r>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广阳区委员会统一战线工作部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4" w:lineRule="exact"/>
        <w:ind w:firstLine="640" w:firstLineChars="200"/>
        <w:rPr>
          <w:rFonts w:ascii="Times New Roman" w:hAnsi="Times New Roman" w:eastAsia="楷体_GB2312" w:cs="Times New Roman"/>
          <w:b/>
          <w:sz w:val="32"/>
          <w:szCs w:val="32"/>
        </w:rPr>
      </w:pPr>
      <w:r>
        <w:rPr>
          <w:rFonts w:ascii="Times New Roman" w:hAnsi="Times New Roman" w:eastAsia="仿宋_GB2312" w:cs="Times New Roman"/>
          <w:sz w:val="32"/>
          <w:szCs w:val="32"/>
        </w:rPr>
        <w:t>贯彻落实加强党对统一战线工作集中统一领导的要求，发挥区委在统战工作方面的参谋机构、组织协机构、具体执行机构、督促检查机构作用；开展统一战线理论、政策研究，及时向区委报告统一战线工作情况并提出建议，协调政府有关部门的统一战线工作；贯彻执行无党派人士工作的方针政策，负责牵头协调无党派人士工作；贯彻落实党的宣传工作方针；贯彻落实中国共产党领导的多党合作和政治协商制度以及对民主党派的方针政策；贯彻落实党的民族工作方针；贯彻落实党的宗教工作基本方针和政策，参与制定、推动落实鼓励支持引导非公有制经济发展的政策措施；贯彻执行党中央、国务院对台工作的方针政策；贯彻落实党的侨务工作方针政策并组织协调、督促检查落实；负责指导各乡镇、街道的统一战线工作及领导班子和领导干部统一战线工作的年度考核；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100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725"/>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725"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725"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725"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中国共产党廊坊市广阳区委员会统一战线工作部</w:t>
            </w:r>
          </w:p>
        </w:tc>
        <w:tc>
          <w:tcPr>
            <w:tcW w:w="1134"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行政单位</w:t>
            </w:r>
          </w:p>
        </w:tc>
        <w:tc>
          <w:tcPr>
            <w:tcW w:w="1276" w:type="dxa"/>
            <w:shd w:val="clear" w:color="auto" w:fill="auto"/>
            <w:vAlign w:val="center"/>
          </w:tcPr>
          <w:p>
            <w:pPr>
              <w:spacing w:line="540" w:lineRule="exact"/>
              <w:jc w:val="center"/>
              <w:rPr>
                <w:rFonts w:ascii="仿宋_GB2312" w:eastAsia="仿宋_GB2312"/>
                <w:szCs w:val="21"/>
              </w:rPr>
            </w:pPr>
            <w:r>
              <w:rPr>
                <w:rFonts w:hint="eastAsia" w:ascii="仿宋_GB2312" w:eastAsia="仿宋_GB2312"/>
                <w:szCs w:val="21"/>
              </w:rPr>
              <w:t>正</w:t>
            </w:r>
            <w:r>
              <w:rPr>
                <w:rFonts w:ascii="仿宋_GB2312" w:eastAsia="仿宋_GB2312"/>
                <w:szCs w:val="21"/>
              </w:rPr>
              <w:t>科</w:t>
            </w:r>
            <w:r>
              <w:rPr>
                <w:rFonts w:hint="eastAsia" w:ascii="仿宋_GB2312" w:eastAsia="仿宋_GB2312"/>
                <w:szCs w:val="21"/>
              </w:rPr>
              <w:t>级</w:t>
            </w:r>
          </w:p>
        </w:tc>
        <w:tc>
          <w:tcPr>
            <w:tcW w:w="2902" w:type="dxa"/>
            <w:shd w:val="clear" w:color="auto" w:fill="auto"/>
            <w:vAlign w:val="center"/>
          </w:tcPr>
          <w:p>
            <w:pPr>
              <w:autoSpaceDE w:val="0"/>
              <w:autoSpaceDN w:val="0"/>
              <w:spacing w:line="540" w:lineRule="exact"/>
              <w:jc w:val="center"/>
              <w:rPr>
                <w:rFonts w:ascii="仿宋_GB2312" w:eastAsia="仿宋_GB2312"/>
                <w:szCs w:val="21"/>
              </w:rPr>
            </w:pPr>
            <w:r>
              <w:rPr>
                <w:rFonts w:hint="eastAsia" w:ascii="仿宋_GB2312" w:eastAsia="仿宋_GB2312"/>
                <w:color w:val="000000"/>
                <w:szCs w:val="21"/>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hint="eastAsia" w:ascii="仿宋_GB2312" w:eastAsia="仿宋_GB2312"/>
          <w:color w:val="000000"/>
          <w:sz w:val="32"/>
          <w:szCs w:val="32"/>
        </w:rPr>
        <w:t>中国共产党廊坊市广阳区委员会统一战线工作部</w:t>
      </w:r>
      <w:r>
        <w:rPr>
          <w:rFonts w:ascii="Times New Roman" w:hAnsi="Times New Roman" w:eastAsia="仿宋_GB2312" w:cs="Times New Roman"/>
          <w:sz w:val="32"/>
          <w:szCs w:val="32"/>
        </w:rPr>
        <w:t>机关</w:t>
      </w:r>
      <w:r>
        <w:rPr>
          <w:rFonts w:hint="eastAsia" w:ascii="Times New Roman" w:hAnsi="Times New Roman" w:eastAsia="仿宋_GB2312" w:cs="Times New Roman"/>
          <w:sz w:val="32"/>
          <w:szCs w:val="32"/>
        </w:rPr>
        <w:t>及所属事业单位</w:t>
      </w:r>
      <w:r>
        <w:rPr>
          <w:rFonts w:ascii="Times New Roman" w:hAnsi="Times New Roman" w:eastAsia="仿宋_GB2312" w:cs="Times New Roman"/>
          <w:sz w:val="32"/>
          <w:szCs w:val="32"/>
        </w:rPr>
        <w:t>的收支包含在部门预算中。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年预算收入232.58万元，其中：一般公共预算收入232.58万元，基金预算收入0万元，财政专户核拨收入0万元，其他来源收入0万元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w:t>
      </w:r>
      <w:r>
        <w:rPr>
          <w:rFonts w:hint="eastAsia" w:ascii="仿宋_GB2312" w:eastAsia="仿宋_GB2312"/>
          <w:color w:val="000000"/>
          <w:sz w:val="32"/>
          <w:szCs w:val="32"/>
        </w:rPr>
        <w:t>中国共产党廊坊市广阳区委员会统一战线工作部</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021年度部门预算中支出预算的总体情况。20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年支出预算232.58万元，其中基本支出212.58万元，包括人员类项目经费189.63万元和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公用项目经费22.95万元；运转类其他及特定目标类项目支出20万元，包括本级支出，主要为</w:t>
      </w:r>
      <w:r>
        <w:rPr>
          <w:rFonts w:hint="eastAsia" w:ascii="Times New Roman" w:hAnsi="Times New Roman" w:eastAsia="仿宋_GB2312" w:cs="Times New Roman"/>
          <w:sz w:val="32"/>
          <w:szCs w:val="32"/>
        </w:rPr>
        <w:t>宗教工作经费等其他支出</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年预算收支安排232.58万元，较20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年预算增加</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4.93万元，其中：基本支出增加</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.26万元，主要为</w:t>
      </w:r>
      <w:r>
        <w:rPr>
          <w:rFonts w:hint="eastAsia" w:ascii="Times New Roman" w:hAnsi="Times New Roman" w:eastAsia="仿宋_GB2312" w:cs="Times New Roman"/>
          <w:sz w:val="32"/>
          <w:szCs w:val="32"/>
        </w:rPr>
        <w:t>工资福利</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0万元，主要为</w:t>
      </w:r>
      <w:r>
        <w:rPr>
          <w:rFonts w:hint="eastAsia" w:ascii="Times New Roman" w:hAnsi="Times New Roman" w:eastAsia="仿宋_GB2312" w:cs="Times New Roman"/>
          <w:sz w:val="32"/>
          <w:szCs w:val="32"/>
        </w:rPr>
        <w:t>宗教</w:t>
      </w:r>
      <w:r>
        <w:rPr>
          <w:rFonts w:ascii="Times New Roman" w:hAnsi="Times New Roman" w:eastAsia="仿宋_GB2312" w:cs="Times New Roman"/>
          <w:sz w:val="32"/>
          <w:szCs w:val="32"/>
        </w:rPr>
        <w:t>项目支出。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w:t>
      </w:r>
      <w:r>
        <w:rPr>
          <w:rFonts w:ascii="Times New Roman" w:hAnsi="Times New Roman" w:eastAsia="仿宋_GB2312" w:cs="Times New Roman"/>
          <w:sz w:val="32"/>
          <w:szCs w:val="32"/>
        </w:rPr>
        <w:t>机关运行经费共计安排22.95万元，主要用于</w:t>
      </w:r>
      <w:r>
        <w:rPr>
          <w:rFonts w:hint="eastAsia" w:ascii="Times New Roman" w:hAnsi="Times New Roman" w:eastAsia="仿宋_GB2312" w:cs="Times New Roman"/>
          <w:sz w:val="32"/>
          <w:szCs w:val="32"/>
        </w:rPr>
        <w:t>中国共产党廊坊市广阳区委员会统一战线工作部</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640" w:firstLineChars="200"/>
        <w:jc w:val="left"/>
        <w:rPr>
          <w:rFonts w:ascii="黑体" w:hAnsi="黑体" w:eastAsia="黑体" w:cs="黑体"/>
          <w:bCs/>
          <w:sz w:val="32"/>
          <w:szCs w:val="32"/>
        </w:rPr>
      </w:pPr>
      <w:r>
        <w:rPr>
          <w:rFonts w:hint="eastAsia" w:ascii="黑体" w:hAnsi="黑体" w:eastAsia="黑体" w:cs="黑体"/>
          <w:bCs/>
          <w:sz w:val="32"/>
          <w:szCs w:val="32"/>
        </w:rPr>
        <w:t>四、财政拨款“三公”经费预算情况及增减变化原因</w:t>
      </w:r>
    </w:p>
    <w:p>
      <w:pPr>
        <w:autoSpaceDE w:val="0"/>
        <w:autoSpaceDN w:val="0"/>
        <w:adjustRightInd w:val="0"/>
        <w:spacing w:line="584" w:lineRule="exact"/>
        <w:ind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年，我</w:t>
      </w:r>
      <w:r>
        <w:rPr>
          <w:rFonts w:hint="eastAsia" w:ascii="Times New Roman" w:hAnsi="Times New Roman" w:eastAsia="仿宋_GB2312" w:cs="Times New Roman"/>
          <w:sz w:val="32"/>
          <w:szCs w:val="32"/>
        </w:rPr>
        <w:t>部</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.38万元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.38万元（其中：公务用车购置费为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.38万元)；公务接待费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20</w:t>
      </w:r>
      <w:r>
        <w:rPr>
          <w:rFonts w:ascii="Times New Roman" w:hAnsi="Times New Roman" w:eastAsia="仿宋_GB2312" w:cs="Times New Roman"/>
          <w:sz w:val="32"/>
          <w:szCs w:val="32"/>
        </w:rPr>
        <w:t>年相比持平，无增减变化。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五、绩效预算信息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坚持以习近平总书记关于加强和改进统一战线工作的重要思想为指导，深入学习贯彻党的十九届四中全会精神，以坚持大统战工作格局为牵引，在创新统战工作体制机制和解决统一战线领域突出问题上力争有所突破，为建设经济强省、美丽河北汇聚广泛的力量支持。</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建立及时掌握思想动态的工作机制。省委统战部定期不定期地同有关部门党委党组、高校党委、行业协会党组织进行协商，分析研判不同领域、不同群体党外知识分子的思想动态，有的放矢地确立教育和引导的主题，不断增强政治引领和思想引导的针对性和实效性。</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建立健全党外人士理论学习长效机制。在明确教育引导的主题后，各方面的党组织都以主题活动为牵引，不断把理论学习引向深入，引导广大统一战线成员不断增进对习近平新时代中国特色社会主义思想的政治认同、思想认同、情感认同。</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健全和完善对统一战线成员的政治培训机制。统战部门制定年度培训计划，逐步扩大政治培训的覆盖面，对党派成员和党外干部、分布在各行业和新的社会阶层中的党外知识分子、宗教界相关人士等进行培训。</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继续动员统一战线各方面资源、组织各方面力量，参与脱贫攻坚、参与新动能的培育、参与企业的转型升级，壮大推进高质量发展的力量。</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加强同不同领域、不同层面统一战线成员的协商，把各方面思想统一到省市区委决策部署上来。密切关注统一战线领域的思想动态，采取有效的方式方法，积极化解矛盾纠纷、理顺社会情绪、协调社会关系。</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1、巩固多党合作，推动多党合作政治协商事业发展。</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绩效目标：完善与各民主党派政治协商制度，联系各民主党派成员，通报情况、反映意见，推动多党合作政治协商事业发展。</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绩效指标：年度内完成与各民主党派政治协商次数不低于1次。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2、促进非公有制经济健康发展和非公有制经济人士健康成长。</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绩效目标：联系、培养民营经济代表人士，开展思想政治工作，适时召开民营经济领域统战工作会议或研讨会议、指导民营企业党组织做好企业内部统战工作。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绩效指标：完成并实施贯彻落实上级关于民营经济统战工作文件精神实施意见，举办政企沟通交流会次数不低于1次。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3、加强党外知识分子统战工作。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进一步加强与各领域的党外知识分子和新的社会阶层人士组织联谊交友，强化思想政治引领，创新工作方法，充分发挥作用。有重点地开展部分群体思想状况、关注重点、愿望期盼和利益诉求的调查研究。</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绩效指标：定期不定期召集不同领域党外知识分子召开座谈、协商等会议不低于2次。调研了解各地各领域党外知识分子和新的社会阶层人士情况不低于2次。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4、加强党外代表人士队伍建设。</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加强党外代表人士的发现培养工作，提高党外代表人士的实践能力、履职本领和参政议政水平。深化省领导与党外代表人士联谊交友活动，定期走访看望，谈心交流，主动解忧帮困，密切与各领域党外代表人士的联系。</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绩效指标：加强与党外代表人士的联谊沟通，定期走访看望，谈心交流次数不低于1次。</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5、推动侨务管理工作。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绩效目标：做好海外侨胞的基础性工作，摸清底数。加强对侨务工作的调研，加强与海外华侨华人及社团的联系。</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绩效指标：完成年度侨务工作调研不低于1次。</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建立健全统战领域预算绩效管理的路径和制度体系。成立由部主要领导同志任组长的预算绩效工作领导小组，建立统筹协调、分工协作、密切配合、合力推进的工作机制。围绕年度总体绩效目标和分类绩效目标，细化工作方案，明确责任主体、实施进度要求，确保如期完成。</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2、强化预算编制。按照部门预算的要求，认真编制预算方案。做到有预算安排、有支出标准、有制度依据，维护预算的严肃性和权威性。严格按《预算法》的规定，进一步做细、做实、做准预算，为预算执行打下良好基础，提高预算到位率，切实把预算细化到部门，细化到基层单位，细化到具体项目。</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部门预算支出结构，创新财政资金支出思路，合理改进支出方式，确保按照时间节点完成支出任务。</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overflowPunct w:val="0"/>
        <w:adjustRightInd w:val="0"/>
        <w:snapToGrid w:val="0"/>
        <w:spacing w:afterLines="50" w:line="580" w:lineRule="exact"/>
        <w:ind w:firstLine="627" w:firstLineChars="196"/>
        <w:jc w:val="left"/>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结统战系统预算绩效管理成效，营造良好的舆论氛围。积极采取购买服务等方式，提升预算绩效管理科学水平。</w:t>
      </w:r>
    </w:p>
    <w:p>
      <w:pPr>
        <w:overflowPunct w:val="0"/>
        <w:adjustRightInd w:val="0"/>
        <w:snapToGrid w:val="0"/>
        <w:spacing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88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558"/>
        <w:gridCol w:w="825"/>
        <w:gridCol w:w="897"/>
        <w:gridCol w:w="825"/>
        <w:gridCol w:w="2830"/>
        <w:gridCol w:w="543"/>
        <w:gridCol w:w="488"/>
        <w:gridCol w:w="816"/>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558"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一级指标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二级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97"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三级</w:t>
            </w:r>
          </w:p>
          <w:p>
            <w:pPr>
              <w:widowControl/>
              <w:adjustRightInd w:val="0"/>
              <w:snapToGrid w:val="0"/>
              <w:jc w:val="center"/>
              <w:rPr>
                <w:rFonts w:ascii="黑体" w:hAnsi="黑体" w:eastAsia="黑体" w:cs="黑体"/>
                <w:bCs/>
              </w:rPr>
            </w:pPr>
            <w:r>
              <w:rPr>
                <w:rFonts w:hint="eastAsia" w:ascii="黑体" w:hAnsi="黑体" w:eastAsia="黑体" w:cs="黑体"/>
                <w:bCs/>
              </w:rPr>
              <w:t>指标</w:t>
            </w:r>
          </w:p>
        </w:tc>
        <w:tc>
          <w:tcPr>
            <w:tcW w:w="825"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评（扣）分标准</w:t>
            </w:r>
          </w:p>
        </w:tc>
        <w:tc>
          <w:tcPr>
            <w:tcW w:w="2830"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绩效指标</w:t>
            </w:r>
          </w:p>
          <w:p>
            <w:pPr>
              <w:widowControl/>
              <w:adjustRightInd w:val="0"/>
              <w:snapToGrid w:val="0"/>
              <w:jc w:val="center"/>
              <w:rPr>
                <w:rFonts w:ascii="黑体" w:hAnsi="黑体" w:eastAsia="黑体" w:cs="黑体"/>
                <w:bCs/>
              </w:rPr>
            </w:pPr>
            <w:r>
              <w:rPr>
                <w:rFonts w:hint="eastAsia" w:ascii="黑体" w:hAnsi="黑体" w:eastAsia="黑体" w:cs="黑体"/>
                <w:bCs/>
              </w:rPr>
              <w:t>描述</w:t>
            </w:r>
          </w:p>
        </w:tc>
        <w:tc>
          <w:tcPr>
            <w:tcW w:w="1847" w:type="dxa"/>
            <w:gridSpan w:val="3"/>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tc>
        <w:tc>
          <w:tcPr>
            <w:tcW w:w="1034" w:type="dxa"/>
            <w:vMerge w:val="restart"/>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指标值</w:t>
            </w:r>
          </w:p>
          <w:p>
            <w:pPr>
              <w:widowControl/>
              <w:adjustRightInd w:val="0"/>
              <w:snapToGrid w:val="0"/>
              <w:jc w:val="center"/>
              <w:rPr>
                <w:rFonts w:ascii="黑体" w:hAnsi="黑体" w:eastAsia="黑体" w:cs="黑体"/>
                <w:bCs/>
              </w:rPr>
            </w:pPr>
            <w:r>
              <w:rPr>
                <w:rFonts w:hint="eastAsia" w:ascii="黑体" w:hAnsi="黑体" w:eastAsia="黑体" w:cs="黑体"/>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558" w:type="dxa"/>
            <w:vMerge w:val="continue"/>
            <w:tcBorders>
              <w:tl2br w:val="nil"/>
              <w:tr2bl w:val="nil"/>
            </w:tcBorders>
            <w:vAlign w:val="center"/>
          </w:tcPr>
          <w:p/>
        </w:tc>
        <w:tc>
          <w:tcPr>
            <w:tcW w:w="825" w:type="dxa"/>
            <w:vMerge w:val="continue"/>
            <w:tcBorders>
              <w:tl2br w:val="nil"/>
              <w:tr2bl w:val="nil"/>
            </w:tcBorders>
            <w:vAlign w:val="center"/>
          </w:tcPr>
          <w:p/>
        </w:tc>
        <w:tc>
          <w:tcPr>
            <w:tcW w:w="897" w:type="dxa"/>
            <w:vMerge w:val="continue"/>
            <w:tcBorders>
              <w:tl2br w:val="nil"/>
              <w:tr2bl w:val="nil"/>
            </w:tcBorders>
            <w:vAlign w:val="center"/>
          </w:tcPr>
          <w:p/>
        </w:tc>
        <w:tc>
          <w:tcPr>
            <w:tcW w:w="825" w:type="dxa"/>
            <w:vMerge w:val="continue"/>
            <w:tcBorders>
              <w:tl2br w:val="nil"/>
              <w:tr2bl w:val="nil"/>
            </w:tcBorders>
            <w:vAlign w:val="center"/>
          </w:tcPr>
          <w:p/>
        </w:tc>
        <w:tc>
          <w:tcPr>
            <w:tcW w:w="2830" w:type="dxa"/>
            <w:vMerge w:val="continue"/>
            <w:tcBorders>
              <w:tl2br w:val="nil"/>
              <w:tr2bl w:val="nil"/>
            </w:tcBorders>
            <w:vAlign w:val="center"/>
          </w:tcPr>
          <w:p/>
        </w:tc>
        <w:tc>
          <w:tcPr>
            <w:tcW w:w="543"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符号</w:t>
            </w:r>
          </w:p>
        </w:tc>
        <w:tc>
          <w:tcPr>
            <w:tcW w:w="488"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值</w:t>
            </w:r>
          </w:p>
        </w:tc>
        <w:tc>
          <w:tcPr>
            <w:tcW w:w="816" w:type="dxa"/>
            <w:tcBorders>
              <w:tl2br w:val="nil"/>
              <w:tr2bl w:val="nil"/>
            </w:tcBorders>
            <w:vAlign w:val="center"/>
          </w:tcPr>
          <w:p>
            <w:pPr>
              <w:widowControl/>
              <w:adjustRightInd w:val="0"/>
              <w:snapToGrid w:val="0"/>
              <w:jc w:val="center"/>
              <w:rPr>
                <w:rFonts w:ascii="黑体" w:hAnsi="黑体" w:eastAsia="黑体" w:cs="黑体"/>
                <w:bCs/>
              </w:rPr>
            </w:pPr>
            <w:r>
              <w:rPr>
                <w:rFonts w:hint="eastAsia" w:ascii="黑体" w:hAnsi="黑体" w:eastAsia="黑体" w:cs="黑体"/>
                <w:bCs/>
              </w:rPr>
              <w:t>单位</w:t>
            </w:r>
          </w:p>
        </w:tc>
        <w:tc>
          <w:tcPr>
            <w:tcW w:w="1034" w:type="dxa"/>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558" w:type="dxa"/>
            <w:vMerge w:val="restart"/>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部门产出</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数量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完成率</w:t>
            </w:r>
          </w:p>
        </w:tc>
        <w:tc>
          <w:tcPr>
            <w:tcW w:w="825" w:type="dxa"/>
            <w:tcBorders>
              <w:tl2br w:val="nil"/>
              <w:tr2bl w:val="nil"/>
            </w:tcBorders>
            <w:vAlign w:val="center"/>
          </w:tcPr>
          <w:p>
            <w:pPr>
              <w:widowControl/>
              <w:adjustRightInd w:val="0"/>
              <w:snapToGrid w:val="0"/>
              <w:spacing w:line="320" w:lineRule="exact"/>
              <w:jc w:val="center"/>
              <w:rPr>
                <w:rFonts w:ascii="仿宋_GB2312" w:hAnsi="仿宋_GB2312" w:eastAsia="仿宋_GB2312" w:cs="仿宋_GB2312"/>
              </w:rPr>
            </w:pPr>
            <w:r>
              <w:rPr>
                <w:rFonts w:hint="eastAsia" w:ascii="仿宋_GB2312" w:hAnsi="仿宋_GB2312" w:eastAsia="仿宋_GB2312" w:cs="仿宋_GB2312"/>
              </w:rPr>
              <w:t>20分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按照要求和计划完成研究任务的项目在所有立项项目中的比例（百分比）</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85</w:t>
            </w: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按照市委统战部任务目标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质量</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开展外宣活动数量</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反应开展外宣活动情况</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3</w:t>
            </w: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次</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按照市委统战部任务目标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558" w:type="dxa"/>
            <w:vMerge w:val="continue"/>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时效</w:t>
            </w:r>
          </w:p>
        </w:tc>
        <w:tc>
          <w:tcPr>
            <w:tcW w:w="897"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资金发放完成时间</w:t>
            </w:r>
          </w:p>
        </w:tc>
        <w:tc>
          <w:tcPr>
            <w:tcW w:w="825"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规定时间内完成各项资金发放</w:t>
            </w:r>
          </w:p>
        </w:tc>
        <w:tc>
          <w:tcPr>
            <w:tcW w:w="543"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12</w:t>
            </w:r>
          </w:p>
        </w:tc>
        <w:tc>
          <w:tcPr>
            <w:tcW w:w="816"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月</w:t>
            </w:r>
          </w:p>
        </w:tc>
        <w:tc>
          <w:tcPr>
            <w:tcW w:w="1034" w:type="dxa"/>
            <w:tcBorders>
              <w:tl2br w:val="nil"/>
              <w:tr2bl w:val="nil"/>
            </w:tcBorders>
            <w:vAlign w:val="center"/>
          </w:tcPr>
          <w:p>
            <w:pPr>
              <w:widowControl/>
              <w:adjustRightInd w:val="0"/>
              <w:snapToGrid w:val="0"/>
              <w:jc w:val="center"/>
              <w:rPr>
                <w:rFonts w:ascii="仿宋_GB2312" w:hAnsi="仿宋_GB2312" w:eastAsia="仿宋_GB2312" w:cs="仿宋_GB2312"/>
              </w:rPr>
            </w:pPr>
            <w:r>
              <w:rPr>
                <w:rFonts w:hint="eastAsia" w:ascii="仿宋_GB2312" w:hAnsi="仿宋_GB2312" w:eastAsia="仿宋_GB2312" w:cs="仿宋_GB2312"/>
              </w:rPr>
              <w:t>按照年初工作计划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成本</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控制成本</w:t>
            </w: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20分</w:t>
            </w:r>
          </w:p>
        </w:tc>
        <w:tc>
          <w:tcPr>
            <w:tcW w:w="2830"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按照年初预算安排控制各项工作成本</w:t>
            </w: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816" w:type="dxa"/>
            <w:tcBorders>
              <w:tl2br w:val="nil"/>
              <w:tr2bl w:val="nil"/>
            </w:tcBorders>
            <w:vAlign w:val="center"/>
          </w:tcPr>
          <w:p>
            <w:pPr>
              <w:jc w:val="center"/>
              <w:rPr>
                <w:rFonts w:ascii="仿宋_GB2312" w:hAnsi="仿宋_GB2312" w:eastAsia="仿宋_GB2312" w:cs="仿宋_GB2312"/>
              </w:rPr>
            </w:pPr>
          </w:p>
        </w:tc>
        <w:tc>
          <w:tcPr>
            <w:tcW w:w="103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restart"/>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部门效果</w:t>
            </w: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社会稳定水平</w:t>
            </w: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稳步推进社会稳定水平，确保辖区宗教和谐稳定</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jc w:val="center"/>
              <w:rPr>
                <w:rFonts w:ascii="仿宋_GB2312" w:hAnsi="仿宋_GB2312" w:eastAsia="仿宋_GB2312" w:cs="仿宋_GB2312"/>
              </w:rPr>
            </w:pPr>
          </w:p>
        </w:tc>
        <w:tc>
          <w:tcPr>
            <w:tcW w:w="81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稳步有序推进</w:t>
            </w:r>
          </w:p>
        </w:tc>
        <w:tc>
          <w:tcPr>
            <w:tcW w:w="103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按照市委统战部任务目标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经济</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p>
        </w:tc>
        <w:tc>
          <w:tcPr>
            <w:tcW w:w="2830" w:type="dxa"/>
            <w:tcBorders>
              <w:tl2br w:val="nil"/>
              <w:tr2bl w:val="nil"/>
            </w:tcBorders>
            <w:vAlign w:val="center"/>
          </w:tcPr>
          <w:p>
            <w:pPr>
              <w:jc w:val="center"/>
              <w:rPr>
                <w:rFonts w:ascii="仿宋_GB2312" w:hAnsi="仿宋_GB2312" w:eastAsia="仿宋_GB2312" w:cs="仿宋_GB2312"/>
              </w:rPr>
            </w:pP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816" w:type="dxa"/>
            <w:tcBorders>
              <w:tl2br w:val="nil"/>
              <w:tr2bl w:val="nil"/>
            </w:tcBorders>
            <w:vAlign w:val="center"/>
          </w:tcPr>
          <w:p>
            <w:pPr>
              <w:jc w:val="center"/>
              <w:rPr>
                <w:rFonts w:ascii="仿宋_GB2312" w:hAnsi="仿宋_GB2312" w:eastAsia="仿宋_GB2312" w:cs="仿宋_GB2312"/>
              </w:rPr>
            </w:pPr>
          </w:p>
        </w:tc>
        <w:tc>
          <w:tcPr>
            <w:tcW w:w="1034"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生态</w:t>
            </w:r>
          </w:p>
          <w:p>
            <w:pPr>
              <w:jc w:val="center"/>
              <w:rPr>
                <w:rFonts w:ascii="仿宋_GB2312" w:hAnsi="仿宋_GB2312" w:eastAsia="仿宋_GB2312" w:cs="仿宋_GB2312"/>
              </w:rPr>
            </w:pPr>
            <w:r>
              <w:rPr>
                <w:rFonts w:hint="eastAsia" w:ascii="仿宋_GB2312" w:hAnsi="仿宋_GB2312" w:eastAsia="仿宋_GB2312" w:cs="仿宋_GB2312"/>
              </w:rPr>
              <w:t>效益</w:t>
            </w:r>
          </w:p>
        </w:tc>
        <w:tc>
          <w:tcPr>
            <w:tcW w:w="897" w:type="dxa"/>
            <w:tcBorders>
              <w:tl2br w:val="nil"/>
              <w:tr2bl w:val="nil"/>
            </w:tcBorders>
            <w:vAlign w:val="center"/>
          </w:tcPr>
          <w:p>
            <w:pPr>
              <w:jc w:val="cente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p>
        </w:tc>
        <w:tc>
          <w:tcPr>
            <w:tcW w:w="2830" w:type="dxa"/>
            <w:tcBorders>
              <w:tl2br w:val="nil"/>
              <w:tr2bl w:val="nil"/>
            </w:tcBorders>
            <w:vAlign w:val="center"/>
          </w:tcPr>
          <w:p>
            <w:pPr>
              <w:jc w:val="center"/>
              <w:rPr>
                <w:rFonts w:ascii="仿宋_GB2312" w:hAnsi="仿宋_GB2312" w:eastAsia="仿宋_GB2312" w:cs="仿宋_GB2312"/>
              </w:rPr>
            </w:pPr>
          </w:p>
        </w:tc>
        <w:tc>
          <w:tcPr>
            <w:tcW w:w="543" w:type="dxa"/>
            <w:tcBorders>
              <w:tl2br w:val="nil"/>
              <w:tr2bl w:val="nil"/>
            </w:tcBorders>
            <w:vAlign w:val="center"/>
          </w:tcPr>
          <w:p>
            <w:pPr>
              <w:jc w:val="center"/>
              <w:rPr>
                <w:rFonts w:ascii="仿宋_GB2312" w:hAnsi="仿宋_GB2312" w:eastAsia="仿宋_GB2312" w:cs="仿宋_GB2312"/>
              </w:rPr>
            </w:pPr>
          </w:p>
        </w:tc>
        <w:tc>
          <w:tcPr>
            <w:tcW w:w="488" w:type="dxa"/>
            <w:tcBorders>
              <w:tl2br w:val="nil"/>
              <w:tr2bl w:val="nil"/>
            </w:tcBorders>
            <w:vAlign w:val="center"/>
          </w:tcPr>
          <w:p>
            <w:pPr>
              <w:jc w:val="center"/>
              <w:rPr>
                <w:rFonts w:ascii="仿宋_GB2312" w:hAnsi="仿宋_GB2312" w:eastAsia="仿宋_GB2312" w:cs="仿宋_GB2312"/>
              </w:rPr>
            </w:pPr>
          </w:p>
        </w:tc>
        <w:tc>
          <w:tcPr>
            <w:tcW w:w="816" w:type="dxa"/>
            <w:tcBorders>
              <w:tl2br w:val="nil"/>
              <w:tr2bl w:val="nil"/>
            </w:tcBorders>
            <w:vAlign w:val="center"/>
          </w:tcPr>
          <w:p>
            <w:pPr>
              <w:jc w:val="center"/>
              <w:rPr>
                <w:rFonts w:ascii="仿宋_GB2312" w:hAnsi="仿宋_GB2312" w:eastAsia="仿宋_GB2312" w:cs="仿宋_GB2312"/>
              </w:rPr>
            </w:pPr>
          </w:p>
        </w:tc>
        <w:tc>
          <w:tcPr>
            <w:tcW w:w="1034" w:type="dxa"/>
            <w:tcBorders>
              <w:tl2br w:val="nil"/>
              <w:tr2bl w:val="nil"/>
            </w:tcBorders>
            <w:vAlign w:val="center"/>
          </w:tcPr>
          <w:p>
            <w:pPr>
              <w:jc w:val="center"/>
              <w:rPr>
                <w:rFonts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可持续影响</w:t>
            </w:r>
          </w:p>
        </w:tc>
        <w:tc>
          <w:tcPr>
            <w:tcW w:w="897"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长期使用性</w:t>
            </w:r>
          </w:p>
        </w:tc>
        <w:tc>
          <w:tcPr>
            <w:tcW w:w="825"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10分</w:t>
            </w:r>
          </w:p>
        </w:tc>
        <w:tc>
          <w:tcPr>
            <w:tcW w:w="2830"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能够长期较好地开展统战工作，更好的服务人民群众的需求。</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文字描述</w:t>
            </w:r>
          </w:p>
        </w:tc>
        <w:tc>
          <w:tcPr>
            <w:tcW w:w="488" w:type="dxa"/>
            <w:tcBorders>
              <w:tl2br w:val="nil"/>
              <w:tr2bl w:val="nil"/>
            </w:tcBorders>
            <w:vAlign w:val="center"/>
          </w:tcPr>
          <w:p>
            <w:pPr>
              <w:jc w:val="center"/>
              <w:rPr>
                <w:rFonts w:ascii="仿宋_GB2312" w:hAnsi="仿宋_GB2312" w:eastAsia="仿宋_GB2312" w:cs="仿宋_GB2312"/>
              </w:rPr>
            </w:pPr>
          </w:p>
        </w:tc>
        <w:tc>
          <w:tcPr>
            <w:tcW w:w="81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长期较好的开展统战工作</w:t>
            </w:r>
          </w:p>
        </w:tc>
        <w:tc>
          <w:tcPr>
            <w:tcW w:w="103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按照市委统战部任务目标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558" w:type="dxa"/>
            <w:vMerge w:val="continue"/>
            <w:tcBorders>
              <w:tl2br w:val="nil"/>
              <w:tr2bl w:val="nil"/>
            </w:tcBorders>
            <w:vAlign w:val="center"/>
          </w:tcPr>
          <w:p>
            <w:pPr>
              <w:rPr>
                <w:rFonts w:ascii="仿宋_GB2312" w:hAnsi="仿宋_GB2312" w:eastAsia="仿宋_GB2312" w:cs="仿宋_GB2312"/>
              </w:rPr>
            </w:pPr>
          </w:p>
        </w:tc>
        <w:tc>
          <w:tcPr>
            <w:tcW w:w="825"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满意度</w:t>
            </w:r>
          </w:p>
        </w:tc>
        <w:tc>
          <w:tcPr>
            <w:tcW w:w="897"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群众满意度</w:t>
            </w:r>
          </w:p>
        </w:tc>
        <w:tc>
          <w:tcPr>
            <w:tcW w:w="825"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20分</w:t>
            </w:r>
          </w:p>
        </w:tc>
        <w:tc>
          <w:tcPr>
            <w:tcW w:w="2830" w:type="dxa"/>
            <w:tcBorders>
              <w:tl2br w:val="nil"/>
              <w:tr2bl w:val="nil"/>
            </w:tcBorders>
            <w:noWrap/>
            <w:vAlign w:val="center"/>
          </w:tcPr>
          <w:p>
            <w:pPr>
              <w:jc w:val="center"/>
              <w:rPr>
                <w:rFonts w:ascii="仿宋_GB2312" w:hAnsi="仿宋_GB2312" w:eastAsia="仿宋_GB2312" w:cs="仿宋_GB2312"/>
              </w:rPr>
            </w:pPr>
            <w:r>
              <w:rPr>
                <w:rFonts w:hint="eastAsia" w:ascii="仿宋_GB2312" w:hAnsi="仿宋_GB2312" w:eastAsia="仿宋_GB2312" w:cs="仿宋_GB2312"/>
              </w:rPr>
              <w:t>群众满意数量占总数的比例</w:t>
            </w:r>
          </w:p>
        </w:tc>
        <w:tc>
          <w:tcPr>
            <w:tcW w:w="543"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488"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80</w:t>
            </w:r>
          </w:p>
        </w:tc>
        <w:tc>
          <w:tcPr>
            <w:tcW w:w="816"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w:t>
            </w:r>
          </w:p>
        </w:tc>
        <w:tc>
          <w:tcPr>
            <w:tcW w:w="1034" w:type="dxa"/>
            <w:tcBorders>
              <w:tl2br w:val="nil"/>
              <w:tr2bl w:val="nil"/>
            </w:tcBorders>
            <w:vAlign w:val="center"/>
          </w:tcPr>
          <w:p>
            <w:pPr>
              <w:jc w:val="center"/>
              <w:rPr>
                <w:rFonts w:ascii="仿宋_GB2312" w:hAnsi="仿宋_GB2312" w:eastAsia="仿宋_GB2312" w:cs="仿宋_GB2312"/>
              </w:rPr>
            </w:pPr>
            <w:r>
              <w:rPr>
                <w:rFonts w:hint="eastAsia" w:ascii="仿宋_GB2312" w:hAnsi="仿宋_GB2312" w:eastAsia="仿宋_GB2312" w:cs="仿宋_GB2312"/>
              </w:rPr>
              <w:t>按照市委统战部任务目标</w:t>
            </w:r>
          </w:p>
        </w:tc>
      </w:tr>
    </w:tbl>
    <w:p>
      <w:pPr>
        <w:spacing w:line="584" w:lineRule="exact"/>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宗教工作经费</w:t>
      </w:r>
      <w:r>
        <w:rPr>
          <w:rFonts w:ascii="Times New Roman" w:hAnsi="Times New Roman" w:eastAsia="仿宋_GB2312" w:cs="Times New Roman"/>
          <w:sz w:val="28"/>
        </w:rPr>
        <w:t>绩效目标表</w:t>
      </w:r>
      <w:bookmarkStart w:id="0" w:name="_Toc29799657"/>
      <w:bookmarkEnd w:id="0"/>
      <w:r>
        <w:rPr>
          <w:rFonts w:ascii="Times New Roman" w:hAnsi="Times New Roman" w:eastAsia="仿宋_GB2312" w:cs="Times New Roman"/>
          <w:vanish/>
          <w:sz w:val="28"/>
        </w:rPr>
        <w:t>{ TC 2、办公自动化（OA）和督查督办系统升级及推广费绩效目标表 \f C \l 1 }</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rPr>
                <w:rFonts w:ascii="Times New Roman" w:hAnsi="Times New Roman" w:eastAsia="仿宋_GB2312" w:cs="Times New Roman"/>
              </w:rPr>
            </w:pPr>
            <w:r>
              <w:rPr>
                <w:rFonts w:hint="eastAsia" w:ascii="Times New Roman" w:hAnsi="Times New Roman" w:eastAsia="仿宋_GB2312" w:cs="Times New Roman"/>
              </w:rPr>
              <w:t>1.全面提升我区宗教工作管理水平</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2.宗教事务管理工作步入制度化、规范化、法制化轨道</w:t>
            </w:r>
          </w:p>
          <w:p>
            <w:pPr>
              <w:spacing w:line="300" w:lineRule="exact"/>
              <w:rPr>
                <w:rFonts w:ascii="Times New Roman" w:hAnsi="Times New Roman" w:eastAsia="仿宋_GB2312" w:cs="Times New Roman"/>
              </w:rPr>
            </w:pPr>
            <w:r>
              <w:rPr>
                <w:rFonts w:hint="eastAsia" w:ascii="Times New Roman" w:hAnsi="Times New Roman" w:eastAsia="仿宋_GB2312" w:cs="Times New Roman"/>
              </w:rPr>
              <w:t>3.实现把宗教由管得住向管得好转变的目标任务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产出指标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rPr>
              <w:t>数量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信息准确率</w:t>
            </w:r>
          </w:p>
        </w:tc>
        <w:tc>
          <w:tcPr>
            <w:tcW w:w="3402" w:type="dxa"/>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准确信息占全部信息数量的比率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80</w:t>
            </w:r>
            <w:r>
              <w:rPr>
                <w:rFonts w:hint="eastAsia" w:ascii="仿宋_GB2312" w:hAnsi="仿宋_GB2312" w:eastAsia="仿宋_GB2312" w:cs="仿宋_GB2312"/>
              </w:rPr>
              <w:tab/>
            </w:r>
            <w:r>
              <w:rPr>
                <w:rFonts w:hint="eastAsia" w:ascii="仿宋_GB2312" w:hAnsi="仿宋_GB2312" w:eastAsia="仿宋_GB2312" w:cs="仿宋_GB2312"/>
              </w:rPr>
              <w:t>%</w:t>
            </w:r>
          </w:p>
        </w:tc>
        <w:tc>
          <w:tcPr>
            <w:tcW w:w="2155"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廊办秘传【2021】1号关于开展宗教活动专项治理工作的通知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质量</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信息正常使用率</w:t>
            </w:r>
          </w:p>
        </w:tc>
        <w:tc>
          <w:tcPr>
            <w:tcW w:w="3402" w:type="dxa"/>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正常使用信息占全部信息数量的比率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80</w:t>
            </w:r>
            <w:r>
              <w:rPr>
                <w:rFonts w:hint="eastAsia" w:ascii="仿宋_GB2312" w:hAnsi="仿宋_GB2312" w:eastAsia="仿宋_GB2312" w:cs="仿宋_GB2312"/>
              </w:rPr>
              <w:tab/>
            </w:r>
            <w:r>
              <w:rPr>
                <w:rFonts w:hint="eastAsia" w:ascii="仿宋_GB2312" w:hAnsi="仿宋_GB2312" w:eastAsia="仿宋_GB2312" w:cs="仿宋_GB2312"/>
              </w:rPr>
              <w:t>%</w:t>
            </w:r>
          </w:p>
        </w:tc>
        <w:tc>
          <w:tcPr>
            <w:tcW w:w="2155"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廊办秘传【2021】1号关于开展宗教活动专项治理工作的通知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时效</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各项任务完成及时率</w:t>
            </w:r>
          </w:p>
        </w:tc>
        <w:tc>
          <w:tcPr>
            <w:tcW w:w="3402" w:type="dxa"/>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各项任务完成情况占全部任务的比率</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90</w:t>
            </w:r>
            <w:r>
              <w:rPr>
                <w:rFonts w:hint="eastAsia" w:ascii="仿宋_GB2312" w:hAnsi="仿宋_GB2312" w:eastAsia="仿宋_GB2312" w:cs="仿宋_GB2312"/>
              </w:rPr>
              <w:tab/>
            </w:r>
            <w:r>
              <w:rPr>
                <w:rFonts w:hint="eastAsia" w:ascii="仿宋_GB2312" w:hAnsi="仿宋_GB2312" w:eastAsia="仿宋_GB2312" w:cs="仿宋_GB2312"/>
              </w:rPr>
              <w:t>%</w:t>
            </w:r>
          </w:p>
        </w:tc>
        <w:tc>
          <w:tcPr>
            <w:tcW w:w="2155"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廊办秘传【2021】1号关于开展宗教活动专项治理工作的通知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rPr>
            </w:pPr>
            <w:r>
              <w:rPr>
                <w:rFonts w:hint="eastAsia" w:ascii="仿宋_GB2312" w:hAnsi="仿宋_GB2312" w:eastAsia="仿宋_GB2312" w:cs="仿宋_GB2312"/>
                <w:color w:val="000000"/>
              </w:rPr>
              <w:t>成本</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控制成本</w:t>
            </w:r>
          </w:p>
        </w:tc>
        <w:tc>
          <w:tcPr>
            <w:tcW w:w="3402" w:type="dxa"/>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按照相关文件要求，控制工作成本</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严格控制工作成本不超预算</w:t>
            </w:r>
          </w:p>
        </w:tc>
        <w:tc>
          <w:tcPr>
            <w:tcW w:w="2155"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廊办秘传【2021】1号关于开展宗教活动专项治理工作的通知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效果指标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rPr>
              <w:t>社会效益</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提升和改善服务</w:t>
            </w:r>
          </w:p>
        </w:tc>
        <w:tc>
          <w:tcPr>
            <w:tcW w:w="3402" w:type="dxa"/>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服务明显提升改善</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明显改善</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廊办秘传【2021】1号关于开展宗教活动专项治理工作的通知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rPr>
              <w:t>生态效益</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资源消耗</w:t>
            </w:r>
          </w:p>
        </w:tc>
        <w:tc>
          <w:tcPr>
            <w:tcW w:w="3402" w:type="dxa"/>
            <w:tcBorders>
              <w:top w:val="single" w:color="auto" w:sz="4" w:space="0"/>
              <w:left w:val="single" w:color="auto" w:sz="4" w:space="0"/>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降低资源消耗</w:t>
            </w:r>
          </w:p>
        </w:tc>
        <w:tc>
          <w:tcPr>
            <w:tcW w:w="1843" w:type="dxa"/>
            <w:tcBorders>
              <w:top w:val="nil"/>
              <w:left w:val="single" w:color="auto" w:sz="4" w:space="0"/>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减少资源消耗</w:t>
            </w:r>
          </w:p>
        </w:tc>
        <w:tc>
          <w:tcPr>
            <w:tcW w:w="2155" w:type="dxa"/>
            <w:tcBorders>
              <w:top w:val="nil"/>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廊办秘传【2021】2号关于开展宗教活动专项治理工作的通知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ascii="仿宋_GB2312" w:hAnsi="仿宋_GB2312" w:eastAsia="仿宋_GB2312" w:cs="仿宋_GB2312"/>
              </w:rPr>
            </w:pP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rPr>
              <w:t>可持续影响</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宗教和谐稳定</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宗教领域和谐稳定</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sz w:val="18"/>
                <w:szCs w:val="18"/>
              </w:rPr>
              <w:t>稳步推进</w:t>
            </w:r>
          </w:p>
        </w:tc>
        <w:tc>
          <w:tcPr>
            <w:tcW w:w="2155" w:type="dxa"/>
            <w:tcBorders>
              <w:top w:val="single" w:color="auto" w:sz="4" w:space="0"/>
              <w:left w:val="nil"/>
              <w:bottom w:val="single" w:color="auto" w:sz="4" w:space="0"/>
              <w:right w:val="single" w:color="auto"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廊办秘传【2021】2号关于开展宗教活动专项治理工作的通知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满意度指标</w:t>
            </w:r>
          </w:p>
        </w:tc>
        <w:tc>
          <w:tcPr>
            <w:tcW w:w="226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rPr>
              <w:t>满意度</w:t>
            </w:r>
          </w:p>
        </w:tc>
        <w:tc>
          <w:tcPr>
            <w:tcW w:w="1985"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群众满意度</w:t>
            </w:r>
          </w:p>
        </w:tc>
        <w:tc>
          <w:tcPr>
            <w:tcW w:w="3402" w:type="dxa"/>
            <w:tcBorders>
              <w:top w:val="single" w:color="auto" w:sz="4" w:space="0"/>
              <w:left w:val="nil"/>
              <w:bottom w:val="single" w:color="auto" w:sz="4" w:space="0"/>
              <w:right w:val="single" w:color="000000" w:sz="4" w:space="0"/>
            </w:tcBorders>
            <w:shd w:val="clear" w:color="auto" w:fill="auto"/>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群众满意数量占总人数的比例</w:t>
            </w:r>
          </w:p>
        </w:tc>
        <w:tc>
          <w:tcPr>
            <w:tcW w:w="1843" w:type="dxa"/>
            <w:shd w:val="clear" w:color="auto" w:fill="auto"/>
            <w:vAlign w:val="center"/>
          </w:tcPr>
          <w:p>
            <w:pPr>
              <w:spacing w:line="300" w:lineRule="exact"/>
              <w:jc w:val="center"/>
              <w:rPr>
                <w:rFonts w:ascii="仿宋_GB2312" w:hAnsi="仿宋_GB2312" w:eastAsia="仿宋_GB2312" w:cs="仿宋_GB2312"/>
              </w:rPr>
            </w:pPr>
            <w:r>
              <w:rPr>
                <w:rFonts w:hint="eastAsia" w:ascii="仿宋_GB2312" w:hAnsi="仿宋_GB2312" w:eastAsia="仿宋_GB2312" w:cs="仿宋_GB2312"/>
              </w:rPr>
              <w:t>≥</w:t>
            </w:r>
            <w:r>
              <w:rPr>
                <w:rFonts w:hint="eastAsia" w:ascii="仿宋_GB2312" w:hAnsi="仿宋_GB2312" w:eastAsia="仿宋_GB2312" w:cs="仿宋_GB2312"/>
              </w:rPr>
              <w:tab/>
            </w:r>
            <w:r>
              <w:rPr>
                <w:rFonts w:hint="eastAsia" w:ascii="仿宋_GB2312" w:hAnsi="仿宋_GB2312" w:eastAsia="仿宋_GB2312" w:cs="仿宋_GB2312"/>
              </w:rPr>
              <w:t>90</w:t>
            </w:r>
            <w:r>
              <w:rPr>
                <w:rFonts w:hint="eastAsia" w:ascii="仿宋_GB2312" w:hAnsi="仿宋_GB2312" w:eastAsia="仿宋_GB2312" w:cs="仿宋_GB2312"/>
              </w:rPr>
              <w:tab/>
            </w:r>
            <w:r>
              <w:rPr>
                <w:rFonts w:hint="eastAsia" w:ascii="仿宋_GB2312" w:hAnsi="仿宋_GB2312" w:eastAsia="仿宋_GB2312" w:cs="仿宋_GB2312"/>
              </w:rPr>
              <w:t>%</w:t>
            </w:r>
          </w:p>
        </w:tc>
        <w:tc>
          <w:tcPr>
            <w:tcW w:w="2155" w:type="dxa"/>
            <w:shd w:val="clear" w:color="auto" w:fill="auto"/>
            <w:vAlign w:val="center"/>
          </w:tcPr>
          <w:p>
            <w:pPr>
              <w:spacing w:line="300" w:lineRule="exact"/>
              <w:jc w:val="left"/>
              <w:rPr>
                <w:rFonts w:ascii="仿宋_GB2312" w:hAnsi="仿宋_GB2312" w:eastAsia="仿宋_GB2312" w:cs="仿宋_GB2312"/>
              </w:rPr>
            </w:pPr>
            <w:r>
              <w:rPr>
                <w:rFonts w:hint="eastAsia" w:ascii="仿宋_GB2312" w:hAnsi="仿宋_GB2312" w:eastAsia="仿宋_GB2312" w:cs="仿宋_GB2312"/>
              </w:rPr>
              <w:t>廊办秘传【2021】2号关于开展宗教活动专项治理工作的通知</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21</w:t>
      </w:r>
      <w:r>
        <w:rPr>
          <w:rFonts w:ascii="Times New Roman" w:hAnsi="Times New Roman" w:eastAsia="仿宋_GB2312" w:cs="Times New Roman"/>
          <w:sz w:val="32"/>
          <w:szCs w:val="24"/>
        </w:rPr>
        <w:t>年，我部门安排政府采购预算0万元。具体内容见下表。</w:t>
      </w:r>
    </w:p>
    <w:bookmarkEnd w:id="1"/>
    <w:p>
      <w:pPr>
        <w:spacing w:line="584" w:lineRule="exact"/>
        <w:jc w:val="left"/>
        <w:outlineLvl w:val="0"/>
        <w:rPr>
          <w:rFonts w:ascii="Times New Roman" w:hAnsi="Times New Roman" w:eastAsia="仿宋_GB2312" w:cs="Times New Roman"/>
        </w:rPr>
      </w:pPr>
    </w:p>
    <w:p>
      <w:pPr>
        <w:jc w:val="center"/>
        <w:outlineLvl w:val="1"/>
        <w:rPr>
          <w:rFonts w:ascii="方正小标宋简体" w:hAnsi="方正小标宋简体" w:eastAsia="方正小标宋简体" w:cs="方正小标宋简体"/>
          <w:bCs/>
          <w:sz w:val="32"/>
          <w:szCs w:val="24"/>
        </w:rPr>
      </w:pPr>
      <w:bookmarkStart w:id="2" w:name="_Toc64920910"/>
      <w:r>
        <w:rPr>
          <w:rFonts w:hint="eastAsia" w:ascii="方正小标宋简体" w:hAnsi="方正小标宋简体" w:eastAsia="方正小标宋简体" w:cs="方正小标宋简体"/>
          <w:bCs/>
          <w:sz w:val="32"/>
          <w:szCs w:val="24"/>
        </w:rPr>
        <w:t>部门政府采购预算</w:t>
      </w:r>
      <w:bookmarkEnd w:id="2"/>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黑体" w:hAnsi="黑体" w:eastAsia="黑体" w:cs="黑体"/>
                <w:sz w:val="24"/>
              </w:rPr>
            </w:pPr>
            <w:r>
              <w:rPr>
                <w:rFonts w:hint="eastAsia" w:ascii="黑体" w:hAnsi="黑体" w:eastAsia="黑体" w:cs="黑体"/>
                <w:sz w:val="24"/>
              </w:rPr>
              <w:t>[275001]中国共产党廊坊市广阳区委员会统一战线工作部</w:t>
            </w:r>
          </w:p>
        </w:tc>
        <w:tc>
          <w:tcPr>
            <w:tcW w:w="6804" w:type="dxa"/>
            <w:gridSpan w:val="6"/>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黑体" w:hAnsi="黑体" w:eastAsia="黑体" w:cs="黑体"/>
                <w:sz w:val="24"/>
              </w:rPr>
            </w:pPr>
            <w:r>
              <w:rPr>
                <w:rFonts w:hint="eastAsia" w:ascii="黑体" w:hAnsi="黑体" w:eastAsia="黑体" w:cs="黑体"/>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政府采购项目来源</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采购物品名称</w:t>
            </w:r>
          </w:p>
        </w:tc>
        <w:tc>
          <w:tcPr>
            <w:tcW w:w="1531"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政府采购目录序号</w:t>
            </w:r>
          </w:p>
        </w:tc>
        <w:tc>
          <w:tcPr>
            <w:tcW w:w="709"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计量  单位</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数量</w:t>
            </w:r>
          </w:p>
        </w:tc>
        <w:tc>
          <w:tcPr>
            <w:tcW w:w="907" w:type="dxa"/>
            <w:vMerge w:val="restart"/>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单价</w:t>
            </w:r>
          </w:p>
        </w:tc>
        <w:tc>
          <w:tcPr>
            <w:tcW w:w="6804" w:type="dxa"/>
            <w:gridSpan w:val="6"/>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项目名称</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预算资金</w:t>
            </w:r>
          </w:p>
        </w:tc>
        <w:tc>
          <w:tcPr>
            <w:tcW w:w="1531" w:type="dxa"/>
            <w:vMerge w:val="continue"/>
            <w:shd w:val="clear" w:color="auto" w:fill="auto"/>
            <w:vAlign w:val="center"/>
          </w:tcPr>
          <w:p>
            <w:pPr>
              <w:rPr>
                <w:rFonts w:ascii="黑体" w:hAnsi="黑体" w:eastAsia="黑体" w:cs="黑体"/>
                <w:bCs/>
              </w:rPr>
            </w:pPr>
          </w:p>
        </w:tc>
        <w:tc>
          <w:tcPr>
            <w:tcW w:w="1531" w:type="dxa"/>
            <w:vMerge w:val="continue"/>
            <w:shd w:val="clear" w:color="auto" w:fill="auto"/>
            <w:vAlign w:val="center"/>
          </w:tcPr>
          <w:p>
            <w:pPr>
              <w:rPr>
                <w:rFonts w:ascii="黑体" w:hAnsi="黑体" w:eastAsia="黑体" w:cs="黑体"/>
                <w:bCs/>
              </w:rPr>
            </w:pPr>
          </w:p>
        </w:tc>
        <w:tc>
          <w:tcPr>
            <w:tcW w:w="709"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907" w:type="dxa"/>
            <w:vMerge w:val="continue"/>
            <w:shd w:val="clear" w:color="auto" w:fill="auto"/>
            <w:vAlign w:val="center"/>
          </w:tcPr>
          <w:p>
            <w:pPr>
              <w:rPr>
                <w:rFonts w:ascii="黑体" w:hAnsi="黑体" w:eastAsia="黑体" w:cs="黑体"/>
                <w:bCs/>
              </w:rPr>
            </w:pP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合计</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一般公共预算拨款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基金预算拨款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国有资本经营预算拨款</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财政专户核拨</w:t>
            </w:r>
          </w:p>
        </w:tc>
        <w:tc>
          <w:tcPr>
            <w:tcW w:w="113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黑体" w:hAnsi="黑体" w:eastAsia="黑体" w:cs="黑体"/>
                <w:bCs/>
              </w:rPr>
            </w:pPr>
            <w:r>
              <w:rPr>
                <w:rFonts w:hint="eastAsia" w:ascii="黑体" w:hAnsi="黑体" w:eastAsia="黑体" w:cs="黑体"/>
                <w:bCs/>
              </w:rPr>
              <w:t>合  计</w:t>
            </w:r>
          </w:p>
        </w:tc>
        <w:tc>
          <w:tcPr>
            <w:tcW w:w="1134" w:type="dxa"/>
            <w:shd w:val="clear" w:color="auto" w:fill="auto"/>
            <w:vAlign w:val="center"/>
          </w:tcPr>
          <w:p>
            <w:pPr>
              <w:spacing w:line="300" w:lineRule="exact"/>
              <w:jc w:val="righ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1531" w:type="dxa"/>
            <w:shd w:val="clear" w:color="auto" w:fill="auto"/>
            <w:vAlign w:val="center"/>
          </w:tcPr>
          <w:p>
            <w:pPr>
              <w:spacing w:line="300" w:lineRule="exact"/>
              <w:jc w:val="left"/>
              <w:rPr>
                <w:rFonts w:ascii="黑体" w:hAnsi="黑体" w:eastAsia="黑体" w:cs="黑体"/>
                <w:bCs/>
              </w:rPr>
            </w:pPr>
          </w:p>
        </w:tc>
        <w:tc>
          <w:tcPr>
            <w:tcW w:w="709" w:type="dxa"/>
            <w:shd w:val="clear" w:color="auto" w:fill="auto"/>
            <w:vAlign w:val="center"/>
          </w:tcPr>
          <w:p>
            <w:pPr>
              <w:spacing w:line="300" w:lineRule="exact"/>
              <w:jc w:val="center"/>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907"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c>
          <w:tcPr>
            <w:tcW w:w="1134" w:type="dxa"/>
            <w:shd w:val="clear" w:color="auto" w:fill="auto"/>
            <w:vAlign w:val="center"/>
          </w:tcPr>
          <w:p>
            <w:pPr>
              <w:spacing w:line="300" w:lineRule="exact"/>
              <w:jc w:val="right"/>
              <w:rPr>
                <w:rFonts w:ascii="黑体" w:hAnsi="黑体" w:eastAsia="黑体" w:cs="黑体"/>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center"/>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1531" w:type="dxa"/>
            <w:shd w:val="clear" w:color="auto" w:fill="auto"/>
            <w:vAlign w:val="center"/>
          </w:tcPr>
          <w:p>
            <w:pPr>
              <w:spacing w:line="300" w:lineRule="exact"/>
              <w:jc w:val="left"/>
              <w:rPr>
                <w:rFonts w:ascii="方正书宋_GBK" w:eastAsia="方正书宋_GBK" w:cs="Times New Roman"/>
                <w:b/>
              </w:rPr>
            </w:pPr>
          </w:p>
        </w:tc>
        <w:tc>
          <w:tcPr>
            <w:tcW w:w="709" w:type="dxa"/>
            <w:shd w:val="clear" w:color="auto" w:fill="auto"/>
            <w:vAlign w:val="center"/>
          </w:tcPr>
          <w:p>
            <w:pPr>
              <w:spacing w:line="300" w:lineRule="exact"/>
              <w:jc w:val="center"/>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907"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c>
          <w:tcPr>
            <w:tcW w:w="1134" w:type="dxa"/>
            <w:shd w:val="clear" w:color="auto" w:fill="auto"/>
            <w:vAlign w:val="center"/>
          </w:tcPr>
          <w:p>
            <w:pPr>
              <w:spacing w:line="300" w:lineRule="exact"/>
              <w:jc w:val="right"/>
              <w:rPr>
                <w:rFonts w:ascii="方正书宋_GBK" w:eastAsia="方正书宋_GBK" w:cs="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shd w:val="clear" w:color="auto" w:fill="auto"/>
            <w:vAlign w:val="center"/>
          </w:tcPr>
          <w:p>
            <w:pPr>
              <w:spacing w:line="300" w:lineRule="exact"/>
              <w:jc w:val="lef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1531" w:type="dxa"/>
            <w:shd w:val="clear" w:color="auto" w:fill="auto"/>
            <w:vAlign w:val="center"/>
          </w:tcPr>
          <w:p>
            <w:pPr>
              <w:spacing w:line="300" w:lineRule="exact"/>
              <w:jc w:val="left"/>
              <w:rPr>
                <w:rFonts w:ascii="方正书宋_GBK" w:eastAsia="方正书宋_GBK" w:cs="Times New Roman"/>
              </w:rPr>
            </w:pPr>
          </w:p>
        </w:tc>
        <w:tc>
          <w:tcPr>
            <w:tcW w:w="709" w:type="dxa"/>
            <w:shd w:val="clear" w:color="auto" w:fill="auto"/>
            <w:vAlign w:val="center"/>
          </w:tcPr>
          <w:p>
            <w:pPr>
              <w:spacing w:line="300" w:lineRule="exact"/>
              <w:jc w:val="center"/>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907"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c>
          <w:tcPr>
            <w:tcW w:w="1134" w:type="dxa"/>
            <w:shd w:val="clear" w:color="auto" w:fill="auto"/>
            <w:vAlign w:val="center"/>
          </w:tcPr>
          <w:p>
            <w:pPr>
              <w:spacing w:line="300" w:lineRule="exact"/>
              <w:jc w:val="right"/>
              <w:rPr>
                <w:rFonts w:ascii="方正书宋_GBK" w:eastAsia="方正书宋_GBK" w:cs="Times New Roman"/>
              </w:rPr>
            </w:pP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广阳区委员会统一战线工作部（含所属单位）</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6.64万元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kern w:val="0"/>
                <w:sz w:val="32"/>
                <w:szCs w:val="32"/>
              </w:rPr>
              <w:t>中国共产党廊坊市广阳区委员会统一战线工作部部门</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中国共产党廊坊市广阳区委员会统一战线工作部</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20</w:t>
            </w:r>
            <w:r>
              <w:rPr>
                <w:rFonts w:ascii="Times New Roman" w:hAnsi="Times New Roman" w:eastAsia="仿宋_GB2312" w:cs="Times New Roman"/>
                <w:kern w:val="0"/>
                <w:sz w:val="22"/>
              </w:rPr>
              <w:t xml:space="preserve">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6.64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w:t>
            </w:r>
            <w:r>
              <w:rPr>
                <w:rFonts w:ascii="Times New Roman" w:hAnsi="Times New Roman" w:eastAsia="仿宋_GB2312" w:cs="Times New Roman"/>
                <w:sz w:val="22"/>
              </w:rPr>
              <w:t>1.46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5</w:t>
            </w:r>
            <w:r>
              <w:rPr>
                <w:rFonts w:ascii="Times New Roman" w:hAnsi="Times New Roman" w:eastAsia="仿宋_GB2312" w:cs="Times New Roman"/>
                <w:sz w:val="22"/>
              </w:rPr>
              <w:t>.1</w:t>
            </w:r>
            <w:r>
              <w:rPr>
                <w:rFonts w:hint="eastAsia" w:ascii="Times New Roman" w:hAnsi="Times New Roman" w:eastAsia="仿宋_GB2312" w:cs="Times New Roman"/>
                <w:sz w:val="22"/>
              </w:rPr>
              <w:t>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41504"/>
    <w:rsid w:val="00050973"/>
    <w:rsid w:val="0009499A"/>
    <w:rsid w:val="000C40AC"/>
    <w:rsid w:val="000F3D8A"/>
    <w:rsid w:val="00140316"/>
    <w:rsid w:val="00140A07"/>
    <w:rsid w:val="00186290"/>
    <w:rsid w:val="00252975"/>
    <w:rsid w:val="002C3828"/>
    <w:rsid w:val="002D6924"/>
    <w:rsid w:val="002F3B0B"/>
    <w:rsid w:val="002F45C3"/>
    <w:rsid w:val="00301F9F"/>
    <w:rsid w:val="0033174B"/>
    <w:rsid w:val="00346FE1"/>
    <w:rsid w:val="00356683"/>
    <w:rsid w:val="00361214"/>
    <w:rsid w:val="00370018"/>
    <w:rsid w:val="003B3535"/>
    <w:rsid w:val="003B5FF4"/>
    <w:rsid w:val="003D126B"/>
    <w:rsid w:val="004202AB"/>
    <w:rsid w:val="00435ED8"/>
    <w:rsid w:val="00470D12"/>
    <w:rsid w:val="004A54AA"/>
    <w:rsid w:val="004A5E47"/>
    <w:rsid w:val="004D39FB"/>
    <w:rsid w:val="004D4900"/>
    <w:rsid w:val="0052528A"/>
    <w:rsid w:val="00556BBE"/>
    <w:rsid w:val="00593F61"/>
    <w:rsid w:val="005E7568"/>
    <w:rsid w:val="0066475B"/>
    <w:rsid w:val="006B321E"/>
    <w:rsid w:val="006E05FC"/>
    <w:rsid w:val="007725DF"/>
    <w:rsid w:val="00786238"/>
    <w:rsid w:val="00787866"/>
    <w:rsid w:val="007B77C9"/>
    <w:rsid w:val="007D6BDE"/>
    <w:rsid w:val="00807A76"/>
    <w:rsid w:val="0084378B"/>
    <w:rsid w:val="0086316B"/>
    <w:rsid w:val="008F0EB4"/>
    <w:rsid w:val="00902A7A"/>
    <w:rsid w:val="009077DB"/>
    <w:rsid w:val="00996A68"/>
    <w:rsid w:val="00A02518"/>
    <w:rsid w:val="00A218C6"/>
    <w:rsid w:val="00A91571"/>
    <w:rsid w:val="00AD7028"/>
    <w:rsid w:val="00B17B32"/>
    <w:rsid w:val="00B77B96"/>
    <w:rsid w:val="00B80935"/>
    <w:rsid w:val="00BA3568"/>
    <w:rsid w:val="00BD0C41"/>
    <w:rsid w:val="00CA5B90"/>
    <w:rsid w:val="00CE766A"/>
    <w:rsid w:val="00D168A3"/>
    <w:rsid w:val="00D347CC"/>
    <w:rsid w:val="00D67A30"/>
    <w:rsid w:val="00E0114D"/>
    <w:rsid w:val="00E24668"/>
    <w:rsid w:val="00E27CE3"/>
    <w:rsid w:val="00E633E2"/>
    <w:rsid w:val="00EF239F"/>
    <w:rsid w:val="00F10B34"/>
    <w:rsid w:val="00FD27F5"/>
    <w:rsid w:val="00FD2EEF"/>
    <w:rsid w:val="00FE4FFF"/>
    <w:rsid w:val="03107953"/>
    <w:rsid w:val="12195D10"/>
    <w:rsid w:val="1C7829D9"/>
    <w:rsid w:val="36056CE9"/>
    <w:rsid w:val="422D613A"/>
    <w:rsid w:val="51674A70"/>
    <w:rsid w:val="5D602675"/>
    <w:rsid w:val="68BA0C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15</Pages>
  <Words>897</Words>
  <Characters>5116</Characters>
  <Lines>42</Lines>
  <Paragraphs>12</Paragraphs>
  <TotalTime>16</TotalTime>
  <ScaleCrop>false</ScaleCrop>
  <LinksUpToDate>false</LinksUpToDate>
  <CharactersWithSpaces>6001</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2022-07-08T07:09:06Z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E7FE71E12E8A4C3EB654CB86079A2308</vt:lpwstr>
  </property>
</Properties>
</file>