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w:t>
      </w:r>
      <w:bookmarkStart w:id="3" w:name="_GoBack"/>
      <w:r>
        <w:rPr>
          <w:rFonts w:hint="eastAsia" w:ascii="Times New Roman" w:hAnsi="Times New Roman" w:eastAsia="方正小标宋简体" w:cs="Times New Roman"/>
          <w:sz w:val="44"/>
          <w:szCs w:val="44"/>
        </w:rPr>
        <w:t>住房和城乡建设局</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 w:hAnsi="仿宋" w:eastAsia="仿宋"/>
          <w:sz w:val="32"/>
          <w:szCs w:val="32"/>
        </w:rPr>
      </w:pPr>
      <w:r>
        <w:rPr>
          <w:rFonts w:hint="eastAsia" w:ascii="仿宋" w:hAnsi="仿宋" w:eastAsia="仿宋"/>
          <w:sz w:val="32"/>
          <w:szCs w:val="32"/>
        </w:rPr>
        <w:t>按照《中华人民共和国预算法》、《中华人民共和国预算法实施条例》、《地方预决算公开操作规程》和《河北省省级预算公开办法》规定，现将廊坊市广阳区住房和城乡建设局</w:t>
      </w:r>
      <w:r>
        <w:rPr>
          <w:rFonts w:ascii="仿宋" w:hAnsi="仿宋" w:eastAsia="仿宋"/>
          <w:sz w:val="32"/>
          <w:szCs w:val="32"/>
        </w:rPr>
        <w:t>2021</w:t>
      </w:r>
      <w:r>
        <w:rPr>
          <w:rFonts w:hint="eastAsia" w:ascii="仿宋" w:hAnsi="仿宋" w:eastAsia="仿宋"/>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（一）贯彻执行国家、省、市住房城乡建设的方针、政策和法律、法规；研究提出住房城乡建设重大问题的政策建议；参与拟定相关规范性文件；负责区住房城乡建设行业安全生产监管。</w:t>
      </w:r>
    </w:p>
    <w:p>
      <w:pPr>
        <w:spacing w:line="579"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（二）负责组织实施工程建设实施阶段的国家标准及全国统一的行业标准</w:t>
      </w:r>
      <w:r>
        <w:rPr>
          <w:rFonts w:ascii="仿宋" w:hAnsi="仿宋" w:eastAsia="仿宋"/>
          <w:sz w:val="32"/>
          <w:szCs w:val="32"/>
        </w:rPr>
        <w:t>;</w:t>
      </w:r>
      <w:r>
        <w:rPr>
          <w:rFonts w:hint="eastAsia" w:ascii="仿宋" w:hAnsi="仿宋" w:eastAsia="仿宋"/>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仿宋" w:hAnsi="仿宋" w:eastAsia="仿宋"/>
          <w:sz w:val="32"/>
          <w:szCs w:val="32"/>
        </w:rPr>
        <w:t xml:space="preserve"> </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（四）负责区属建筑市场的管理工作；负责国家、省、市规定必须招标的房屋建筑和市政基础设施工程招标投标活动的监督工作；组织查处住房城乡建设领域依法应由区住房和城乡建设局实施行政处罚的案件。</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（六）负责为油田、铁路建设提供支援帮助，及时反馈油田、铁路建设的有关信息。</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（七）贯彻党和国家关于人民防空工作的方针政策和决策部署，落实人民防空法律法规和规章；配合开展防空警报试鸣工作；负责区级指挥场所和设施设备建设、使用、维护和管理；</w:t>
      </w:r>
      <w:r>
        <w:rPr>
          <w:rFonts w:ascii="仿宋" w:hAnsi="仿宋" w:eastAsia="仿宋"/>
          <w:sz w:val="32"/>
          <w:szCs w:val="32"/>
        </w:rPr>
        <w:t xml:space="preserve"> </w:t>
      </w:r>
      <w:r>
        <w:rPr>
          <w:rFonts w:hint="eastAsia" w:ascii="仿宋" w:hAnsi="仿宋" w:eastAsia="仿宋"/>
          <w:sz w:val="32"/>
          <w:szCs w:val="32"/>
        </w:rPr>
        <w:t>开展防空防灾宣传教育，普及防空防灾知识。</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（八）开展区住房城乡建设方面的对外交流与合作。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（九）完成区委、区政府交办的其它任务。</w:t>
      </w: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廊坊市广阳区住房和城乡建设局</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按照预算管理有关规定，目前我区部门预算的编制实行综合预算制度，即全部收入和支出都反映在预算中。廊坊市广阳区住房和城乡建设局本级单位的收支包含在部门预算中。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反映本单位当年全部收入。</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3621.93</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3621.93</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收支预算总表支出栏、基本支出表、项目支出表按经济分类和支出功能分类科目编制，反映廊坊市广阳区住房和城乡建设局年度本级预算中支出预算的总体情况。</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3621.93</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1436.33</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1350.54</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85.79</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2185.60</w:t>
      </w:r>
      <w:r>
        <w:rPr>
          <w:rFonts w:hint="eastAsia" w:ascii="Times New Roman" w:hAnsi="Times New Roman" w:eastAsia="仿宋_GB2312" w:cs="Times New Roman"/>
          <w:sz w:val="32"/>
          <w:szCs w:val="32"/>
        </w:rPr>
        <w:t>万元，包括本级支出，主要为节能环保支出、城乡社区支出等。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3621.93</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年预算减少</w:t>
      </w:r>
      <w:r>
        <w:rPr>
          <w:rFonts w:ascii="Times New Roman" w:hAnsi="Times New Roman" w:eastAsia="仿宋_GB2312" w:cs="Times New Roman"/>
          <w:sz w:val="32"/>
          <w:szCs w:val="32"/>
        </w:rPr>
        <w:t>244.33</w:t>
      </w:r>
      <w:r>
        <w:rPr>
          <w:rFonts w:hint="eastAsia" w:ascii="Times New Roman" w:hAnsi="Times New Roman" w:eastAsia="仿宋_GB2312" w:cs="Times New Roman"/>
          <w:sz w:val="32"/>
          <w:szCs w:val="32"/>
        </w:rPr>
        <w:t>万元，其中：基本支出减少</w:t>
      </w:r>
      <w:r>
        <w:rPr>
          <w:rFonts w:ascii="Times New Roman" w:hAnsi="Times New Roman" w:eastAsia="仿宋_GB2312" w:cs="Times New Roman"/>
          <w:sz w:val="32"/>
          <w:szCs w:val="32"/>
        </w:rPr>
        <w:t>77.73</w:t>
      </w:r>
      <w:r>
        <w:rPr>
          <w:rFonts w:hint="eastAsia" w:ascii="Times New Roman" w:hAnsi="Times New Roman" w:eastAsia="仿宋_GB2312" w:cs="Times New Roman"/>
          <w:sz w:val="32"/>
          <w:szCs w:val="32"/>
        </w:rPr>
        <w:t>万元，主要为城乡社区支出、住房保障支出；项目支出减少</w:t>
      </w:r>
      <w:r>
        <w:rPr>
          <w:rFonts w:ascii="Times New Roman" w:hAnsi="Times New Roman" w:eastAsia="仿宋_GB2312" w:cs="Times New Roman"/>
          <w:sz w:val="32"/>
          <w:szCs w:val="32"/>
        </w:rPr>
        <w:t>166.60</w:t>
      </w:r>
      <w:r>
        <w:rPr>
          <w:rFonts w:hint="eastAsia" w:ascii="Times New Roman" w:hAnsi="Times New Roman" w:eastAsia="仿宋_GB2312" w:cs="Times New Roman"/>
          <w:sz w:val="32"/>
          <w:szCs w:val="32"/>
        </w:rPr>
        <w:t>万元，主要为节能环保支出。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年，我局机关运行经费共计安排</w:t>
      </w:r>
      <w:r>
        <w:rPr>
          <w:rFonts w:ascii="Times New Roman" w:hAnsi="Times New Roman" w:eastAsia="仿宋_GB2312" w:cs="Times New Roman"/>
          <w:sz w:val="32"/>
          <w:szCs w:val="32"/>
        </w:rPr>
        <w:t>85.79</w:t>
      </w:r>
      <w:r>
        <w:rPr>
          <w:rFonts w:hint="eastAsia"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年相比持平，其中，公务用车购置及运维费与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560" w:firstLineChars="200"/>
        <w:jc w:val="left"/>
        <w:rPr>
          <w:rFonts w:ascii="仿宋_GB2312" w:eastAsia="仿宋_GB2312"/>
          <w:sz w:val="28"/>
        </w:rPr>
      </w:pPr>
      <w:r>
        <w:rPr>
          <w:rFonts w:hint="eastAsia" w:ascii="仿宋_GB2312" w:eastAsia="仿宋_GB2312"/>
          <w:sz w:val="28"/>
        </w:rPr>
        <w:t>我们将继续紧盯区委、区政府工作目标任务，着力破解建设难题，提升城市品质、统筹城乡发展、保障改善民生，重点做到“三个坚定不移”。</w:t>
      </w:r>
    </w:p>
    <w:p>
      <w:pPr>
        <w:spacing w:line="500" w:lineRule="exact"/>
        <w:ind w:firstLine="560" w:firstLineChars="200"/>
        <w:jc w:val="left"/>
        <w:rPr>
          <w:rFonts w:ascii="仿宋_GB2312" w:eastAsia="仿宋_GB2312"/>
          <w:sz w:val="28"/>
        </w:rPr>
      </w:pPr>
      <w:r>
        <w:rPr>
          <w:rFonts w:hint="eastAsia" w:ascii="仿宋_GB2312" w:eastAsia="仿宋_GB2312"/>
          <w:sz w:val="28"/>
        </w:rPr>
        <w:t>一、老旧小区改造提升、城乡环境、棚改工作等方面，坚定不移推进城市建设。</w:t>
      </w:r>
    </w:p>
    <w:p>
      <w:pPr>
        <w:spacing w:line="500" w:lineRule="exact"/>
        <w:ind w:firstLine="560" w:firstLineChars="200"/>
        <w:jc w:val="left"/>
        <w:rPr>
          <w:rFonts w:ascii="仿宋_GB2312" w:eastAsia="仿宋_GB2312"/>
          <w:sz w:val="28"/>
        </w:rPr>
      </w:pPr>
      <w:r>
        <w:rPr>
          <w:rFonts w:hint="eastAsia" w:ascii="仿宋_GB2312" w:eastAsia="仿宋_GB2312"/>
          <w:sz w:val="28"/>
        </w:rPr>
        <w:t>二、脱贫攻坚工作、职能下放承接工作、供暖工作等方面等坚定不移推进民生改善。</w:t>
      </w:r>
    </w:p>
    <w:p>
      <w:pPr>
        <w:spacing w:line="500" w:lineRule="exact"/>
        <w:ind w:firstLine="560" w:firstLineChars="200"/>
        <w:jc w:val="left"/>
        <w:rPr>
          <w:rFonts w:ascii="仿宋_GB2312" w:eastAsia="仿宋_GB2312"/>
          <w:sz w:val="28"/>
        </w:rPr>
      </w:pPr>
      <w:r>
        <w:rPr>
          <w:rFonts w:hint="eastAsia" w:ascii="仿宋_GB2312" w:eastAsia="仿宋_GB2312"/>
          <w:sz w:val="28"/>
        </w:rPr>
        <w:t>三、疫情防控、建筑施工、燃气安全、防汛工作等方面，坚定不移推进安全生产。</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一、住房保障及公积金管理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分项绩效目标：新增租赁补贴户数完成率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﹪，保障性住房竣工率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﹪，保障性住房开工率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二、城乡规划</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完成本级规划编制，健全规划体系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分项绩效目标：动态监测报告完成率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三、城乡建设管理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、加强基础设施建设。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分项绩效目标：基础设施建设工作目标完成率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、加强村镇建设，改善农村人居环境，实现城乡统筹发展，指导推进城区新区建设与旧城改造。</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分项绩效目标：县城建设工作考核完成率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﹪，无物业老旧小区改造完成率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﹪，危房改造完成率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﹪，垃圾处理率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四、建筑业、房地产市场监管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、规范建筑市场各方主体行为，促进建筑市场健康发展。加强市场监测，促进全区房地产市场持续健康发展。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分项绩效目标：合同履约跟踪管理覆盖率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﹪，执行农民工工资预储金制度比率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、提高建筑工程质量，减少建筑安全生产事故，提高行业水平。</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分项绩效目标：建筑工程施工现场达标率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﹪，工程质量投诉结案率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﹪，工程的施工管理</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﹪、验收资料完整率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五、住建政务管理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编制建设行业发展规划，拟定相关法规规章草案政策和行业技术标准，推进全系统依法行政，加强行政许可管理，开展建设行业对外合作交流；组织编制科技发展规划，推进建设科技发展。市城建档案管理达到市档案局的工作要求，加强全区住房城乡建设人才队伍建设，提高人才业务素质，激励工作热情，提高行业水平，法律制度适应本行业经济社会发展需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矛盾有效化解，政群关系和谐，促进行业健康发展，提升机关及行业信息化水平，保障机关办公网络、门户网站及各类业务系统安全稳定运行；加大信息宣传力度，创造良好舆论氛围。</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分项绩效目标：综合事务保障率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﹪，综合业务管理工作完成率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﹪，案件审结率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﹪，服务对象满意度</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我们将继续紧盯区委、区政府工作目标任务，着力破解建设难题，提升城市品质、统筹城乡发展、保障改善民生，重点做到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三个坚定不移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（一）坚定不移推进城市建设。老旧小区改造提升方面，一是健全完善</w:t>
      </w:r>
      <w:r>
        <w:rPr>
          <w:rFonts w:ascii="Times New Roman" w:hAnsi="Times New Roman" w:eastAsia="仿宋_GB2312" w:cs="Times New Roman"/>
          <w:sz w:val="32"/>
          <w:szCs w:val="32"/>
        </w:rPr>
        <w:t>343</w:t>
      </w:r>
      <w:r>
        <w:rPr>
          <w:rFonts w:hint="eastAsia" w:ascii="Times New Roman" w:hAnsi="Times New Roman" w:eastAsia="仿宋_GB2312" w:cs="Times New Roman"/>
          <w:sz w:val="32"/>
          <w:szCs w:val="32"/>
        </w:rPr>
        <w:t>个无物业转有物业小区的运营机制，做好小区环境卫生保洁、保安区域化巡逻、设施维护维修等工作，全面实现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目标：有封闭（门禁道闸正常使用）、有保洁（人员充足，清扫效果良好）、有保安（区域化不间断巡逻，及时发现问题、解决问题）、有监控（通过监控大屏切实发挥好安保作用，实现人防、物防、技防结合）、有维修（拓展合作对象，降低成本）。二是对人保宿舍、勘察院、鑫汇里、锦盛园、裕西里、文明里</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个示范小区的硬件设施进行进一步提升。三是计划投资</w:t>
      </w:r>
      <w:r>
        <w:rPr>
          <w:rFonts w:ascii="Times New Roman" w:hAnsi="Times New Roman" w:eastAsia="仿宋_GB2312" w:cs="Times New Roman"/>
          <w:sz w:val="32"/>
          <w:szCs w:val="32"/>
        </w:rPr>
        <w:t>4000</w:t>
      </w:r>
      <w:r>
        <w:rPr>
          <w:rFonts w:hint="eastAsia" w:ascii="Times New Roman" w:hAnsi="Times New Roman" w:eastAsia="仿宋_GB2312" w:cs="Times New Roman"/>
          <w:sz w:val="32"/>
          <w:szCs w:val="32"/>
        </w:rPr>
        <w:t>万元，启动实施城区</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个老旧小区</w:t>
      </w:r>
      <w:r>
        <w:rPr>
          <w:rFonts w:ascii="Times New Roman" w:hAnsi="Times New Roman" w:eastAsia="仿宋_GB2312" w:cs="Times New Roman"/>
          <w:sz w:val="32"/>
          <w:szCs w:val="32"/>
        </w:rPr>
        <w:t>25.944</w:t>
      </w:r>
      <w:r>
        <w:rPr>
          <w:rFonts w:hint="eastAsia" w:ascii="Times New Roman" w:hAnsi="Times New Roman" w:eastAsia="仿宋_GB2312" w:cs="Times New Roman"/>
          <w:sz w:val="32"/>
          <w:szCs w:val="32"/>
        </w:rPr>
        <w:t>万平米的改造提升任务，年底前开展踏勘、居民意愿征求、制定初步改造方案及预算等程序，年后完成招投标手续后，</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月启动实质性改造工程，力争在明年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月底前完成。四是制定机场回迁安置区</w:t>
      </w:r>
      <w:r>
        <w:rPr>
          <w:rFonts w:ascii="Times New Roman" w:hAnsi="Times New Roman" w:eastAsia="仿宋_GB2312" w:cs="Times New Roman"/>
          <w:sz w:val="32"/>
          <w:szCs w:val="32"/>
        </w:rPr>
        <w:t>150</w:t>
      </w:r>
      <w:r>
        <w:rPr>
          <w:rFonts w:hint="eastAsia" w:ascii="Times New Roman" w:hAnsi="Times New Roman" w:eastAsia="仿宋_GB2312" w:cs="Times New Roman"/>
          <w:sz w:val="32"/>
          <w:szCs w:val="32"/>
        </w:rPr>
        <w:t>万平米接管方案，依据方案完成回迁安置区物业入驻。城乡环境方面，继续保持环境卫生作业高标准，以精细化作业为着力点，狠抓作业效率和保洁质量，全面实现辖区内环境卫生提质。进一步健全完善工作运行机制、管理机制，明确工作标准，落实各层级主责主业。按照路面等级管理的要求，把城区路宽在</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米以上的</w:t>
      </w:r>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条、面积约</w:t>
      </w: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万平方米的道路，根据路段的繁华程度、人流、车流量的大小及环卫设施配置情况，进行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定等级、定路段、定标准、定人员、定处罚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细化管理；完善对小街巷、老旧小区三方督导考核、评价奖惩制度，继续推行月考核制度，每月下发通报，将通报结果与奖惩金相结合，确保各环卫服务企业的保洁质量；加大对村街的日常清扫保洁及清运等相关工作的巡查力度，对第三方公司及时开展检查、考核，及时准确掌握第三方公司垃圾清扫和清运效果，对突出问题定期汇总，有针对性地解决，保证农村生活垃圾日产日清。按照大气办专家组建议进行道路抑尘作业，原有清扫路面机械化清扫覆盖率达</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以上，在目前承接道路增加以及部分老旧车辆排放标准不达标面临淘汰的情况下，保持机械化清扫覆盖率不低于</w:t>
      </w:r>
      <w:r>
        <w:rPr>
          <w:rFonts w:ascii="Times New Roman" w:hAnsi="Times New Roman" w:eastAsia="仿宋_GB2312" w:cs="Times New Roman"/>
          <w:sz w:val="32"/>
          <w:szCs w:val="32"/>
        </w:rPr>
        <w:t>86%</w:t>
      </w:r>
      <w:r>
        <w:rPr>
          <w:rFonts w:hint="eastAsia" w:ascii="Times New Roman" w:hAnsi="Times New Roman" w:eastAsia="仿宋_GB2312" w:cs="Times New Roman"/>
          <w:sz w:val="32"/>
          <w:szCs w:val="32"/>
        </w:rPr>
        <w:t>，月降尘量不高于</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方公里。对生活垃圾分类工作，引入成熟的第三方服务模式，优化收运网络、完善分类方式、整合物业及街道基层党组织力量，引导居民提升分类准确率，重点加强对中小学校及幼儿园的垃圾分类知识宣讲，潜移默化影响整体社会氛围，力争</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年广阳区辖区生活垃圾分类覆盖率达到</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。棚改工作方面，加快推动已启动项目的各项手续办理工作，确保回迁房尽快开工建设。</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个棚户区（城中村）改造项目，改造总面积共计</w:t>
      </w:r>
      <w:r>
        <w:rPr>
          <w:rFonts w:ascii="Times New Roman" w:hAnsi="Times New Roman" w:eastAsia="仿宋_GB2312" w:cs="Times New Roman"/>
          <w:sz w:val="32"/>
          <w:szCs w:val="32"/>
        </w:rPr>
        <w:t>8516.01</w:t>
      </w:r>
      <w:r>
        <w:rPr>
          <w:rFonts w:hint="eastAsia" w:ascii="Times New Roman" w:hAnsi="Times New Roman" w:eastAsia="仿宋_GB2312" w:cs="Times New Roman"/>
          <w:sz w:val="32"/>
          <w:szCs w:val="32"/>
        </w:rPr>
        <w:t>亩，目前出让土地为</w:t>
      </w:r>
      <w:r>
        <w:rPr>
          <w:rFonts w:ascii="Times New Roman" w:hAnsi="Times New Roman" w:eastAsia="仿宋_GB2312" w:cs="Times New Roman"/>
          <w:sz w:val="32"/>
          <w:szCs w:val="32"/>
        </w:rPr>
        <w:t>1873.7367</w:t>
      </w:r>
      <w:r>
        <w:rPr>
          <w:rFonts w:hint="eastAsia" w:ascii="Times New Roman" w:hAnsi="Times New Roman" w:eastAsia="仿宋_GB2312" w:cs="Times New Roman"/>
          <w:sz w:val="32"/>
          <w:szCs w:val="32"/>
        </w:rPr>
        <w:t>亩（苗场</w:t>
      </w:r>
      <w:r>
        <w:rPr>
          <w:rFonts w:ascii="Times New Roman" w:hAnsi="Times New Roman" w:eastAsia="仿宋_GB2312" w:cs="Times New Roman"/>
          <w:sz w:val="32"/>
          <w:szCs w:val="32"/>
        </w:rPr>
        <w:t>107.195</w:t>
      </w:r>
      <w:r>
        <w:rPr>
          <w:rFonts w:hint="eastAsia" w:ascii="Times New Roman" w:hAnsi="Times New Roman" w:eastAsia="仿宋_GB2312" w:cs="Times New Roman"/>
          <w:sz w:val="32"/>
          <w:szCs w:val="32"/>
        </w:rPr>
        <w:t>亩、薛家营</w:t>
      </w:r>
      <w:r>
        <w:rPr>
          <w:rFonts w:ascii="Times New Roman" w:hAnsi="Times New Roman" w:eastAsia="仿宋_GB2312" w:cs="Times New Roman"/>
          <w:sz w:val="32"/>
          <w:szCs w:val="32"/>
        </w:rPr>
        <w:t>208.4201</w:t>
      </w:r>
      <w:r>
        <w:rPr>
          <w:rFonts w:hint="eastAsia" w:ascii="Times New Roman" w:hAnsi="Times New Roman" w:eastAsia="仿宋_GB2312" w:cs="Times New Roman"/>
          <w:sz w:val="32"/>
          <w:szCs w:val="32"/>
        </w:rPr>
        <w:t>亩、北尖塔</w:t>
      </w:r>
      <w:r>
        <w:rPr>
          <w:rFonts w:ascii="Times New Roman" w:hAnsi="Times New Roman" w:eastAsia="仿宋_GB2312" w:cs="Times New Roman"/>
          <w:sz w:val="32"/>
          <w:szCs w:val="32"/>
        </w:rPr>
        <w:t>276.5308</w:t>
      </w:r>
      <w:r>
        <w:rPr>
          <w:rFonts w:hint="eastAsia" w:ascii="Times New Roman" w:hAnsi="Times New Roman" w:eastAsia="仿宋_GB2312" w:cs="Times New Roman"/>
          <w:sz w:val="32"/>
          <w:szCs w:val="32"/>
        </w:rPr>
        <w:t>亩、南尖塔</w:t>
      </w:r>
      <w:r>
        <w:rPr>
          <w:rFonts w:ascii="Times New Roman" w:hAnsi="Times New Roman" w:eastAsia="仿宋_GB2312" w:cs="Times New Roman"/>
          <w:sz w:val="32"/>
          <w:szCs w:val="32"/>
        </w:rPr>
        <w:t>89.7968</w:t>
      </w:r>
      <w:r>
        <w:rPr>
          <w:rFonts w:hint="eastAsia" w:ascii="Times New Roman" w:hAnsi="Times New Roman" w:eastAsia="仿宋_GB2312" w:cs="Times New Roman"/>
          <w:sz w:val="32"/>
          <w:szCs w:val="32"/>
        </w:rPr>
        <w:t>亩、东尖塔</w:t>
      </w:r>
      <w:r>
        <w:rPr>
          <w:rFonts w:ascii="Times New Roman" w:hAnsi="Times New Roman" w:eastAsia="仿宋_GB2312" w:cs="Times New Roman"/>
          <w:sz w:val="32"/>
          <w:szCs w:val="32"/>
        </w:rPr>
        <w:t>87.1755</w:t>
      </w:r>
      <w:r>
        <w:rPr>
          <w:rFonts w:hint="eastAsia" w:ascii="Times New Roman" w:hAnsi="Times New Roman" w:eastAsia="仿宋_GB2312" w:cs="Times New Roman"/>
          <w:sz w:val="32"/>
          <w:szCs w:val="32"/>
        </w:rPr>
        <w:t>亩、南甸</w:t>
      </w:r>
      <w:r>
        <w:rPr>
          <w:rFonts w:ascii="Times New Roman" w:hAnsi="Times New Roman" w:eastAsia="仿宋_GB2312" w:cs="Times New Roman"/>
          <w:sz w:val="32"/>
          <w:szCs w:val="32"/>
        </w:rPr>
        <w:t>151.0742</w:t>
      </w:r>
      <w:r>
        <w:rPr>
          <w:rFonts w:hint="eastAsia" w:ascii="Times New Roman" w:hAnsi="Times New Roman" w:eastAsia="仿宋_GB2312" w:cs="Times New Roman"/>
          <w:sz w:val="32"/>
          <w:szCs w:val="32"/>
        </w:rPr>
        <w:t>亩、碾子营</w:t>
      </w:r>
      <w:r>
        <w:rPr>
          <w:rFonts w:ascii="Times New Roman" w:hAnsi="Times New Roman" w:eastAsia="仿宋_GB2312" w:cs="Times New Roman"/>
          <w:sz w:val="32"/>
          <w:szCs w:val="32"/>
        </w:rPr>
        <w:t>368.5414</w:t>
      </w:r>
      <w:r>
        <w:rPr>
          <w:rFonts w:hint="eastAsia" w:ascii="Times New Roman" w:hAnsi="Times New Roman" w:eastAsia="仿宋_GB2312" w:cs="Times New Roman"/>
          <w:sz w:val="32"/>
          <w:szCs w:val="32"/>
        </w:rPr>
        <w:t>亩、北王庄</w:t>
      </w:r>
      <w:r>
        <w:rPr>
          <w:rFonts w:ascii="Times New Roman" w:hAnsi="Times New Roman" w:eastAsia="仿宋_GB2312" w:cs="Times New Roman"/>
          <w:sz w:val="32"/>
          <w:szCs w:val="32"/>
        </w:rPr>
        <w:t>109.4794</w:t>
      </w:r>
      <w:r>
        <w:rPr>
          <w:rFonts w:hint="eastAsia" w:ascii="Times New Roman" w:hAnsi="Times New Roman" w:eastAsia="仿宋_GB2312" w:cs="Times New Roman"/>
          <w:sz w:val="32"/>
          <w:szCs w:val="32"/>
        </w:rPr>
        <w:t>亩、东户屯</w:t>
      </w:r>
      <w:r>
        <w:rPr>
          <w:rFonts w:ascii="Times New Roman" w:hAnsi="Times New Roman" w:eastAsia="仿宋_GB2312" w:cs="Times New Roman"/>
          <w:sz w:val="32"/>
          <w:szCs w:val="32"/>
        </w:rPr>
        <w:t>153.4575</w:t>
      </w:r>
      <w:r>
        <w:rPr>
          <w:rFonts w:hint="eastAsia" w:ascii="Times New Roman" w:hAnsi="Times New Roman" w:eastAsia="仿宋_GB2312" w:cs="Times New Roman"/>
          <w:sz w:val="32"/>
          <w:szCs w:val="32"/>
        </w:rPr>
        <w:t>亩、西户屯</w:t>
      </w:r>
      <w:r>
        <w:rPr>
          <w:rFonts w:ascii="Times New Roman" w:hAnsi="Times New Roman" w:eastAsia="仿宋_GB2312" w:cs="Times New Roman"/>
          <w:sz w:val="32"/>
          <w:szCs w:val="32"/>
        </w:rPr>
        <w:t>37.6065</w:t>
      </w:r>
      <w:r>
        <w:rPr>
          <w:rFonts w:hint="eastAsia" w:ascii="Times New Roman" w:hAnsi="Times New Roman" w:eastAsia="仿宋_GB2312" w:cs="Times New Roman"/>
          <w:sz w:val="32"/>
          <w:szCs w:val="32"/>
        </w:rPr>
        <w:t>亩、北王庄</w:t>
      </w:r>
      <w:r>
        <w:rPr>
          <w:rFonts w:ascii="Times New Roman" w:hAnsi="Times New Roman" w:eastAsia="仿宋_GB2312" w:cs="Times New Roman"/>
          <w:sz w:val="32"/>
          <w:szCs w:val="32"/>
        </w:rPr>
        <w:t>102.1121</w:t>
      </w:r>
      <w:r>
        <w:rPr>
          <w:rFonts w:hint="eastAsia" w:ascii="Times New Roman" w:hAnsi="Times New Roman" w:eastAsia="仿宋_GB2312" w:cs="Times New Roman"/>
          <w:sz w:val="32"/>
          <w:szCs w:val="32"/>
        </w:rPr>
        <w:t>亩、李庄</w:t>
      </w:r>
      <w:r>
        <w:rPr>
          <w:rFonts w:ascii="Times New Roman" w:hAnsi="Times New Roman" w:eastAsia="仿宋_GB2312" w:cs="Times New Roman"/>
          <w:sz w:val="32"/>
          <w:szCs w:val="32"/>
        </w:rPr>
        <w:t>145.4638</w:t>
      </w:r>
      <w:r>
        <w:rPr>
          <w:rFonts w:hint="eastAsia" w:ascii="Times New Roman" w:hAnsi="Times New Roman" w:eastAsia="仿宋_GB2312" w:cs="Times New Roman"/>
          <w:sz w:val="32"/>
          <w:szCs w:val="32"/>
        </w:rPr>
        <w:t>亩、芒店二村</w:t>
      </w:r>
      <w:r>
        <w:rPr>
          <w:rFonts w:ascii="Times New Roman" w:hAnsi="Times New Roman" w:eastAsia="仿宋_GB2312" w:cs="Times New Roman"/>
          <w:sz w:val="32"/>
          <w:szCs w:val="32"/>
        </w:rPr>
        <w:t>36.8836</w:t>
      </w:r>
      <w:r>
        <w:rPr>
          <w:rFonts w:hint="eastAsia" w:ascii="Times New Roman" w:hAnsi="Times New Roman" w:eastAsia="仿宋_GB2312" w:cs="Times New Roman"/>
          <w:sz w:val="32"/>
          <w:szCs w:val="32"/>
        </w:rPr>
        <w:t>亩），其中回迁用地约</w:t>
      </w:r>
      <w:r>
        <w:rPr>
          <w:rFonts w:ascii="Times New Roman" w:hAnsi="Times New Roman" w:eastAsia="仿宋_GB2312" w:cs="Times New Roman"/>
          <w:sz w:val="32"/>
          <w:szCs w:val="32"/>
        </w:rPr>
        <w:t>480</w:t>
      </w:r>
      <w:r>
        <w:rPr>
          <w:rFonts w:hint="eastAsia" w:ascii="Times New Roman" w:hAnsi="Times New Roman" w:eastAsia="仿宋_GB2312" w:cs="Times New Roman"/>
          <w:sz w:val="32"/>
          <w:szCs w:val="32"/>
        </w:rPr>
        <w:t>亩，回迁建筑面积约</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万平方米，目前已开工约</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万平方米。</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年将积极推进北尖塔、南甸、碾子营、薛家营、苗场、许各庄、东户屯、李庄</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个已开工建设项目加快建设进度，推进北王庄、东尖塔、西户屯和芒店二村</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个项目加快办理土地、规划、建设等手续，力争列入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规划的东尖塔（</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年计划启动</w:t>
      </w:r>
      <w:r>
        <w:rPr>
          <w:rFonts w:ascii="Times New Roman" w:hAnsi="Times New Roman" w:eastAsia="仿宋_GB2312" w:cs="Times New Roman"/>
          <w:sz w:val="32"/>
          <w:szCs w:val="32"/>
        </w:rPr>
        <w:t>192</w:t>
      </w:r>
      <w:r>
        <w:rPr>
          <w:rFonts w:hint="eastAsia" w:ascii="Times New Roman" w:hAnsi="Times New Roman" w:eastAsia="仿宋_GB2312" w:cs="Times New Roman"/>
          <w:sz w:val="32"/>
          <w:szCs w:val="32"/>
        </w:rPr>
        <w:t>套回迁安置房开工建设）和北王庄（</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年计划启动</w:t>
      </w:r>
      <w:r>
        <w:rPr>
          <w:rFonts w:ascii="Times New Roman" w:hAnsi="Times New Roman" w:eastAsia="仿宋_GB2312" w:cs="Times New Roman"/>
          <w:sz w:val="32"/>
          <w:szCs w:val="32"/>
        </w:rPr>
        <w:t>360</w:t>
      </w:r>
      <w:r>
        <w:rPr>
          <w:rFonts w:hint="eastAsia" w:ascii="Times New Roman" w:hAnsi="Times New Roman" w:eastAsia="仿宋_GB2312" w:cs="Times New Roman"/>
          <w:sz w:val="32"/>
          <w:szCs w:val="32"/>
        </w:rPr>
        <w:t>套回迁安置房开工建设）两个项目按时完成目标任务。</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（二）坚定不移推进民生改善。脱贫攻坚工作方面，继续按照上级主管部门的统一安排部署，开展农村住房安全排查工作，跟踪核实住房安全，动态调整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类重点对象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住房档案，同时在</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日前，完成对存在安全隐患的其他农村房屋的整治工作，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月底前，建立农村房屋建设管理长效机制，完善各类农村房屋建设标准体系；加强督导，全力推动农房抗震改造工作，确保于</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月底前完成</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户改造任务；持续开展精准帮扶工作，确保不出现返贫。职能下放承接工作方面，继续与市住建局积极对接，强化承接前人员培训，做好维修基金核算等工作。待职能全部承接后，全力开展各项工作。供暖工作方面，全面做好本季及下一个冬季供暖工作，利用停暖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冬病夏治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做好供暖管网的检修维护工作。同时在下一个供暖季来临前提前做好供暖小区排查工作，发现隐患提前处置。</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坚定不移推进安全生产。疫情防控方面，持续做好系统内外的排查和管控工作，督促区属建筑工地及城际铁路联络线（广阳段）落实好相应疫情防控措施。建筑施工方面，结合汛期、暑期和冬季安全生产工作，进一步夯实建筑施工集中排查整治成果，认真落实安全生产监管和企业主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两个责任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，全面推行建筑工程项目双控机制建设。燃气安全方面，督导各燃气企业进一步落实安全运营风险管控与隐患治理工作，逐步完善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体系建设；督导各燃气企业狠抓人员教育培训，加大燃气安全知识宣传引导力度，不断完善应急预案，做到安全责任、管理、投入、培训和应急救援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五到位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防汛工作方面，雨季前对防汛重点部位、重点路段进行全面排查，确保排水畅通，同时完善应急处置机制，充实应急队伍，提升防汛保畅能力，确保关键时刻队伍拉得出、用得上、干得好，全面筑牢城市汛期安全防线。</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rPr>
                <w:rFonts w:ascii="宋体" w:cs="宋体"/>
                <w:sz w:val="18"/>
                <w:szCs w:val="18"/>
              </w:rPr>
            </w:pPr>
            <w:r>
              <w:rPr>
                <w:rFonts w:hint="eastAsia"/>
                <w:sz w:val="18"/>
                <w:szCs w:val="18"/>
              </w:rPr>
              <w:t>总体目标数量</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重点做到“三个坚定不移”</w:t>
            </w:r>
          </w:p>
        </w:tc>
        <w:tc>
          <w:tcPr>
            <w:tcW w:w="543" w:type="dxa"/>
            <w:vAlign w:val="center"/>
          </w:tcPr>
          <w:p>
            <w:pPr>
              <w:rPr>
                <w:rFonts w:ascii="宋体" w:cs="宋体"/>
                <w:sz w:val="18"/>
                <w:szCs w:val="18"/>
              </w:rPr>
            </w:pPr>
            <w:r>
              <w:rPr>
                <w:sz w:val="18"/>
                <w:szCs w:val="18"/>
              </w:rPr>
              <w:t>=</w:t>
            </w:r>
          </w:p>
        </w:tc>
        <w:tc>
          <w:tcPr>
            <w:tcW w:w="488" w:type="dxa"/>
            <w:vAlign w:val="center"/>
          </w:tcPr>
          <w:p>
            <w:pPr>
              <w:jc w:val="right"/>
              <w:rPr>
                <w:rFonts w:ascii="宋体" w:cs="宋体"/>
                <w:sz w:val="18"/>
                <w:szCs w:val="18"/>
              </w:rPr>
            </w:pPr>
            <w:r>
              <w:rPr>
                <w:sz w:val="18"/>
                <w:szCs w:val="18"/>
              </w:rPr>
              <w:t>3.00</w:t>
            </w:r>
          </w:p>
        </w:tc>
        <w:tc>
          <w:tcPr>
            <w:tcW w:w="573" w:type="dxa"/>
            <w:vAlign w:val="center"/>
          </w:tcPr>
          <w:p>
            <w:pPr>
              <w:rPr>
                <w:rFonts w:ascii="宋体" w:cs="宋体"/>
                <w:sz w:val="18"/>
                <w:szCs w:val="18"/>
              </w:rPr>
            </w:pPr>
            <w:r>
              <w:rPr>
                <w:rFonts w:hint="eastAsia"/>
                <w:sz w:val="18"/>
                <w:szCs w:val="18"/>
              </w:rPr>
              <w:t>个</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vAlign w:val="center"/>
          </w:tcPr>
          <w:p>
            <w:pPr>
              <w:rPr>
                <w:rFonts w:ascii="宋体" w:cs="宋体"/>
                <w:sz w:val="18"/>
                <w:szCs w:val="18"/>
              </w:rPr>
            </w:pPr>
            <w:r>
              <w:rPr>
                <w:rFonts w:hint="eastAsia"/>
                <w:sz w:val="18"/>
                <w:szCs w:val="18"/>
              </w:rPr>
              <w:t>验收合格率</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验收合格项目占验收项目总量的比例</w:t>
            </w:r>
          </w:p>
        </w:tc>
        <w:tc>
          <w:tcPr>
            <w:tcW w:w="543" w:type="dxa"/>
            <w:vAlign w:val="center"/>
          </w:tcPr>
          <w:p>
            <w:pPr>
              <w:rPr>
                <w:rFonts w:ascii="宋体" w:cs="宋体"/>
                <w:sz w:val="18"/>
                <w:szCs w:val="18"/>
              </w:rPr>
            </w:pPr>
            <w:r>
              <w:rPr>
                <w:rFonts w:hint="eastAsia"/>
                <w:sz w:val="18"/>
                <w:szCs w:val="18"/>
              </w:rPr>
              <w:t>≥</w:t>
            </w:r>
          </w:p>
        </w:tc>
        <w:tc>
          <w:tcPr>
            <w:tcW w:w="488" w:type="dxa"/>
            <w:vAlign w:val="center"/>
          </w:tcPr>
          <w:p>
            <w:pPr>
              <w:jc w:val="right"/>
              <w:rPr>
                <w:rFonts w:ascii="宋体" w:cs="宋体"/>
                <w:sz w:val="18"/>
                <w:szCs w:val="18"/>
              </w:rPr>
            </w:pPr>
            <w:r>
              <w:rPr>
                <w:sz w:val="18"/>
                <w:szCs w:val="18"/>
              </w:rPr>
              <w:t>80.00</w:t>
            </w:r>
          </w:p>
        </w:tc>
        <w:tc>
          <w:tcPr>
            <w:tcW w:w="573" w:type="dxa"/>
            <w:vAlign w:val="center"/>
          </w:tcPr>
          <w:p>
            <w:pPr>
              <w:rPr>
                <w:rFonts w:ascii="宋体" w:cs="宋体"/>
                <w:sz w:val="18"/>
                <w:szCs w:val="18"/>
              </w:rPr>
            </w:pPr>
            <w:r>
              <w:rPr>
                <w:rFonts w:hint="eastAsia"/>
                <w:sz w:val="18"/>
                <w:szCs w:val="18"/>
              </w:rPr>
              <w:t>百分比</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rPr>
                <w:rFonts w:ascii="宋体" w:cs="宋体"/>
                <w:sz w:val="18"/>
                <w:szCs w:val="18"/>
              </w:rPr>
            </w:pPr>
            <w:r>
              <w:rPr>
                <w:rFonts w:hint="eastAsia"/>
                <w:sz w:val="18"/>
                <w:szCs w:val="18"/>
              </w:rPr>
              <w:t>完成时间</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工作任务完成时间</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sz w:val="18"/>
                <w:szCs w:val="18"/>
              </w:rPr>
              <w:t>2021</w:t>
            </w:r>
            <w:r>
              <w:rPr>
                <w:rFonts w:hint="eastAsia"/>
                <w:sz w:val="18"/>
                <w:szCs w:val="18"/>
              </w:rPr>
              <w:t>年年底前按时完成</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rPr>
                <w:rFonts w:ascii="宋体" w:cs="宋体"/>
                <w:sz w:val="18"/>
                <w:szCs w:val="18"/>
              </w:rPr>
            </w:pPr>
            <w:r>
              <w:rPr>
                <w:rFonts w:hint="eastAsia"/>
                <w:sz w:val="18"/>
                <w:szCs w:val="18"/>
              </w:rPr>
              <w:t>突发事件处理完成情况</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反映我区区域内突发事件是否能够得到及时发现并部署处理措施情况</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能够及时发现并处理</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rPr>
                <w:rFonts w:ascii="宋体" w:cs="宋体"/>
                <w:sz w:val="18"/>
                <w:szCs w:val="18"/>
              </w:rPr>
            </w:pPr>
            <w:r>
              <w:rPr>
                <w:rFonts w:hint="eastAsia"/>
                <w:sz w:val="18"/>
                <w:szCs w:val="18"/>
              </w:rPr>
              <w:t>大气环境质量改善</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大气环境质量改善</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大气环境质量改善</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tc>
        <w:tc>
          <w:tcPr>
            <w:tcW w:w="825"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noWrap/>
            <w:vAlign w:val="center"/>
          </w:tcPr>
          <w:p>
            <w:pPr>
              <w:widowControl/>
              <w:adjustRightInd w:val="0"/>
              <w:snapToGrid w:val="0"/>
              <w:rPr>
                <w:rFonts w:ascii="方正书宋_GBK" w:eastAsia="方正书宋_GBK"/>
              </w:rPr>
            </w:pPr>
            <w:r>
              <w:rPr>
                <w:rFonts w:hint="eastAsia" w:ascii="方正书宋_GBK" w:eastAsia="方正书宋_GBK"/>
              </w:rPr>
              <w:t>可持续影响性</w:t>
            </w:r>
          </w:p>
        </w:tc>
        <w:tc>
          <w:tcPr>
            <w:tcW w:w="2172" w:type="dxa"/>
            <w:noWrap/>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noWrap/>
            <w:vAlign w:val="center"/>
          </w:tcPr>
          <w:p>
            <w:pPr>
              <w:rPr>
                <w:rFonts w:ascii="宋体" w:cs="宋体"/>
                <w:sz w:val="18"/>
                <w:szCs w:val="18"/>
              </w:rPr>
            </w:pPr>
            <w:r>
              <w:rPr>
                <w:rFonts w:hint="eastAsia"/>
                <w:sz w:val="18"/>
                <w:szCs w:val="18"/>
              </w:rPr>
              <w:t>持续保障综合事务的完成，保障人民生产生活的质量</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得到保障</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noWrap/>
            <w:vAlign w:val="center"/>
          </w:tcPr>
          <w:p>
            <w:pPr>
              <w:widowControl/>
              <w:adjustRightInd w:val="0"/>
              <w:snapToGrid w:val="0"/>
              <w:rPr>
                <w:rFonts w:ascii="方正书宋_GBK" w:eastAsia="方正书宋_GBK"/>
              </w:rPr>
            </w:pPr>
            <w:r>
              <w:rPr>
                <w:rFonts w:hint="eastAsia"/>
                <w:sz w:val="18"/>
                <w:szCs w:val="18"/>
              </w:rPr>
              <w:t>服务对象满意度</w:t>
            </w:r>
          </w:p>
        </w:tc>
        <w:tc>
          <w:tcPr>
            <w:tcW w:w="2172" w:type="dxa"/>
            <w:noWrap/>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noWrap/>
            <w:vAlign w:val="center"/>
          </w:tcPr>
          <w:p>
            <w:pPr>
              <w:widowControl/>
              <w:adjustRightInd w:val="0"/>
              <w:snapToGrid w:val="0"/>
              <w:rPr>
                <w:rFonts w:ascii="方正书宋_GBK" w:eastAsia="方正书宋_GBK"/>
              </w:rPr>
            </w:pPr>
            <w:r>
              <w:rPr>
                <w:rFonts w:hint="eastAsia"/>
                <w:sz w:val="18"/>
                <w:szCs w:val="18"/>
              </w:rPr>
              <w:t>服务对象满意数量占调查对象总量的比率</w:t>
            </w:r>
          </w:p>
        </w:tc>
        <w:tc>
          <w:tcPr>
            <w:tcW w:w="543" w:type="dxa"/>
            <w:vAlign w:val="center"/>
          </w:tcPr>
          <w:p>
            <w:pPr>
              <w:rPr>
                <w:rFonts w:ascii="宋体" w:cs="宋体"/>
                <w:sz w:val="18"/>
                <w:szCs w:val="18"/>
              </w:rPr>
            </w:pPr>
            <w:r>
              <w:rPr>
                <w:rFonts w:hint="eastAsia"/>
                <w:sz w:val="18"/>
                <w:szCs w:val="18"/>
              </w:rPr>
              <w:t>≥</w:t>
            </w:r>
          </w:p>
        </w:tc>
        <w:tc>
          <w:tcPr>
            <w:tcW w:w="488" w:type="dxa"/>
            <w:vAlign w:val="center"/>
          </w:tcPr>
          <w:p>
            <w:pPr>
              <w:jc w:val="right"/>
              <w:rPr>
                <w:rFonts w:ascii="宋体" w:cs="宋体"/>
                <w:sz w:val="18"/>
                <w:szCs w:val="18"/>
              </w:rPr>
            </w:pPr>
            <w:r>
              <w:rPr>
                <w:sz w:val="18"/>
                <w:szCs w:val="18"/>
              </w:rPr>
              <w:t>80.00</w:t>
            </w:r>
          </w:p>
        </w:tc>
        <w:tc>
          <w:tcPr>
            <w:tcW w:w="573" w:type="dxa"/>
            <w:vAlign w:val="center"/>
          </w:tcPr>
          <w:p>
            <w:pPr>
              <w:rPr>
                <w:rFonts w:ascii="宋体" w:cs="宋体"/>
                <w:sz w:val="18"/>
                <w:szCs w:val="18"/>
              </w:rPr>
            </w:pPr>
            <w:r>
              <w:rPr>
                <w:rFonts w:hint="eastAsia"/>
                <w:sz w:val="18"/>
                <w:szCs w:val="18"/>
              </w:rPr>
              <w:t>百分比</w:t>
            </w:r>
          </w:p>
        </w:tc>
        <w:tc>
          <w:tcPr>
            <w:tcW w:w="1277" w:type="dxa"/>
            <w:vAlign w:val="center"/>
          </w:tcPr>
          <w:p>
            <w:pPr>
              <w:rPr>
                <w:rFonts w:ascii="宋体" w:cs="宋体"/>
                <w:sz w:val="18"/>
                <w:szCs w:val="18"/>
              </w:rPr>
            </w:pPr>
            <w:r>
              <w:rPr>
                <w:rFonts w:hint="eastAsia"/>
                <w:sz w:val="18"/>
                <w:szCs w:val="18"/>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ascii="方正仿宋_GBK" w:eastAsia="方正仿宋_GBK"/>
          <w:b/>
          <w:sz w:val="28"/>
        </w:rPr>
        <w:t xml:space="preserve"> </w:t>
      </w:r>
      <w:r>
        <w:rPr>
          <w:rFonts w:hint="eastAsia" w:ascii="Times New Roman" w:hAnsi="Times New Roman" w:eastAsia="仿宋_GB2312" w:cs="Times New Roman"/>
          <w:sz w:val="28"/>
        </w:rPr>
        <w:t>原房管局自收自支人员经费绩效目标表</w:t>
      </w:r>
      <w:bookmarkStart w:id="0" w:name="_Toc29799657"/>
      <w:bookmarkEnd w:id="0"/>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按时按量支付职工工资及各项福利，维护职工队伍稳定</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切实保障原区房管局承担的各项工作顺利正常开展，完成区住建局各项工作任务。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实际发放数占总发放数的比率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及时拨付人员经费</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基本达到</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保证人员工资发放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保证人员工资发放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得到保证</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ascii="方正仿宋_GBK" w:eastAsia="方正仿宋_GBK"/>
          <w:b/>
          <w:sz w:val="28"/>
        </w:rPr>
        <w:t xml:space="preserve"> </w:t>
      </w:r>
      <w:r>
        <w:rPr>
          <w:rFonts w:hint="eastAsia" w:ascii="Times New Roman" w:hAnsi="Times New Roman" w:eastAsia="仿宋_GB2312" w:cs="Times New Roman"/>
          <w:sz w:val="28"/>
        </w:rPr>
        <w:t>农村燃气协管员工资补助资金绩效目标表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工程农村燃气安全协管员工资按月正常发放</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保障广阳区</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工程农村燃气安全运行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发放协管员工资人数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158</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实际发放数占总发放数的比率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及时拨付协管员工资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安全运行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达到安全运行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工程安全运营二十条强化措施》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良好运行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工程安全运营二十条强化措施》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协管员满意度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满意数占总调查人数的比率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3.</w:t>
      </w:r>
      <w:r>
        <w:rPr>
          <w:rFonts w:ascii="方正仿宋_GBK" w:eastAsia="方正仿宋_GBK"/>
          <w:b/>
          <w:sz w:val="28"/>
        </w:rPr>
        <w:t xml:space="preserve"> </w:t>
      </w:r>
      <w:r>
        <w:rPr>
          <w:rFonts w:hint="eastAsia" w:ascii="Times New Roman" w:hAnsi="Times New Roman" w:eastAsia="仿宋_GB2312" w:cs="Times New Roman"/>
          <w:sz w:val="28"/>
        </w:rPr>
        <w:t>建设员人员经费绩效目标表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按时拨付建设员工资。</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保障建设队伍稳定，保障乡镇建设工作正常开展。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完成发放金额占总发放金额的比率</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进一步推动乡镇建设工作</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进一步推动乡镇建设工作</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推动</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保障城建工作有序发展</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保障城建工作有序发展</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有序发展</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建设员满意度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4.</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年中央大气污染防治资金（用于农村地区清洁取暖</w:t>
      </w:r>
      <w:r>
        <w:rPr>
          <w:rFonts w:ascii="Times New Roman" w:hAnsi="Times New Roman" w:eastAsia="仿宋_GB2312" w:cs="Times New Roman"/>
          <w:sz w:val="28"/>
        </w:rPr>
        <w:t>2018</w:t>
      </w:r>
      <w:r>
        <w:rPr>
          <w:rFonts w:hint="eastAsia" w:ascii="Times New Roman" w:hAnsi="Times New Roman" w:eastAsia="仿宋_GB2312" w:cs="Times New Roman"/>
          <w:sz w:val="28"/>
        </w:rPr>
        <w:t>年任务的</w:t>
      </w:r>
      <w:r>
        <w:rPr>
          <w:rFonts w:ascii="Times New Roman" w:hAnsi="Times New Roman" w:eastAsia="仿宋_GB2312" w:cs="Times New Roman"/>
          <w:sz w:val="28"/>
        </w:rPr>
        <w:t>2021</w:t>
      </w:r>
      <w:r>
        <w:rPr>
          <w:rFonts w:hint="eastAsia" w:ascii="Times New Roman" w:hAnsi="Times New Roman" w:eastAsia="仿宋_GB2312" w:cs="Times New Roman"/>
          <w:sz w:val="28"/>
        </w:rPr>
        <w:t>年运行补贴退坡至</w:t>
      </w:r>
      <w:r>
        <w:rPr>
          <w:rFonts w:ascii="Times New Roman" w:hAnsi="Times New Roman" w:eastAsia="仿宋_GB2312" w:cs="Times New Roman"/>
          <w:sz w:val="28"/>
        </w:rPr>
        <w:t>50%</w:t>
      </w:r>
      <w:r>
        <w:rPr>
          <w:rFonts w:hint="eastAsia" w:ascii="Times New Roman" w:hAnsi="Times New Roman" w:eastAsia="仿宋_GB2312" w:cs="Times New Roman"/>
          <w:sz w:val="28"/>
        </w:rPr>
        <w:t>）绩效目标表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2018</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年采暖季的省级应承担的运行补贴，用于农村地区清洁取暖</w:t>
            </w:r>
            <w:r>
              <w:rPr>
                <w:rFonts w:ascii="方正书宋_GBK" w:eastAsia="方正书宋_GBK"/>
              </w:rPr>
              <w:t>2018</w:t>
            </w:r>
            <w:r>
              <w:rPr>
                <w:rFonts w:hint="eastAsia" w:ascii="方正书宋_GBK" w:eastAsia="方正书宋_GBK"/>
              </w:rPr>
              <w:t>年任务的</w:t>
            </w:r>
            <w:r>
              <w:rPr>
                <w:rFonts w:ascii="方正书宋_GBK" w:eastAsia="方正书宋_GBK"/>
              </w:rPr>
              <w:t>2021</w:t>
            </w:r>
            <w:r>
              <w:rPr>
                <w:rFonts w:hint="eastAsia" w:ascii="方正书宋_GBK" w:eastAsia="方正书宋_GBK"/>
              </w:rPr>
              <w:t>年运行补贴退坡至</w:t>
            </w:r>
            <w:r>
              <w:rPr>
                <w:rFonts w:ascii="方正书宋_GBK" w:eastAsia="方正书宋_GBK"/>
              </w:rPr>
              <w:t>50%</w:t>
            </w:r>
            <w:r>
              <w:rPr>
                <w:rFonts w:hint="eastAsia" w:ascii="方正书宋_GBK" w:eastAsia="方正书宋_GBK"/>
              </w:rPr>
              <w:t>全额</w:t>
            </w:r>
            <w:r>
              <w:rPr>
                <w:rFonts w:ascii="方正书宋_GBK" w:eastAsia="方正书宋_GBK"/>
              </w:rPr>
              <w:t>9</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气代煤改造运行补贴户数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w:t>
            </w:r>
            <w:r>
              <w:rPr>
                <w:rFonts w:hint="eastAsia" w:ascii="方正书宋_GBK" w:eastAsia="方正书宋_GBK"/>
              </w:rPr>
              <w:t>户</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完成工作目标的时间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2020</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bl>
    <w:p>
      <w:pPr>
        <w:jc w:val="left"/>
        <w:outlineLvl w:val="1"/>
        <w:rPr>
          <w:rFonts w:ascii="Times New Roman" w:hAnsi="Times New Roman" w:eastAsia="仿宋_GB2312" w:cs="Times New Roman"/>
          <w:sz w:val="28"/>
        </w:rPr>
      </w:pPr>
    </w:p>
    <w:p>
      <w:pPr>
        <w:jc w:val="left"/>
        <w:outlineLvl w:val="1"/>
        <w:rPr>
          <w:rFonts w:hint="eastAsia" w:ascii="Times New Roman" w:hAnsi="Times New Roman" w:eastAsia="仿宋_GB2312" w:cs="Times New Roman"/>
          <w:sz w:val="28"/>
        </w:rPr>
      </w:pPr>
    </w:p>
    <w:p>
      <w:pPr>
        <w:jc w:val="left"/>
        <w:outlineLvl w:val="1"/>
        <w:rPr>
          <w:rFonts w:hint="eastAsia" w:ascii="Times New Roman" w:hAnsi="Times New Roman" w:eastAsia="仿宋_GB2312" w:cs="Times New Roman"/>
          <w:sz w:val="28"/>
        </w:rPr>
      </w:pPr>
    </w:p>
    <w:p>
      <w:pPr>
        <w:jc w:val="left"/>
        <w:outlineLvl w:val="1"/>
        <w:rPr>
          <w:rFonts w:hint="eastAsia" w:ascii="Times New Roman" w:hAnsi="Times New Roman" w:eastAsia="仿宋_GB2312" w:cs="Times New Roman"/>
          <w:sz w:val="28"/>
        </w:rPr>
      </w:pPr>
    </w:p>
    <w:p>
      <w:pPr>
        <w:jc w:val="left"/>
        <w:outlineLvl w:val="1"/>
        <w:rPr>
          <w:rFonts w:ascii="Times New Roman" w:hAnsi="Times New Roman" w:eastAsia="仿宋_GB2312" w:cs="Times New Roman"/>
          <w:sz w:val="28"/>
        </w:rPr>
      </w:pPr>
      <w:r>
        <w:rPr>
          <w:rFonts w:ascii="Times New Roman" w:hAnsi="Times New Roman" w:eastAsia="仿宋_GB2312" w:cs="Times New Roman"/>
          <w:sz w:val="28"/>
        </w:rPr>
        <w:t>5.</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年中央大气污染防治资金（用于农村地区清洁取暖</w:t>
      </w:r>
      <w:r>
        <w:rPr>
          <w:rFonts w:ascii="Times New Roman" w:hAnsi="Times New Roman" w:eastAsia="仿宋_GB2312" w:cs="Times New Roman"/>
          <w:sz w:val="28"/>
        </w:rPr>
        <w:t>2018</w:t>
      </w:r>
      <w:r>
        <w:rPr>
          <w:rFonts w:hint="eastAsia" w:ascii="Times New Roman" w:hAnsi="Times New Roman" w:eastAsia="仿宋_GB2312" w:cs="Times New Roman"/>
          <w:sz w:val="28"/>
        </w:rPr>
        <w:t>年任务的</w:t>
      </w:r>
      <w:r>
        <w:rPr>
          <w:rFonts w:ascii="Times New Roman" w:hAnsi="Times New Roman" w:eastAsia="仿宋_GB2312" w:cs="Times New Roman"/>
          <w:sz w:val="28"/>
        </w:rPr>
        <w:t>2020</w:t>
      </w:r>
      <w:r>
        <w:rPr>
          <w:rFonts w:hint="eastAsia" w:ascii="Times New Roman" w:hAnsi="Times New Roman" w:eastAsia="仿宋_GB2312" w:cs="Times New Roman"/>
          <w:sz w:val="28"/>
        </w:rPr>
        <w:t>年运行补贴剩余</w:t>
      </w:r>
      <w:r>
        <w:rPr>
          <w:rFonts w:ascii="Times New Roman" w:hAnsi="Times New Roman" w:eastAsia="仿宋_GB2312" w:cs="Times New Roman"/>
          <w:sz w:val="28"/>
        </w:rPr>
        <w:t>50%</w:t>
      </w:r>
      <w:r>
        <w:rPr>
          <w:rFonts w:hint="eastAsia" w:ascii="Times New Roman" w:hAnsi="Times New Roman" w:eastAsia="仿宋_GB2312" w:cs="Times New Roman"/>
          <w:sz w:val="28"/>
        </w:rPr>
        <w:t>部分）绩效目标表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2018</w:t>
            </w:r>
            <w:r>
              <w:rPr>
                <w:rFonts w:hint="eastAsia" w:ascii="方正书宋_GBK" w:eastAsia="方正书宋_GBK"/>
              </w:rPr>
              <w:t>年完成改造任务</w:t>
            </w:r>
            <w:r>
              <w:rPr>
                <w:rFonts w:ascii="方正书宋_GBK" w:eastAsia="方正书宋_GBK"/>
              </w:rPr>
              <w:t>2020</w:t>
            </w:r>
            <w:r>
              <w:rPr>
                <w:rFonts w:hint="eastAsia" w:ascii="方正书宋_GBK" w:eastAsia="方正书宋_GBK"/>
              </w:rPr>
              <w:t>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气代煤改造运行补贴户数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w:t>
            </w:r>
            <w:r>
              <w:rPr>
                <w:rFonts w:hint="eastAsia" w:ascii="方正书宋_GBK" w:eastAsia="方正书宋_GBK"/>
              </w:rPr>
              <w:t>户</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完成工作目标的时间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2020</w:t>
            </w:r>
            <w:r>
              <w:rPr>
                <w:rFonts w:hint="eastAsia" w:ascii="方正书宋_GBK" w:eastAsia="方正书宋_GBK"/>
              </w:rPr>
              <w:t>﹞</w:t>
            </w:r>
            <w:r>
              <w:rPr>
                <w:rFonts w:ascii="方正书宋_GBK" w:eastAsia="方正书宋_GBK"/>
              </w:rPr>
              <w:t xml:space="preserve"> 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6.</w:t>
      </w:r>
      <w:r>
        <w:rPr>
          <w:rFonts w:ascii="方正仿宋_GBK" w:eastAsia="方正仿宋_GBK"/>
          <w:b/>
          <w:sz w:val="28"/>
        </w:rPr>
        <w:t xml:space="preserve"> </w:t>
      </w:r>
      <w:r>
        <w:rPr>
          <w:rFonts w:hint="eastAsia" w:ascii="Times New Roman" w:hAnsi="Times New Roman" w:eastAsia="仿宋_GB2312" w:cs="Times New Roman"/>
          <w:sz w:val="28"/>
        </w:rPr>
        <w:t>热力人员工资补贴资金绩效目标表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按时按量支付职工工资、缴纳各项保险及公积金、发放各项职工福利，维护职工队伍稳定</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保持我区供热行业良好运行。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54</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工资发放数占总任务数的比率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及时拨付工资及福利</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保障稳定</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保障供热工作稳定</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得到稳定</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供热行业良好运行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供热行业良好运行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良好运行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7.</w:t>
      </w:r>
      <w:r>
        <w:rPr>
          <w:rFonts w:ascii="方正仿宋_GBK" w:eastAsia="方正仿宋_GBK"/>
          <w:b/>
          <w:sz w:val="28"/>
        </w:rPr>
        <w:t xml:space="preserve"> </w:t>
      </w:r>
      <w:r>
        <w:rPr>
          <w:rFonts w:hint="eastAsia" w:ascii="Times New Roman" w:hAnsi="Times New Roman" w:eastAsia="仿宋_GB2312" w:cs="Times New Roman"/>
          <w:sz w:val="28"/>
        </w:rPr>
        <w:t>广阳区大气环保监测点卫生清理经费绩效目标表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2261"/>
        <w:gridCol w:w="1979"/>
        <w:gridCol w:w="3392"/>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tblHeader/>
          <w:jc w:val="center"/>
        </w:trPr>
        <w:tc>
          <w:tcPr>
            <w:tcW w:w="2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19"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北华航东校区、西校区监测点周边园区卫生；河北工大监测点东、西院区周边卫生；监测点周边核心区域屋顶保洁卫生、垃圾清理等</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裸露土地、低压喷灌及苫盖；园区洒水车喷洒，路面湿扫、冲洗辅路便道，根据天气调整作业方式，</w:t>
            </w:r>
            <w:r>
              <w:rPr>
                <w:rFonts w:ascii="方正书宋_GBK" w:eastAsia="方正书宋_GBK"/>
              </w:rPr>
              <w:t>24</w:t>
            </w:r>
            <w:r>
              <w:rPr>
                <w:rFonts w:hint="eastAsia" w:ascii="方正书宋_GBK" w:eastAsia="方正书宋_GBK"/>
              </w:rPr>
              <w:t>小时循环作业。并对垃圾箱楼梯台阶等设施的精细化保洁作业。安排巡查人员</w:t>
            </w:r>
            <w:r>
              <w:rPr>
                <w:rFonts w:ascii="方正书宋_GBK" w:eastAsia="方正书宋_GBK"/>
              </w:rPr>
              <w:t>24</w:t>
            </w:r>
            <w:r>
              <w:rPr>
                <w:rFonts w:hint="eastAsia" w:ascii="方正书宋_GBK" w:eastAsia="方正书宋_GBK"/>
              </w:rPr>
              <w:t>小时排查校区及周边有无施工无抑尘，裸露土地未苫盖，高排车辆怠速等异常情况。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tblHeader/>
          <w:jc w:val="center"/>
        </w:trPr>
        <w:tc>
          <w:tcPr>
            <w:tcW w:w="2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1"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7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39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37"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0"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2402"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37" w:type="dxa"/>
            <w:vAlign w:val="center"/>
          </w:tcPr>
          <w:p>
            <w:pPr>
              <w:spacing w:line="300" w:lineRule="exact"/>
              <w:jc w:val="left"/>
              <w:rPr>
                <w:rFonts w:ascii="方正书宋_GBK" w:eastAsia="方正书宋_GBK"/>
              </w:rPr>
            </w:pPr>
            <w:r>
              <w:rPr>
                <w:rFonts w:ascii="方正书宋_GBK" w:eastAsia="方正书宋_GBK"/>
              </w:rPr>
              <w:t>73.3</w:t>
            </w:r>
            <w:r>
              <w:rPr>
                <w:rFonts w:hint="eastAsia" w:ascii="方正书宋_GBK" w:eastAsia="方正书宋_GBK"/>
              </w:rPr>
              <w:t>万平方米</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37" w:type="dxa"/>
            <w:vAlign w:val="center"/>
          </w:tcPr>
          <w:p>
            <w:pPr>
              <w:spacing w:line="300" w:lineRule="exact"/>
              <w:jc w:val="left"/>
              <w:rPr>
                <w:rFonts w:ascii="方正书宋_GBK" w:eastAsia="方正书宋_GBK"/>
              </w:rPr>
            </w:pPr>
            <w:r>
              <w:rPr>
                <w:rFonts w:ascii="方正书宋_GBK" w:eastAsia="方正书宋_GBK"/>
              </w:rPr>
              <w:t>100%</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拨付及时性</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发放任务及时完成</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w:t>
            </w:r>
            <w:r>
              <w:rPr>
                <w:rFonts w:hint="eastAsia" w:ascii="方正书宋_GBK" w:eastAsia="方正书宋_GBK"/>
              </w:rPr>
              <w:t>万元</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校区环境口碑评价</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校区环境口碑评价</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校区环境卫生情况</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校区环境卫生情况</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得到改善</w:t>
            </w:r>
          </w:p>
          <w:p>
            <w:pPr>
              <w:spacing w:line="300" w:lineRule="exact"/>
              <w:jc w:val="left"/>
              <w:rPr>
                <w:rFonts w:ascii="方正书宋_GBK" w:eastAsia="方正书宋_GBK"/>
              </w:rPr>
            </w:pP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居民满意度</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居民满意度占总调查人数比例</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8.</w:t>
      </w:r>
      <w:r>
        <w:rPr>
          <w:rFonts w:ascii="方正仿宋_GBK" w:eastAsia="方正仿宋_GBK"/>
          <w:b/>
          <w:sz w:val="28"/>
        </w:rPr>
        <w:t xml:space="preserve"> </w:t>
      </w:r>
      <w:r>
        <w:rPr>
          <w:rFonts w:hint="eastAsia" w:ascii="Times New Roman" w:hAnsi="Times New Roman" w:eastAsia="仿宋_GB2312" w:cs="Times New Roman"/>
          <w:sz w:val="28"/>
        </w:rPr>
        <w:t>华兴石油矿区“三供一业”移交“市政部分”维护人员经费绩效目标表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保证广阳区全年万庄矿区</w:t>
            </w:r>
            <w:r>
              <w:rPr>
                <w:rFonts w:ascii="方正书宋_GBK" w:eastAsia="方正书宋_GBK"/>
              </w:rPr>
              <w:t>12</w:t>
            </w:r>
            <w:r>
              <w:rPr>
                <w:rFonts w:hint="eastAsia" w:ascii="方正书宋_GBK" w:eastAsia="方正书宋_GBK"/>
              </w:rPr>
              <w:t>条辖区街道及</w:t>
            </w:r>
            <w:r>
              <w:rPr>
                <w:rFonts w:ascii="方正书宋_GBK" w:eastAsia="方正书宋_GBK"/>
              </w:rPr>
              <w:t>3</w:t>
            </w:r>
            <w:r>
              <w:rPr>
                <w:rFonts w:hint="eastAsia" w:ascii="方正书宋_GBK" w:eastAsia="方正书宋_GBK"/>
              </w:rPr>
              <w:t>个公园的保洁和绿化工作</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保证广阳区全年万庄矿区</w:t>
            </w:r>
            <w:r>
              <w:rPr>
                <w:rFonts w:ascii="方正书宋_GBK" w:eastAsia="方正书宋_GBK"/>
              </w:rPr>
              <w:t>3</w:t>
            </w:r>
            <w:r>
              <w:rPr>
                <w:rFonts w:hint="eastAsia" w:ascii="方正书宋_GBK" w:eastAsia="方正书宋_GBK"/>
              </w:rPr>
              <w:t>个矿区的垃圾清运、基础设施维护项目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43" w:type="dxa"/>
            <w:vAlign w:val="center"/>
          </w:tcPr>
          <w:p>
            <w:pPr>
              <w:spacing w:line="300" w:lineRule="exact"/>
              <w:jc w:val="left"/>
              <w:rPr>
                <w:rFonts w:ascii="方正书宋_GBK" w:eastAsia="方正书宋_GBK"/>
              </w:rPr>
            </w:pPr>
            <w:r>
              <w:rPr>
                <w:rFonts w:ascii="方正书宋_GBK" w:eastAsia="方正书宋_GBK"/>
              </w:rPr>
              <w:t>86.45</w:t>
            </w:r>
            <w:r>
              <w:rPr>
                <w:rFonts w:hint="eastAsia" w:ascii="方正书宋_GBK" w:eastAsia="方正书宋_GBK"/>
              </w:rPr>
              <w:t>万平方米</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过渡期</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补贴过渡期第三年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年全年</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预算项目金额</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矿区居民生活便利及舒适度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矿区居民生活便利及舒适度</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矿区居住环境</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矿区居住环境</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矿区居民满意度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服务矿区居民的满意度占总调查人数比例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9.</w:t>
      </w:r>
      <w:r>
        <w:rPr>
          <w:rFonts w:ascii="方正仿宋_GBK" w:eastAsia="方正仿宋_GBK"/>
          <w:b/>
          <w:sz w:val="28"/>
        </w:rPr>
        <w:t xml:space="preserve"> </w:t>
      </w:r>
      <w:r>
        <w:rPr>
          <w:rFonts w:hint="eastAsia" w:ascii="Times New Roman" w:hAnsi="Times New Roman" w:eastAsia="仿宋_GB2312" w:cs="Times New Roman"/>
          <w:sz w:val="28"/>
        </w:rPr>
        <w:t>物业管理办公室人员经费及办公经费绩效目标表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保证广阳区全年物业管理工作、住宅专项维修资金管理工作。</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保证广阳区全年老旧小区改造工作正常运转。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管理面积</w:t>
            </w:r>
            <w:r>
              <w:rPr>
                <w:rFonts w:ascii="方正书宋_GBK" w:eastAsia="方正书宋_GBK"/>
              </w:rPr>
              <w:t xml:space="preserve"> </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老旧小区管理改造面积</w:t>
            </w:r>
          </w:p>
        </w:tc>
        <w:tc>
          <w:tcPr>
            <w:tcW w:w="1843" w:type="dxa"/>
            <w:vAlign w:val="center"/>
          </w:tcPr>
          <w:p>
            <w:pPr>
              <w:spacing w:line="300" w:lineRule="exact"/>
              <w:jc w:val="left"/>
              <w:rPr>
                <w:rFonts w:ascii="方正书宋_GBK" w:eastAsia="方正书宋_GBK"/>
              </w:rPr>
            </w:pPr>
            <w:r>
              <w:rPr>
                <w:rFonts w:ascii="方正书宋_GBK" w:eastAsia="方正书宋_GBK"/>
              </w:rPr>
              <w:t>25.9</w:t>
            </w:r>
            <w:r>
              <w:rPr>
                <w:rFonts w:hint="eastAsia" w:ascii="方正书宋_GBK" w:eastAsia="方正书宋_GBK"/>
              </w:rPr>
              <w:t>万平方米</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住宅专项资金归集率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住宅专项归集管理资金占总住宅专项资金的比率</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拨付及时性</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老旧小区居民生活便利及舒适度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老旧小区居民生活便利及舒适度</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老旧小区住环境</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老旧小区居住环境整体情况</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老旧小区改造居民满意度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老旧小区改造满意度占总户数比例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10.</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年省级大气污染防治资金（用于农村地区清洁取暖</w:t>
      </w:r>
      <w:r>
        <w:rPr>
          <w:rFonts w:ascii="Times New Roman" w:hAnsi="Times New Roman" w:eastAsia="仿宋_GB2312" w:cs="Times New Roman"/>
          <w:sz w:val="28"/>
        </w:rPr>
        <w:t>2017</w:t>
      </w:r>
      <w:r>
        <w:rPr>
          <w:rFonts w:hint="eastAsia" w:ascii="Times New Roman" w:hAnsi="Times New Roman" w:eastAsia="仿宋_GB2312" w:cs="Times New Roman"/>
          <w:sz w:val="28"/>
        </w:rPr>
        <w:t>年任务运行补贴）预算绩效目标表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2017</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保障广阳区农村地区清洁取暖</w:t>
            </w:r>
            <w:r>
              <w:rPr>
                <w:rFonts w:ascii="方正书宋_GBK" w:eastAsia="方正书宋_GBK"/>
              </w:rPr>
              <w:t>2017</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w:t>
            </w:r>
            <w:r>
              <w:rPr>
                <w:rFonts w:ascii="方正书宋_GBK" w:eastAsia="方正书宋_GBK"/>
              </w:rPr>
              <w:t>,</w:t>
            </w:r>
            <w:r>
              <w:rPr>
                <w:rFonts w:hint="eastAsia" w:ascii="方正书宋_GBK" w:eastAsia="方正书宋_GBK"/>
              </w:rPr>
              <w:t>用于农村地区清洁取暖</w:t>
            </w:r>
            <w:r>
              <w:rPr>
                <w:rFonts w:ascii="方正书宋_GBK" w:eastAsia="方正书宋_GBK"/>
              </w:rPr>
              <w:t>2017</w:t>
            </w:r>
            <w:r>
              <w:rPr>
                <w:rFonts w:hint="eastAsia" w:ascii="方正书宋_GBK" w:eastAsia="方正书宋_GBK"/>
              </w:rPr>
              <w:t>年任务的</w:t>
            </w:r>
            <w:r>
              <w:rPr>
                <w:rFonts w:ascii="方正书宋_GBK" w:eastAsia="方正书宋_GBK"/>
              </w:rPr>
              <w:t>2021</w:t>
            </w:r>
            <w:r>
              <w:rPr>
                <w:rFonts w:hint="eastAsia" w:ascii="方正书宋_GBK" w:eastAsia="方正书宋_GBK"/>
              </w:rPr>
              <w:t>年运行补贴退坡至</w:t>
            </w:r>
            <w:r>
              <w:rPr>
                <w:rFonts w:ascii="方正书宋_GBK" w:eastAsia="方正书宋_GBK"/>
              </w:rPr>
              <w:t>25%</w:t>
            </w:r>
            <w:r>
              <w:rPr>
                <w:rFonts w:hint="eastAsia" w:ascii="方正书宋_GBK" w:eastAsia="方正书宋_GBK"/>
              </w:rPr>
              <w:t>全额</w:t>
            </w:r>
            <w:r>
              <w:rPr>
                <w:rFonts w:ascii="方正书宋_GBK" w:eastAsia="方正书宋_GBK"/>
              </w:rPr>
              <w:t>285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补贴宅数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气代煤改造运行补贴宅数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35623</w:t>
            </w:r>
            <w:r>
              <w:rPr>
                <w:rFonts w:hint="eastAsia" w:ascii="方正书宋_GBK" w:eastAsia="方正书宋_GBK"/>
              </w:rPr>
              <w:t>宅</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补贴发放工作目标完成数量占总任务的比例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完成运行补贴的时间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日前完成</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年，我单位安排政府采购预算</w:t>
      </w:r>
      <w:r>
        <w:rPr>
          <w:rFonts w:ascii="Times New Roman" w:hAnsi="Times New Roman" w:eastAsia="仿宋_GB2312" w:cs="Times New Roman"/>
          <w:sz w:val="32"/>
          <w:szCs w:val="24"/>
        </w:rPr>
        <w:t>8.77</w:t>
      </w:r>
      <w:r>
        <w:rPr>
          <w:rFonts w:hint="eastAsia"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书宋_GBK" w:eastAsia="方正书宋_GBK"/>
              </w:rPr>
              <w:t>[601001]廊坊市广阳区住房和城乡建设局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廊坊市广阳区住房和城乡建设局本级小计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left"/>
              <w:rPr>
                <w:rFonts w:ascii="方正书宋_GBK" w:eastAsia="方正书宋_GBK"/>
                <w:b/>
              </w:rPr>
            </w:pPr>
          </w:p>
        </w:tc>
        <w:tc>
          <w:tcPr>
            <w:tcW w:w="1134" w:type="dxa"/>
            <w:vAlign w:val="center"/>
          </w:tcPr>
          <w:p>
            <w:pPr>
              <w:spacing w:line="300" w:lineRule="exact"/>
              <w:jc w:val="lef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31" w:type="dxa"/>
            <w:vAlign w:val="center"/>
          </w:tcPr>
          <w:p>
            <w:pPr>
              <w:spacing w:line="300" w:lineRule="exact"/>
              <w:jc w:val="left"/>
              <w:rPr>
                <w:rFonts w:ascii="方正书宋_GBK" w:eastAsia="方正书宋_GBK"/>
              </w:rPr>
            </w:pPr>
            <w:r>
              <w:rPr>
                <w:rFonts w:ascii="方正书宋_GBK" w:eastAsia="方正书宋_GBK"/>
              </w:rPr>
              <w:t>A0201060901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碎纸机</w:t>
            </w:r>
          </w:p>
        </w:tc>
        <w:tc>
          <w:tcPr>
            <w:tcW w:w="1531" w:type="dxa"/>
            <w:vAlign w:val="center"/>
          </w:tcPr>
          <w:p>
            <w:pPr>
              <w:spacing w:line="300" w:lineRule="exact"/>
              <w:jc w:val="left"/>
              <w:rPr>
                <w:rFonts w:ascii="方正书宋_GBK" w:eastAsia="方正书宋_GBK"/>
              </w:rPr>
            </w:pPr>
            <w:r>
              <w:rPr>
                <w:rFonts w:ascii="方正书宋_GBK" w:eastAsia="方正书宋_GBK"/>
              </w:rPr>
              <w:t>A02021101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31" w:type="dxa"/>
            <w:vAlign w:val="center"/>
          </w:tcPr>
          <w:p>
            <w:pPr>
              <w:spacing w:line="300" w:lineRule="exact"/>
              <w:jc w:val="left"/>
              <w:rPr>
                <w:rFonts w:ascii="方正书宋_GBK" w:eastAsia="方正书宋_GBK"/>
              </w:rPr>
            </w:pPr>
            <w:r>
              <w:rPr>
                <w:rFonts w:ascii="方正书宋_GBK" w:eastAsia="方正书宋_GBK"/>
              </w:rPr>
              <w:t>A02091102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191" w:right="1021" w:bottom="1191" w:left="1021"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廊坊市广阳区住房和城乡建设局（含所属单位）上年末固定资产金额为</w:t>
      </w:r>
      <w:r>
        <w:rPr>
          <w:rFonts w:ascii="Times New Roman" w:hAnsi="Times New Roman" w:eastAsia="仿宋_GB2312" w:cs="Times New Roman"/>
          <w:sz w:val="32"/>
          <w:szCs w:val="32"/>
        </w:rPr>
        <w:t>134.51</w:t>
      </w:r>
      <w:r>
        <w:rPr>
          <w:rFonts w:hint="eastAsia" w:ascii="Times New Roman" w:hAnsi="Times New Roman" w:eastAsia="仿宋_GB2312" w:cs="Times New Roman"/>
          <w:sz w:val="32"/>
          <w:szCs w:val="32"/>
        </w:rPr>
        <w:t>万元（详见下表），本年度我部门拟购置固定资产总额为</w:t>
      </w:r>
      <w:r>
        <w:rPr>
          <w:rFonts w:ascii="Times New Roman" w:hAnsi="Times New Roman" w:eastAsia="仿宋_GB2312" w:cs="Times New Roman"/>
          <w:sz w:val="32"/>
          <w:szCs w:val="32"/>
        </w:rPr>
        <w:t>8.77</w:t>
      </w:r>
      <w:r>
        <w:rPr>
          <w:rFonts w:hint="eastAsia" w:ascii="Times New Roman" w:hAnsi="Times New Roman" w:eastAsia="仿宋_GB2312" w:cs="Times New Roman"/>
          <w:sz w:val="32"/>
          <w:szCs w:val="32"/>
        </w:rPr>
        <w:t>万元，主要为（计算机设备、打印设备、数码相机、摄像机、扫描仪、复印机、办公家具）等，已列入政府采购预算，详见政府采购预算表。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廊坊市广阳区住房和城乡建设局部门固定资产占用情况表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编制部门：廊坊市广阳区住房和城乡建设局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134.51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890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65.49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23</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4F2C"/>
    <w:rsid w:val="000307BD"/>
    <w:rsid w:val="00033345"/>
    <w:rsid w:val="000428C9"/>
    <w:rsid w:val="000749C0"/>
    <w:rsid w:val="000853E2"/>
    <w:rsid w:val="000D310D"/>
    <w:rsid w:val="001003F6"/>
    <w:rsid w:val="00105654"/>
    <w:rsid w:val="00106212"/>
    <w:rsid w:val="00114E98"/>
    <w:rsid w:val="00132269"/>
    <w:rsid w:val="0017444D"/>
    <w:rsid w:val="001A2293"/>
    <w:rsid w:val="001B6FAF"/>
    <w:rsid w:val="001D076C"/>
    <w:rsid w:val="001D6E9F"/>
    <w:rsid w:val="0023272B"/>
    <w:rsid w:val="00247BAB"/>
    <w:rsid w:val="00284072"/>
    <w:rsid w:val="002A48C3"/>
    <w:rsid w:val="002C2CC8"/>
    <w:rsid w:val="002D5C89"/>
    <w:rsid w:val="002E3EF1"/>
    <w:rsid w:val="002E7E89"/>
    <w:rsid w:val="002F3BDE"/>
    <w:rsid w:val="00301F9F"/>
    <w:rsid w:val="00356683"/>
    <w:rsid w:val="003734F3"/>
    <w:rsid w:val="003E27E7"/>
    <w:rsid w:val="00432CE4"/>
    <w:rsid w:val="0043312B"/>
    <w:rsid w:val="00452632"/>
    <w:rsid w:val="0045396D"/>
    <w:rsid w:val="004675DE"/>
    <w:rsid w:val="00493B25"/>
    <w:rsid w:val="004952F6"/>
    <w:rsid w:val="004A46CF"/>
    <w:rsid w:val="004A54AA"/>
    <w:rsid w:val="004D2563"/>
    <w:rsid w:val="00541E2B"/>
    <w:rsid w:val="00546C24"/>
    <w:rsid w:val="005B46A7"/>
    <w:rsid w:val="0062040B"/>
    <w:rsid w:val="006D2C99"/>
    <w:rsid w:val="007030A9"/>
    <w:rsid w:val="00741066"/>
    <w:rsid w:val="0077117C"/>
    <w:rsid w:val="007E79D5"/>
    <w:rsid w:val="007F21C3"/>
    <w:rsid w:val="00807A76"/>
    <w:rsid w:val="00824A03"/>
    <w:rsid w:val="008A24B9"/>
    <w:rsid w:val="008A6029"/>
    <w:rsid w:val="008C6EE8"/>
    <w:rsid w:val="008D1A91"/>
    <w:rsid w:val="008E303E"/>
    <w:rsid w:val="008F0EB4"/>
    <w:rsid w:val="00943DC0"/>
    <w:rsid w:val="00985522"/>
    <w:rsid w:val="00994185"/>
    <w:rsid w:val="00A03A81"/>
    <w:rsid w:val="00A11009"/>
    <w:rsid w:val="00A218C6"/>
    <w:rsid w:val="00A24200"/>
    <w:rsid w:val="00A77B93"/>
    <w:rsid w:val="00A864DF"/>
    <w:rsid w:val="00A9067B"/>
    <w:rsid w:val="00AC6D66"/>
    <w:rsid w:val="00AE1F29"/>
    <w:rsid w:val="00B021A7"/>
    <w:rsid w:val="00B17B32"/>
    <w:rsid w:val="00B22D46"/>
    <w:rsid w:val="00B2689B"/>
    <w:rsid w:val="00B34846"/>
    <w:rsid w:val="00B46CAE"/>
    <w:rsid w:val="00B80935"/>
    <w:rsid w:val="00BA0A85"/>
    <w:rsid w:val="00BB0758"/>
    <w:rsid w:val="00BC742C"/>
    <w:rsid w:val="00BE7A38"/>
    <w:rsid w:val="00C30819"/>
    <w:rsid w:val="00C54652"/>
    <w:rsid w:val="00C9015C"/>
    <w:rsid w:val="00D347CC"/>
    <w:rsid w:val="00D42BED"/>
    <w:rsid w:val="00D76EF9"/>
    <w:rsid w:val="00D76F0C"/>
    <w:rsid w:val="00D80724"/>
    <w:rsid w:val="00DB0162"/>
    <w:rsid w:val="00DD1EE9"/>
    <w:rsid w:val="00DE00F8"/>
    <w:rsid w:val="00E27CE3"/>
    <w:rsid w:val="00E8240E"/>
    <w:rsid w:val="00E86295"/>
    <w:rsid w:val="00F13107"/>
    <w:rsid w:val="00F67A47"/>
    <w:rsid w:val="00F74279"/>
    <w:rsid w:val="00F9201D"/>
    <w:rsid w:val="00FA08DA"/>
    <w:rsid w:val="00FC4DB6"/>
    <w:rsid w:val="00FE02A6"/>
    <w:rsid w:val="010A6C4C"/>
    <w:rsid w:val="0BB46B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uiPriority w:val="99"/>
    <w:pPr>
      <w:ind w:left="200" w:leftChars="200"/>
    </w:pPr>
    <w:rPr>
      <w:rFonts w:ascii="Times New Roman" w:hAnsi="Times New Roman" w:cs="Times New Roman"/>
      <w:szCs w:val="24"/>
    </w:rPr>
  </w:style>
  <w:style w:type="character" w:styleId="10">
    <w:name w:val="footnote reference"/>
    <w:basedOn w:val="9"/>
    <w:uiPriority w:val="99"/>
    <w:rPr>
      <w:rFonts w:cs="Times New Roman"/>
      <w:vertAlign w:val="superscript"/>
    </w:rPr>
  </w:style>
  <w:style w:type="character" w:customStyle="1" w:styleId="11">
    <w:name w:val="页眉 Char"/>
    <w:basedOn w:val="9"/>
    <w:link w:val="4"/>
    <w:semiHidden/>
    <w:locked/>
    <w:uiPriority w:val="99"/>
    <w:rPr>
      <w:rFonts w:ascii="Calibri" w:hAnsi="Calibri" w:cs="Arial"/>
      <w:sz w:val="18"/>
      <w:szCs w:val="18"/>
    </w:rPr>
  </w:style>
  <w:style w:type="character" w:customStyle="1" w:styleId="12">
    <w:name w:val="页脚 Char"/>
    <w:basedOn w:val="9"/>
    <w:link w:val="3"/>
    <w:semiHidden/>
    <w:locked/>
    <w:uiPriority w:val="99"/>
    <w:rPr>
      <w:rFonts w:ascii="Calibri" w:hAnsi="Calibri" w:cs="Arial"/>
      <w:sz w:val="18"/>
      <w:szCs w:val="18"/>
    </w:rPr>
  </w:style>
  <w:style w:type="character" w:customStyle="1" w:styleId="13">
    <w:name w:val="批注框文本 Char"/>
    <w:basedOn w:val="9"/>
    <w:link w:val="2"/>
    <w:semiHidden/>
    <w:locked/>
    <w:uiPriority w:val="99"/>
    <w:rPr>
      <w:rFonts w:ascii="Calibri" w:hAnsi="Calibri" w:cs="Arial"/>
      <w:sz w:val="2"/>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1983</Words>
  <Characters>11304</Characters>
  <Lines>94</Lines>
  <Paragraphs>26</Paragraphs>
  <TotalTime>9008</TotalTime>
  <ScaleCrop>false</ScaleCrop>
  <LinksUpToDate>false</LinksUpToDate>
  <CharactersWithSpaces>13261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2022-07-08T08:05:43Z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A1EF93393AF541809FA51D6C6CFC9616</vt:lpwstr>
  </property>
</Properties>
</file>