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rPr>
        <w:t>河北廊坊广阳经济开发区管理委员会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河北廊坊广阳经济开发区管理委员会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1、是贯彻执行党和国家的方针、政策、法律、法规和市、区人民政府的有关规定，制定产业区科技、经济、社会发展的规划、各项计划和产业区行政管理规定，并组织实施。</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2、是制定产业区招商引资政策，编制招商规划，发布对外招商项目；组织对外招商活动和对外经济技术合作。</w:t>
      </w:r>
    </w:p>
    <w:p>
      <w:pPr>
        <w:widowControl/>
        <w:shd w:val="clear" w:color="auto" w:fill="FFFFFF"/>
        <w:wordWrap w:val="0"/>
        <w:spacing w:line="600" w:lineRule="exact"/>
        <w:ind w:firstLine="482"/>
        <w:jc w:val="left"/>
        <w:rPr>
          <w:rFonts w:ascii="仿宋_GB2312" w:eastAsia="仿宋_GB2312" w:cs="宋体"/>
          <w:color w:val="000000"/>
          <w:sz w:val="32"/>
          <w:szCs w:val="32"/>
        </w:rPr>
      </w:pPr>
      <w:r>
        <w:rPr>
          <w:rFonts w:hint="eastAsia" w:ascii="仿宋_GB2312" w:eastAsia="仿宋_GB2312" w:cs="宋体"/>
          <w:color w:val="000000"/>
          <w:sz w:val="32"/>
          <w:szCs w:val="32"/>
        </w:rPr>
        <w:t>3、是负责产业区建设用地的开发、利用和管理；负责产业区的城市建设和管理工作。</w:t>
      </w:r>
    </w:p>
    <w:p>
      <w:pPr>
        <w:widowControl/>
        <w:shd w:val="clear" w:color="auto" w:fill="FFFFFF"/>
        <w:wordWrap w:val="0"/>
        <w:spacing w:line="600"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widowControl/>
        <w:shd w:val="clear" w:color="auto" w:fill="FFFFFF"/>
        <w:wordWrap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开发区内设机构6个（其中行政机构5个，事业机构1个），分别为党政办公室、财政局、经济发展与招商合作局、规划建设局、行政审批局、社会事务综合服务管理中心。</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仿宋_GB2312" w:eastAsia="仿宋_GB2312" w:cs="宋体"/>
                <w:kern w:val="0"/>
                <w:sz w:val="24"/>
                <w:szCs w:val="32"/>
              </w:rPr>
            </w:pPr>
            <w:r>
              <w:rPr>
                <w:rFonts w:hint="eastAsia" w:ascii="仿宋_GB2312" w:eastAsia="仿宋_GB2312" w:cs="宋体"/>
                <w:kern w:val="0"/>
                <w:sz w:val="24"/>
                <w:szCs w:val="32"/>
              </w:rPr>
              <w:t>河北廊坊广阳经济开发区</w:t>
            </w:r>
          </w:p>
          <w:p>
            <w:pPr>
              <w:widowControl/>
              <w:spacing w:line="225" w:lineRule="atLeast"/>
              <w:jc w:val="center"/>
              <w:rPr>
                <w:rFonts w:ascii="Times New Roman" w:hAnsi="Times New Roman" w:eastAsia="仿宋_GB2312" w:cs="Times New Roman"/>
                <w:b/>
                <w:sz w:val="24"/>
              </w:rPr>
            </w:pPr>
            <w:r>
              <w:rPr>
                <w:rFonts w:hint="eastAsia" w:ascii="仿宋_GB2312" w:eastAsia="仿宋_GB2312" w:cs="宋体"/>
                <w:kern w:val="0"/>
                <w:sz w:val="24"/>
                <w:szCs w:val="32"/>
              </w:rPr>
              <w:t>管理委员会</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sz w:val="24"/>
              </w:rPr>
            </w:pPr>
            <w:r>
              <w:rPr>
                <w:rFonts w:hint="eastAsia" w:ascii="仿宋_GB2312" w:eastAsia="仿宋_GB2312" w:cs="宋体"/>
                <w:kern w:val="0"/>
                <w:sz w:val="24"/>
                <w:szCs w:val="32"/>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sz w:val="24"/>
              </w:rPr>
            </w:pPr>
            <w:r>
              <w:rPr>
                <w:rFonts w:hint="eastAsia" w:ascii="仿宋_GB2312" w:eastAsia="仿宋_GB2312" w:cs="宋体"/>
                <w:kern w:val="0"/>
                <w:sz w:val="24"/>
                <w:szCs w:val="32"/>
              </w:rPr>
              <w:t>副处级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sz w:val="24"/>
              </w:rPr>
            </w:pPr>
            <w:r>
              <w:rPr>
                <w:rFonts w:hint="eastAsia" w:ascii="仿宋" w:eastAsia="仿宋"/>
                <w:sz w:val="24"/>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sz w:val="24"/>
              </w:rPr>
            </w:pPr>
          </w:p>
        </w:tc>
        <w:tc>
          <w:tcPr>
            <w:tcW w:w="1134" w:type="dxa"/>
            <w:shd w:val="clear" w:color="auto" w:fill="auto"/>
            <w:vAlign w:val="center"/>
          </w:tcPr>
          <w:p>
            <w:pPr>
              <w:spacing w:line="584" w:lineRule="exact"/>
              <w:jc w:val="center"/>
              <w:rPr>
                <w:rFonts w:ascii="Times New Roman" w:hAnsi="Times New Roman" w:eastAsia="仿宋_GB2312" w:cs="Times New Roman"/>
                <w:sz w:val="24"/>
              </w:rPr>
            </w:pPr>
          </w:p>
        </w:tc>
        <w:tc>
          <w:tcPr>
            <w:tcW w:w="1276" w:type="dxa"/>
            <w:shd w:val="clear" w:color="auto" w:fill="auto"/>
            <w:vAlign w:val="center"/>
          </w:tcPr>
          <w:p>
            <w:pPr>
              <w:spacing w:line="584" w:lineRule="exact"/>
              <w:jc w:val="center"/>
              <w:rPr>
                <w:rFonts w:ascii="Times New Roman" w:hAnsi="Times New Roman" w:eastAsia="仿宋_GB2312" w:cs="Times New Roman"/>
                <w:sz w:val="24"/>
              </w:rPr>
            </w:pPr>
          </w:p>
        </w:tc>
        <w:tc>
          <w:tcPr>
            <w:tcW w:w="2902" w:type="dxa"/>
            <w:shd w:val="clear" w:color="auto" w:fill="auto"/>
            <w:vAlign w:val="center"/>
          </w:tcPr>
          <w:p>
            <w:pPr>
              <w:spacing w:line="584" w:lineRule="exact"/>
              <w:jc w:val="center"/>
              <w:rPr>
                <w:rFonts w:ascii="Times New Roman" w:hAnsi="Times New Roman" w:eastAsia="仿宋_GB2312"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widowControl/>
        <w:shd w:val="clear" w:color="auto" w:fill="FFFFFF"/>
        <w:wordWrap w:val="0"/>
        <w:spacing w:line="6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按照预算管理有关规定，目前我区部门预算的编制实行综合预算制度，即全部收入和支出都反映在预算中。河北廊坊广阳经济开发区管理委员会</w:t>
      </w:r>
      <w:r>
        <w:rPr>
          <w:rFonts w:ascii="Times New Roman" w:hAnsi="Times New Roman" w:eastAsia="仿宋_GB2312" w:cs="Times New Roman"/>
          <w:sz w:val="32"/>
          <w:szCs w:val="32"/>
        </w:rPr>
        <w:t>机关及所属事业单位</w:t>
      </w:r>
      <w:r>
        <w:rPr>
          <w:rFonts w:hint="eastAsia" w:ascii="仿宋" w:hAnsi="仿宋" w:eastAsia="仿宋" w:cs="仿宋"/>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12444.99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1811.74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10633.25</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河北廊坊广阳经济开发区管理委员会2021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12444.99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1811.74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1715.93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95.81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10633.25</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冀北廊坊供电公司220KV祝马房-北旺一、二高压线迁改工程资金、园区开发建设资金等支出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9201.74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8570.1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1180.1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10633.25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冀北廊坊供电公司220KV祝马房-北旺一、二高压线迁改工程等项目支出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95.81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广阳经济开发区</w:t>
      </w:r>
      <w:r>
        <w:rPr>
          <w:rFonts w:ascii="Times New Roman" w:hAnsi="Times New Roman" w:eastAsia="仿宋_GB2312" w:cs="Times New Roman"/>
          <w:sz w:val="32"/>
          <w:szCs w:val="32"/>
        </w:rPr>
        <w:t>办公区的日常维修等日常运行支出</w:t>
      </w:r>
      <w:r>
        <w:rPr>
          <w:rFonts w:hint="eastAsia" w:ascii="Times New Roman" w:hAnsi="Times New Roman" w:eastAsia="仿宋_GB2312" w:cs="Times New Roman"/>
          <w:sz w:val="32"/>
          <w:szCs w:val="32"/>
        </w:rPr>
        <w:t>级公务用车运行维护等支出</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在区委、区政府的坚强领导下，强作风，转观念，勇于担当，紧密结合辖区实际，以推进产业发展、项目建设、服务</w:t>
      </w:r>
      <w:r>
        <w:fldChar w:fldCharType="begin"/>
      </w:r>
      <w:r>
        <w:instrText xml:space="preserve"> HYPERLINK "http://www.5ykj.com/Article/" \t "_blank" </w:instrText>
      </w:r>
      <w:r>
        <w:fldChar w:fldCharType="separate"/>
      </w:r>
      <w:r>
        <w:rPr>
          <w:rFonts w:hint="eastAsia" w:ascii="仿宋" w:hAnsi="仿宋" w:eastAsia="仿宋"/>
          <w:sz w:val="32"/>
          <w:szCs w:val="32"/>
        </w:rPr>
        <w:t>企业</w:t>
      </w:r>
      <w:r>
        <w:rPr>
          <w:rFonts w:hint="eastAsia" w:ascii="仿宋" w:hAnsi="仿宋" w:eastAsia="仿宋"/>
          <w:sz w:val="32"/>
          <w:szCs w:val="32"/>
        </w:rPr>
        <w:fldChar w:fldCharType="end"/>
      </w:r>
      <w:r>
        <w:rPr>
          <w:rFonts w:hint="eastAsia" w:ascii="仿宋" w:hAnsi="仿宋" w:eastAsia="仿宋"/>
          <w:sz w:val="32"/>
          <w:szCs w:val="32"/>
        </w:rPr>
        <w:t>为抓手，在狠抓经济建设的基础上，扎实推进各项事业全面发展。</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1.提质强素</w:t>
      </w:r>
      <w:r>
        <w:rPr>
          <w:rFonts w:ascii="仿宋" w:hAnsi="仿宋" w:eastAsia="仿宋"/>
          <w:b/>
          <w:sz w:val="32"/>
          <w:szCs w:val="32"/>
        </w:rPr>
        <w:t>，</w:t>
      </w:r>
      <w:r>
        <w:rPr>
          <w:rFonts w:hint="eastAsia" w:ascii="仿宋" w:hAnsi="仿宋" w:eastAsia="仿宋"/>
          <w:b/>
          <w:sz w:val="32"/>
          <w:szCs w:val="32"/>
        </w:rPr>
        <w:t>持续</w:t>
      </w:r>
      <w:r>
        <w:rPr>
          <w:rFonts w:ascii="仿宋" w:hAnsi="仿宋" w:eastAsia="仿宋"/>
          <w:b/>
          <w:sz w:val="32"/>
          <w:szCs w:val="32"/>
        </w:rPr>
        <w:t>抓好</w:t>
      </w:r>
      <w:r>
        <w:rPr>
          <w:rFonts w:hint="eastAsia" w:ascii="仿宋" w:hAnsi="仿宋" w:eastAsia="仿宋"/>
          <w:b/>
          <w:sz w:val="32"/>
          <w:szCs w:val="32"/>
        </w:rPr>
        <w:t>班子带好队伍</w:t>
      </w:r>
    </w:p>
    <w:p>
      <w:pPr>
        <w:spacing w:line="578" w:lineRule="exact"/>
        <w:ind w:firstLine="640" w:firstLineChars="200"/>
        <w:rPr>
          <w:rFonts w:ascii="仿宋" w:hAnsi="仿宋" w:eastAsia="仿宋"/>
          <w:sz w:val="32"/>
          <w:szCs w:val="32"/>
        </w:rPr>
      </w:pPr>
      <w:r>
        <w:rPr>
          <w:rFonts w:ascii="仿宋" w:hAnsi="仿宋" w:eastAsia="仿宋"/>
          <w:sz w:val="32"/>
          <w:szCs w:val="32"/>
        </w:rPr>
        <w:t>深入</w:t>
      </w:r>
      <w:r>
        <w:rPr>
          <w:rFonts w:hint="eastAsia" w:ascii="仿宋" w:hAnsi="仿宋" w:eastAsia="仿宋"/>
          <w:sz w:val="32"/>
          <w:szCs w:val="32"/>
        </w:rPr>
        <w:t>十九届五中全会精神，</w:t>
      </w:r>
      <w:r>
        <w:rPr>
          <w:rFonts w:ascii="仿宋" w:hAnsi="仿宋" w:eastAsia="仿宋"/>
          <w:sz w:val="32"/>
          <w:szCs w:val="32"/>
        </w:rPr>
        <w:t>扎实推进党风廉政建设，</w:t>
      </w:r>
      <w:r>
        <w:rPr>
          <w:rFonts w:hint="eastAsia" w:ascii="仿宋" w:hAnsi="仿宋" w:eastAsia="仿宋"/>
          <w:sz w:val="32"/>
          <w:szCs w:val="32"/>
          <w:lang w:eastAsia="zh-CN"/>
        </w:rPr>
        <w:t>落实全面从严治党</w:t>
      </w:r>
      <w:r>
        <w:rPr>
          <w:rFonts w:hint="eastAsia" w:ascii="仿宋" w:hAnsi="仿宋" w:eastAsia="仿宋"/>
          <w:sz w:val="32"/>
          <w:szCs w:val="32"/>
        </w:rPr>
        <w:t>，着力转变干部作风，层层传导压力，管党治党更加有力。营造安全稳定的社会环境，严格落实意识形态工作责任制，强化正面宣传引导，积极参与文明城市创建活动；深入企业开展普法宣传，加强园区内巡查指导，社会治安形势总体平稳；深入企业排查化解矛盾纠纷，下大气力解决信访问题。</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2.强化运营，促进</w:t>
      </w:r>
      <w:r>
        <w:rPr>
          <w:rFonts w:ascii="仿宋" w:hAnsi="仿宋" w:eastAsia="仿宋"/>
          <w:b/>
          <w:sz w:val="32"/>
          <w:szCs w:val="32"/>
        </w:rPr>
        <w:t>经济运行</w:t>
      </w:r>
      <w:r>
        <w:rPr>
          <w:rFonts w:hint="eastAsia" w:ascii="仿宋" w:hAnsi="仿宋" w:eastAsia="仿宋"/>
          <w:b/>
          <w:sz w:val="32"/>
          <w:szCs w:val="32"/>
        </w:rPr>
        <w:t>持续向好</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在面对疫情带来的不利情况影响下，</w:t>
      </w:r>
      <w:r>
        <w:rPr>
          <w:rFonts w:ascii="仿宋" w:hAnsi="仿宋" w:eastAsia="仿宋"/>
          <w:sz w:val="32"/>
          <w:szCs w:val="32"/>
        </w:rPr>
        <w:t>坚持稳中求进，</w:t>
      </w:r>
      <w:r>
        <w:rPr>
          <w:rFonts w:hint="eastAsia" w:ascii="仿宋" w:hAnsi="仿宋" w:eastAsia="仿宋"/>
          <w:sz w:val="32"/>
          <w:szCs w:val="32"/>
        </w:rPr>
        <w:t>着力推进完成园区</w:t>
      </w:r>
      <w:r>
        <w:rPr>
          <w:rFonts w:ascii="仿宋" w:hAnsi="仿宋" w:eastAsia="仿宋"/>
          <w:sz w:val="32"/>
          <w:szCs w:val="32"/>
        </w:rPr>
        <w:t>各项目标任务，经济社会发展取得显著成效</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园区</w:t>
      </w:r>
      <w:r>
        <w:rPr>
          <w:rFonts w:ascii="仿宋" w:hAnsi="仿宋" w:eastAsia="仿宋"/>
          <w:sz w:val="32"/>
          <w:szCs w:val="32"/>
        </w:rPr>
        <w:t>经</w:t>
      </w:r>
      <w:r>
        <w:rPr>
          <w:rFonts w:hint="eastAsia" w:ascii="仿宋" w:hAnsi="仿宋" w:eastAsia="仿宋"/>
          <w:sz w:val="32"/>
          <w:szCs w:val="32"/>
        </w:rPr>
        <w:t>营管理</w:t>
      </w:r>
      <w:r>
        <w:rPr>
          <w:rFonts w:ascii="仿宋" w:hAnsi="仿宋" w:eastAsia="仿宋"/>
          <w:sz w:val="32"/>
          <w:szCs w:val="32"/>
        </w:rPr>
        <w:t>上，</w:t>
      </w:r>
      <w:r>
        <w:rPr>
          <w:rFonts w:hint="eastAsia" w:ascii="仿宋" w:hAnsi="仿宋" w:eastAsia="仿宋"/>
          <w:sz w:val="32"/>
          <w:szCs w:val="32"/>
        </w:rPr>
        <w:t>着力</w:t>
      </w:r>
      <w:r>
        <w:rPr>
          <w:rFonts w:ascii="仿宋" w:hAnsi="仿宋" w:eastAsia="仿宋"/>
          <w:sz w:val="32"/>
          <w:szCs w:val="32"/>
        </w:rPr>
        <w:t>抓服务、</w:t>
      </w:r>
      <w:r>
        <w:rPr>
          <w:rFonts w:hint="eastAsia" w:ascii="仿宋" w:hAnsi="仿宋" w:eastAsia="仿宋"/>
          <w:sz w:val="32"/>
          <w:szCs w:val="32"/>
        </w:rPr>
        <w:t>强</w:t>
      </w:r>
      <w:r>
        <w:rPr>
          <w:rFonts w:ascii="仿宋" w:hAnsi="仿宋" w:eastAsia="仿宋"/>
          <w:sz w:val="32"/>
          <w:szCs w:val="32"/>
        </w:rPr>
        <w:t>调度、</w:t>
      </w:r>
      <w:r>
        <w:rPr>
          <w:rFonts w:hint="eastAsia" w:ascii="仿宋" w:hAnsi="仿宋" w:eastAsia="仿宋"/>
          <w:sz w:val="32"/>
          <w:szCs w:val="32"/>
        </w:rPr>
        <w:t>促</w:t>
      </w:r>
      <w:r>
        <w:rPr>
          <w:rFonts w:ascii="仿宋" w:hAnsi="仿宋" w:eastAsia="仿宋"/>
          <w:sz w:val="32"/>
          <w:szCs w:val="32"/>
        </w:rPr>
        <w:t>增</w:t>
      </w:r>
      <w:r>
        <w:rPr>
          <w:rFonts w:hint="eastAsia" w:ascii="仿宋" w:hAnsi="仿宋" w:eastAsia="仿宋"/>
          <w:sz w:val="32"/>
          <w:szCs w:val="32"/>
        </w:rPr>
        <w:t>长；着力抓好重点企业，</w:t>
      </w:r>
      <w:r>
        <w:rPr>
          <w:rFonts w:ascii="仿宋" w:hAnsi="仿宋" w:eastAsia="仿宋"/>
          <w:sz w:val="32"/>
          <w:szCs w:val="32"/>
        </w:rPr>
        <w:t>培育科技创新</w:t>
      </w:r>
      <w:r>
        <w:rPr>
          <w:rFonts w:hint="eastAsia" w:ascii="仿宋" w:hAnsi="仿宋" w:eastAsia="仿宋"/>
          <w:sz w:val="32"/>
          <w:szCs w:val="32"/>
        </w:rPr>
        <w:t>型、</w:t>
      </w:r>
      <w:r>
        <w:rPr>
          <w:rFonts w:ascii="仿宋" w:hAnsi="仿宋" w:eastAsia="仿宋"/>
          <w:sz w:val="32"/>
          <w:szCs w:val="32"/>
        </w:rPr>
        <w:t>专</w:t>
      </w:r>
      <w:r>
        <w:rPr>
          <w:rFonts w:hint="eastAsia" w:ascii="仿宋" w:hAnsi="仿宋" w:eastAsia="仿宋"/>
          <w:sz w:val="32"/>
          <w:szCs w:val="32"/>
        </w:rPr>
        <w:t>业型</w:t>
      </w:r>
      <w:r>
        <w:rPr>
          <w:rFonts w:ascii="仿宋" w:hAnsi="仿宋" w:eastAsia="仿宋"/>
          <w:sz w:val="32"/>
          <w:szCs w:val="32"/>
        </w:rPr>
        <w:t>企业</w:t>
      </w:r>
      <w:r>
        <w:rPr>
          <w:rFonts w:hint="eastAsia" w:ascii="仿宋" w:hAnsi="仿宋" w:eastAsia="仿宋"/>
          <w:sz w:val="32"/>
          <w:szCs w:val="32"/>
        </w:rPr>
        <w:t>发展；着力引进北京外溢企业，</w:t>
      </w:r>
      <w:r>
        <w:rPr>
          <w:rFonts w:ascii="仿宋" w:hAnsi="仿宋" w:eastAsia="仿宋"/>
          <w:sz w:val="32"/>
          <w:szCs w:val="32"/>
        </w:rPr>
        <w:t>千方百计保持经济平稳增长。</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3.拓展平台，不断加大招商引资力度</w:t>
      </w:r>
    </w:p>
    <w:p>
      <w:pPr>
        <w:spacing w:line="578" w:lineRule="exact"/>
        <w:ind w:firstLine="640" w:firstLineChars="200"/>
        <w:rPr>
          <w:rFonts w:ascii="仿宋" w:hAnsi="仿宋" w:eastAsia="仿宋"/>
          <w:sz w:val="32"/>
          <w:szCs w:val="32"/>
        </w:rPr>
      </w:pPr>
      <w:r>
        <w:rPr>
          <w:rFonts w:ascii="仿宋" w:hAnsi="仿宋" w:eastAsia="仿宋"/>
          <w:sz w:val="32"/>
          <w:szCs w:val="32"/>
        </w:rPr>
        <w:t>经开区抢抓临空经济发展带来的机遇，疏解非首都功能所带来的资源外溢效应，充分发挥自身的优势，深挖园区的潜在承载力，在项目选择上有特色、讲品质、看贡献，做到精准招商引资</w:t>
      </w:r>
      <w:r>
        <w:rPr>
          <w:rFonts w:hint="eastAsia" w:ascii="仿宋" w:hAnsi="仿宋" w:eastAsia="仿宋"/>
          <w:sz w:val="32"/>
          <w:szCs w:val="32"/>
        </w:rPr>
        <w:t>，形成良好格局</w:t>
      </w:r>
      <w:r>
        <w:rPr>
          <w:rFonts w:ascii="仿宋" w:hAnsi="仿宋" w:eastAsia="仿宋"/>
          <w:sz w:val="32"/>
          <w:szCs w:val="32"/>
        </w:rPr>
        <w:t>。</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4.攻坚克难，推进项目建设</w:t>
      </w:r>
    </w:p>
    <w:p>
      <w:pPr>
        <w:spacing w:line="578" w:lineRule="exact"/>
        <w:ind w:firstLine="640" w:firstLineChars="200"/>
        <w:rPr>
          <w:rFonts w:ascii="仿宋" w:hAnsi="仿宋" w:eastAsia="仿宋"/>
          <w:sz w:val="32"/>
          <w:szCs w:val="32"/>
        </w:rPr>
      </w:pPr>
      <w:r>
        <w:rPr>
          <w:rFonts w:ascii="仿宋" w:hAnsi="仿宋" w:eastAsia="仿宋"/>
          <w:sz w:val="32"/>
          <w:szCs w:val="32"/>
        </w:rPr>
        <w:t>为了保障重点项目顺利推进，经开区成立了工作专班，由管委会主要领导牵头，采取专人包联的方式，明确了每个项目的包联领导和负责人，不分部门、协同作战；制订了重点项目工作台账，规定了每个项目进度的时间节点，让每个包联人员都了解自己的项目进展情况和工作职责；建立沟通协调机制，完善自身的管理措施，积极协调市、区相关职能部门，在项目立项审批、规划环评、土地建设等环节提供尽可能的便利，如项目在推进过程中遇到问题，第一时间与企业沟通，尽快协调解决。</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5.服务企业，全面开展优化营商环境</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以京津冀协</w:t>
      </w:r>
      <w:r>
        <w:rPr>
          <w:rFonts w:hint="eastAsia" w:ascii="仿宋" w:hAnsi="仿宋" w:eastAsia="仿宋"/>
          <w:sz w:val="32"/>
          <w:szCs w:val="32"/>
          <w:lang w:eastAsia="zh-CN"/>
        </w:rPr>
        <w:t>同</w:t>
      </w:r>
      <w:r>
        <w:rPr>
          <w:rFonts w:hint="eastAsia" w:ascii="仿宋" w:hAnsi="仿宋" w:eastAsia="仿宋"/>
          <w:sz w:val="32"/>
          <w:szCs w:val="32"/>
        </w:rPr>
        <w:t>发展为契机，持续优化营商环境，深入企业多次走访调研，实地了解企业在建设运营、经营管理和科技发展等方面的困难与诉求，全面掌握第一手材料，开展企业帮扶、促进企业发展。</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6.履职尽责，抓好安全生产“双控”机制建设</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安全生产工作坚持关口前移、源头管控、预防为主、综合治理的原则，深入推进园区安全生产“双控”机制建设，形成生产经营单位“风险自查、隐患自改、责任自负”的工作模式，把风险控制在隐患形成之前，把隐患消灭在事故发生之前，全面提升生产经营单位安全生产管理水平，确保全区安全生产形势稳定。</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7.持续发力，打赢碧水蓝天保卫战</w:t>
      </w:r>
    </w:p>
    <w:p>
      <w:pPr>
        <w:spacing w:line="578" w:lineRule="exact"/>
        <w:ind w:firstLine="640" w:firstLineChars="200"/>
        <w:rPr>
          <w:rFonts w:ascii="仿宋" w:hAnsi="仿宋" w:eastAsia="仿宋"/>
          <w:sz w:val="32"/>
          <w:szCs w:val="32"/>
        </w:rPr>
      </w:pPr>
      <w:r>
        <w:rPr>
          <w:rFonts w:hint="eastAsia" w:ascii="仿宋" w:hAnsi="仿宋" w:eastAsia="仿宋"/>
          <w:sz w:val="32"/>
          <w:szCs w:val="32"/>
        </w:rPr>
        <w:t>健全完善河渠管理机制，全面推进河长制工作，结合河长巡河APP现代化软件，加强规划区内九干渠和十干渠进行巡河工作。</w:t>
      </w:r>
    </w:p>
    <w:p>
      <w:pPr>
        <w:spacing w:line="578" w:lineRule="exact"/>
        <w:ind w:firstLine="640" w:firstLineChars="200"/>
        <w:rPr>
          <w:rFonts w:ascii="仿宋_GB2312" w:eastAsia="仿宋_GB2312" w:cs="Times New Roman"/>
          <w:sz w:val="32"/>
          <w:szCs w:val="32"/>
        </w:rPr>
      </w:pPr>
      <w:r>
        <w:rPr>
          <w:rFonts w:hint="eastAsia" w:ascii="仿宋" w:hAnsi="仿宋" w:eastAsia="仿宋"/>
          <w:sz w:val="32"/>
          <w:szCs w:val="32"/>
        </w:rPr>
        <w:t>此外，在抓好机关建设的同时，全面加强机关、对外宣传、人事管理等方面工作，积极组织人员参加星期六文明行动，并定期参加道德大讲堂和文明市民学校活动。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600" w:lineRule="exact"/>
        <w:ind w:firstLine="569"/>
        <w:rPr>
          <w:rFonts w:ascii="仿宋" w:hAnsi="仿宋" w:eastAsia="仿宋"/>
          <w:b/>
          <w:sz w:val="32"/>
          <w:szCs w:val="32"/>
        </w:rPr>
      </w:pPr>
      <w:r>
        <w:rPr>
          <w:rFonts w:hint="eastAsia" w:ascii="仿宋" w:hAnsi="仿宋" w:eastAsia="仿宋"/>
          <w:b/>
          <w:bCs/>
          <w:sz w:val="32"/>
          <w:szCs w:val="32"/>
        </w:rPr>
        <w:t>1.</w:t>
      </w:r>
      <w:r>
        <w:rPr>
          <w:rFonts w:hint="eastAsia" w:ascii="仿宋" w:hAnsi="仿宋" w:eastAsia="仿宋"/>
          <w:b/>
          <w:sz w:val="32"/>
          <w:szCs w:val="32"/>
        </w:rPr>
        <w:t>政务服务</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通过完成管委会政务信息公开工作的指导监督工作，使管委会信息公开业务队伍素质不断提高，业务水平进一步提升；政府政务信息公开范围不断扩大，公开内容得到进一步细化。</w:t>
      </w:r>
    </w:p>
    <w:p>
      <w:pPr>
        <w:spacing w:line="600" w:lineRule="exact"/>
        <w:ind w:firstLine="569"/>
        <w:rPr>
          <w:rFonts w:ascii="仿宋" w:hAnsi="仿宋" w:eastAsia="仿宋"/>
          <w:b/>
          <w:sz w:val="32"/>
          <w:szCs w:val="32"/>
        </w:rPr>
      </w:pPr>
      <w:r>
        <w:rPr>
          <w:rFonts w:hint="eastAsia" w:ascii="仿宋" w:hAnsi="仿宋" w:eastAsia="仿宋"/>
          <w:b/>
          <w:bCs/>
          <w:sz w:val="32"/>
          <w:szCs w:val="32"/>
        </w:rPr>
        <w:t>2.</w:t>
      </w:r>
      <w:r>
        <w:rPr>
          <w:rFonts w:hint="eastAsia" w:ascii="仿宋" w:hAnsi="仿宋" w:eastAsia="仿宋"/>
          <w:b/>
          <w:sz w:val="32"/>
          <w:szCs w:val="32"/>
        </w:rPr>
        <w:t>政府办公室政务管理</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协助领导组织起草或审核的公文；组织起草领导重要讲话及其他重要文稿；组织专题调研；开发区会议的准备和服务工作，协助管委会领导组织会议决定事项的落实；承办领导交办的其他事项。</w:t>
      </w:r>
    </w:p>
    <w:p>
      <w:pPr>
        <w:spacing w:line="600" w:lineRule="exact"/>
        <w:ind w:firstLine="569"/>
        <w:rPr>
          <w:rFonts w:ascii="仿宋" w:hAnsi="仿宋" w:eastAsia="仿宋"/>
          <w:b/>
          <w:sz w:val="32"/>
          <w:szCs w:val="32"/>
        </w:rPr>
      </w:pPr>
      <w:r>
        <w:rPr>
          <w:rFonts w:hint="eastAsia" w:ascii="仿宋" w:hAnsi="仿宋" w:eastAsia="仿宋"/>
          <w:b/>
          <w:bCs/>
          <w:sz w:val="32"/>
          <w:szCs w:val="32"/>
        </w:rPr>
        <w:t>3.</w:t>
      </w:r>
      <w:r>
        <w:rPr>
          <w:rFonts w:hint="eastAsia" w:ascii="仿宋" w:hAnsi="仿宋" w:eastAsia="仿宋"/>
          <w:b/>
          <w:sz w:val="32"/>
          <w:szCs w:val="32"/>
        </w:rPr>
        <w:t>环境监测与监察</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经开区管委会开展环境要素的监测与综合分析评价，提高环境监测和预警能力，加大环境监管力度，完善环境基本公共服务体系建设。</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加强开发区环境整体质量改进，确保不发生环境安全事故。加强环境行政监察，排污费管理、纠纷调查处理。</w:t>
      </w:r>
    </w:p>
    <w:p>
      <w:pPr>
        <w:spacing w:line="600" w:lineRule="exact"/>
        <w:ind w:firstLine="569"/>
        <w:rPr>
          <w:rFonts w:ascii="仿宋" w:hAnsi="仿宋" w:eastAsia="仿宋"/>
          <w:b/>
          <w:sz w:val="32"/>
          <w:szCs w:val="32"/>
        </w:rPr>
      </w:pPr>
      <w:r>
        <w:rPr>
          <w:rFonts w:hint="eastAsia" w:ascii="仿宋" w:hAnsi="仿宋" w:eastAsia="仿宋"/>
          <w:b/>
          <w:bCs/>
          <w:sz w:val="32"/>
          <w:szCs w:val="32"/>
        </w:rPr>
        <w:t>4.</w:t>
      </w:r>
      <w:r>
        <w:rPr>
          <w:rFonts w:hint="eastAsia" w:ascii="仿宋" w:hAnsi="仿宋" w:eastAsia="仿宋"/>
          <w:b/>
          <w:sz w:val="32"/>
          <w:szCs w:val="32"/>
        </w:rPr>
        <w:t>组织安全生产综合监督管理</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通过督导检查域内企业安全生产，最大限度地发现、纠正、督促企业消除各类隐患，预防和减少事故的发生，确保开发区安全生产形势持续稳定好。</w:t>
      </w:r>
    </w:p>
    <w:p>
      <w:pPr>
        <w:spacing w:line="600" w:lineRule="exact"/>
        <w:ind w:firstLine="569"/>
        <w:rPr>
          <w:rFonts w:ascii="仿宋" w:hAnsi="仿宋" w:eastAsia="仿宋"/>
          <w:b/>
          <w:sz w:val="32"/>
          <w:szCs w:val="32"/>
        </w:rPr>
      </w:pPr>
      <w:r>
        <w:rPr>
          <w:rFonts w:hint="eastAsia" w:ascii="仿宋" w:hAnsi="仿宋" w:eastAsia="仿宋"/>
          <w:b/>
          <w:bCs/>
          <w:sz w:val="32"/>
          <w:szCs w:val="32"/>
        </w:rPr>
        <w:t>5.</w:t>
      </w:r>
      <w:r>
        <w:rPr>
          <w:rFonts w:hint="eastAsia" w:ascii="仿宋" w:hAnsi="仿宋" w:eastAsia="仿宋"/>
          <w:b/>
          <w:sz w:val="32"/>
          <w:szCs w:val="32"/>
        </w:rPr>
        <w:t>对外贸易管理</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促进对外贸易稳定增长，优化产品结构。完成县政府下达的外贸进出口指标。</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通过开展“主体招商活动”，瞄准重点区域、重点客商和商务机构，推动和引领全县做好招商工作。突出引进战略投资者，力争在重点产业引进一批战略支撑项目、龙头企业和协力配套企业。</w:t>
      </w:r>
    </w:p>
    <w:p>
      <w:pPr>
        <w:spacing w:line="600" w:lineRule="exact"/>
        <w:ind w:firstLine="569"/>
        <w:rPr>
          <w:rFonts w:ascii="仿宋" w:hAnsi="仿宋" w:eastAsia="仿宋"/>
          <w:b/>
          <w:sz w:val="32"/>
          <w:szCs w:val="32"/>
        </w:rPr>
      </w:pPr>
      <w:r>
        <w:rPr>
          <w:rFonts w:hint="eastAsia" w:ascii="仿宋" w:hAnsi="仿宋" w:eastAsia="仿宋"/>
          <w:b/>
          <w:bCs/>
          <w:sz w:val="32"/>
          <w:szCs w:val="32"/>
        </w:rPr>
        <w:t>6.</w:t>
      </w:r>
      <w:r>
        <w:rPr>
          <w:rFonts w:hint="eastAsia" w:ascii="仿宋" w:hAnsi="仿宋" w:eastAsia="仿宋"/>
          <w:b/>
          <w:sz w:val="32"/>
          <w:szCs w:val="32"/>
        </w:rPr>
        <w:t>促进区域经济发展</w:t>
      </w:r>
    </w:p>
    <w:p>
      <w:pPr>
        <w:spacing w:line="600" w:lineRule="exact"/>
        <w:ind w:firstLine="569"/>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研究提出区域经济协调发展、加快城镇化发展的政策建议；负责区域经济合作统筹协调。</w:t>
      </w:r>
    </w:p>
    <w:p>
      <w:pPr>
        <w:spacing w:line="600" w:lineRule="exact"/>
        <w:ind w:firstLine="569"/>
        <w:rPr>
          <w:rFonts w:ascii="仿宋" w:hAnsi="仿宋" w:eastAsia="仿宋"/>
          <w:sz w:val="32"/>
          <w:szCs w:val="32"/>
        </w:rPr>
      </w:pPr>
      <w:r>
        <w:rPr>
          <w:rFonts w:hint="eastAsia" w:ascii="仿宋" w:hAnsi="仿宋" w:eastAsia="仿宋"/>
          <w:b/>
          <w:sz w:val="32"/>
          <w:szCs w:val="32"/>
        </w:rPr>
        <w:t>年度绩效目标：</w:t>
      </w:r>
      <w:r>
        <w:rPr>
          <w:rFonts w:hint="eastAsia" w:ascii="仿宋" w:hAnsi="仿宋" w:eastAsia="仿宋"/>
          <w:sz w:val="32"/>
          <w:szCs w:val="32"/>
        </w:rPr>
        <w:t>配合国家首都经济圈发展规划，做好与国家规划的有效衔接；组织争取国家政策、资金等支持。与北京、天津开展战略合作，推动合作协议的落实，深化拓展合作领域，实质性推动一批重大合作事项进展。</w:t>
      </w:r>
    </w:p>
    <w:p>
      <w:pPr>
        <w:spacing w:line="600" w:lineRule="exact"/>
        <w:ind w:firstLine="569"/>
        <w:rPr>
          <w:rFonts w:ascii="仿宋" w:hAnsi="仿宋" w:eastAsia="仿宋"/>
          <w:b/>
          <w:sz w:val="32"/>
          <w:szCs w:val="32"/>
        </w:rPr>
      </w:pPr>
      <w:r>
        <w:rPr>
          <w:rFonts w:hint="eastAsia" w:ascii="仿宋" w:hAnsi="仿宋" w:eastAsia="仿宋"/>
          <w:b/>
          <w:sz w:val="32"/>
          <w:szCs w:val="32"/>
        </w:rPr>
        <w:t>7.土地储备征收开发管理</w:t>
      </w:r>
    </w:p>
    <w:p>
      <w:pPr>
        <w:spacing w:line="600" w:lineRule="exact"/>
        <w:ind w:firstLine="643" w:firstLineChars="200"/>
        <w:rPr>
          <w:rFonts w:ascii="仿宋" w:hAnsi="仿宋" w:eastAsia="仿宋"/>
          <w:sz w:val="32"/>
          <w:szCs w:val="32"/>
        </w:rPr>
      </w:pPr>
      <w:r>
        <w:rPr>
          <w:rFonts w:hint="eastAsia" w:ascii="仿宋" w:hAnsi="仿宋" w:eastAsia="仿宋"/>
          <w:b/>
          <w:sz w:val="32"/>
          <w:szCs w:val="32"/>
        </w:rPr>
        <w:t>职责描述：</w:t>
      </w:r>
      <w:r>
        <w:rPr>
          <w:rFonts w:hint="eastAsia" w:ascii="仿宋" w:hAnsi="仿宋" w:eastAsia="仿宋"/>
          <w:sz w:val="32"/>
          <w:szCs w:val="32"/>
        </w:rPr>
        <w:t>负责规划区内的土地开发、开发管理。完成年度土地收购储备计划、供地计划；进一步提高土地供应效率，加快土地出让速度，扩大土地出让规模，实现政府收益最大化。</w:t>
      </w:r>
    </w:p>
    <w:p>
      <w:pPr>
        <w:spacing w:line="600" w:lineRule="exact"/>
        <w:ind w:firstLine="643" w:firstLineChars="200"/>
        <w:rPr>
          <w:rFonts w:ascii="仿宋_GB2312" w:eastAsia="仿宋_GB2312" w:cs="Times New Roman"/>
          <w:sz w:val="32"/>
          <w:szCs w:val="32"/>
        </w:rPr>
      </w:pPr>
      <w:r>
        <w:rPr>
          <w:rFonts w:hint="eastAsia" w:ascii="仿宋" w:hAnsi="仿宋" w:eastAsia="仿宋"/>
          <w:b/>
          <w:sz w:val="32"/>
          <w:szCs w:val="32"/>
        </w:rPr>
        <w:t>年度绩效目标：</w:t>
      </w:r>
      <w:r>
        <w:rPr>
          <w:rFonts w:hint="eastAsia" w:ascii="仿宋" w:hAnsi="仿宋" w:eastAsia="仿宋"/>
          <w:sz w:val="32"/>
          <w:szCs w:val="32"/>
        </w:rPr>
        <w:t>开展新增地、棚改项目用地、存量土地征地、收储等工作。实现土地收储，确保完成年度土地收储计划，做好土地征收赔偿等工作。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8" w:lineRule="exact"/>
        <w:ind w:firstLine="643" w:firstLineChars="200"/>
        <w:rPr>
          <w:rFonts w:ascii="仿宋" w:hAnsi="仿宋" w:eastAsia="仿宋"/>
          <w:b/>
          <w:sz w:val="32"/>
          <w:szCs w:val="32"/>
        </w:rPr>
      </w:pPr>
      <w:r>
        <w:rPr>
          <w:rFonts w:hint="eastAsia" w:ascii="仿宋" w:hAnsi="仿宋" w:eastAsia="仿宋"/>
          <w:b/>
          <w:sz w:val="32"/>
          <w:szCs w:val="32"/>
        </w:rPr>
        <w:t>实现年度发展目前采取的保障措施</w:t>
      </w:r>
    </w:p>
    <w:p>
      <w:pPr>
        <w:ind w:firstLine="643" w:firstLineChars="200"/>
        <w:rPr>
          <w:rFonts w:ascii="仿宋" w:hAnsi="仿宋" w:eastAsia="仿宋"/>
          <w:sz w:val="32"/>
          <w:szCs w:val="32"/>
        </w:rPr>
      </w:pPr>
      <w:r>
        <w:rPr>
          <w:rFonts w:hint="eastAsia" w:ascii="仿宋" w:hAnsi="仿宋" w:eastAsia="仿宋"/>
          <w:b/>
          <w:sz w:val="32"/>
          <w:szCs w:val="32"/>
        </w:rPr>
        <w:t>1.</w:t>
      </w:r>
      <w:r>
        <w:rPr>
          <w:rFonts w:hint="eastAsia" w:ascii="仿宋" w:hAnsi="仿宋" w:eastAsia="仿宋"/>
          <w:sz w:val="32"/>
          <w:szCs w:val="32"/>
        </w:rPr>
        <w:t>推进园区重点项目建设。在已供地项目的基础上，重点推进实现京东、公实检测、佳途冷链、沃森二期等项目开工建设。另外，着手办理闻达科技、远辰汽车供应链物流仓储中心、润宝科技等项目开工建设手续，争取明年开工建设。</w:t>
      </w:r>
    </w:p>
    <w:p>
      <w:pPr>
        <w:tabs>
          <w:tab w:val="left" w:pos="720"/>
        </w:tabs>
        <w:ind w:firstLine="643" w:firstLineChars="200"/>
        <w:rPr>
          <w:rFonts w:ascii="仿宋" w:hAnsi="仿宋" w:eastAsia="仿宋"/>
          <w:sz w:val="32"/>
          <w:szCs w:val="32"/>
        </w:rPr>
      </w:pPr>
      <w:r>
        <w:rPr>
          <w:rFonts w:hint="eastAsia" w:ascii="仿宋" w:hAnsi="仿宋" w:eastAsia="仿宋"/>
          <w:b/>
          <w:sz w:val="32"/>
          <w:szCs w:val="32"/>
        </w:rPr>
        <w:t>2.</w:t>
      </w:r>
      <w:r>
        <w:rPr>
          <w:rFonts w:hint="eastAsia" w:ascii="仿宋" w:hAnsi="仿宋" w:eastAsia="仿宋"/>
          <w:sz w:val="32"/>
          <w:szCs w:val="32"/>
        </w:rPr>
        <w:t>加大力度，推进科技型企业创建。梳理科技型中小企业、国高新资质申报政策，盘点梳理园区具备资质企业，统一搜集统一申报，加快企业资质申请流程，重点扶持符合资质的厦门吉宏、航顺机械等进行科技型企业申报。</w:t>
      </w:r>
    </w:p>
    <w:p>
      <w:pPr>
        <w:tabs>
          <w:tab w:val="center" w:pos="4365"/>
        </w:tabs>
        <w:spacing w:line="578" w:lineRule="exact"/>
        <w:ind w:firstLine="630" w:firstLineChars="196"/>
        <w:rPr>
          <w:rFonts w:ascii="仿宋" w:hAnsi="仿宋" w:eastAsia="仿宋"/>
          <w:sz w:val="32"/>
          <w:szCs w:val="32"/>
        </w:rPr>
      </w:pPr>
      <w:r>
        <w:rPr>
          <w:rFonts w:hint="eastAsia" w:ascii="仿宋" w:hAnsi="仿宋" w:eastAsia="仿宋"/>
          <w:b/>
          <w:sz w:val="32"/>
          <w:szCs w:val="32"/>
        </w:rPr>
        <w:t>3.</w:t>
      </w:r>
      <w:r>
        <w:rPr>
          <w:rFonts w:hint="eastAsia" w:ascii="仿宋" w:hAnsi="仿宋" w:eastAsia="仿宋"/>
          <w:sz w:val="32"/>
          <w:szCs w:val="32"/>
        </w:rPr>
        <w:t>积极争取，解决项目用地新增计划指标及占补平衡指标。对签约项目认真梳理，拟对岭郅廊坊智能制造产业园、虞祁华北总部及研发商贸中心项目、乐聪工业设计企业港项目、维龙华北中欧航空及汽车零部件物流园等9个重点项目，协调解决新增计划指标653.47亩、占补平衡指标643.0585亩、产能514446.8公斤，及时启动相关项目用地征收组卷，为项目落地奠定坚实的基础。</w:t>
      </w:r>
    </w:p>
    <w:p>
      <w:pPr>
        <w:tabs>
          <w:tab w:val="center" w:pos="4365"/>
        </w:tabs>
        <w:spacing w:line="578" w:lineRule="exact"/>
        <w:ind w:firstLine="630" w:firstLineChars="196"/>
        <w:rPr>
          <w:rFonts w:ascii="仿宋" w:hAnsi="仿宋" w:eastAsia="仿宋"/>
          <w:sz w:val="32"/>
          <w:szCs w:val="32"/>
        </w:rPr>
      </w:pPr>
      <w:r>
        <w:rPr>
          <w:rFonts w:hint="eastAsia" w:ascii="仿宋" w:hAnsi="仿宋" w:eastAsia="仿宋"/>
          <w:b/>
          <w:sz w:val="32"/>
          <w:szCs w:val="32"/>
        </w:rPr>
        <w:t>4.</w:t>
      </w:r>
      <w:r>
        <w:rPr>
          <w:rFonts w:hint="eastAsia" w:ascii="仿宋" w:hAnsi="仿宋" w:eastAsia="仿宋"/>
          <w:sz w:val="32"/>
          <w:szCs w:val="32"/>
        </w:rPr>
        <w:t>继续推进“九通一平”等基础设施改造提升和建设。加快完善基础设施配套，拟对新业路、伟业路、兴运道、庆祥道等4条路进行修建总长度达3.7公里，京东项目配套建设供水供电等。此外，进一步推进220千伏高压线迁改，保障中国医药、复星国药等项目落地建设。</w:t>
      </w:r>
    </w:p>
    <w:p>
      <w:pPr>
        <w:tabs>
          <w:tab w:val="center" w:pos="4365"/>
        </w:tabs>
        <w:spacing w:line="578" w:lineRule="exact"/>
        <w:ind w:firstLine="630" w:firstLineChars="196"/>
        <w:rPr>
          <w:rFonts w:ascii="仿宋" w:hAnsi="仿宋" w:eastAsia="仿宋"/>
          <w:sz w:val="32"/>
          <w:szCs w:val="32"/>
        </w:rPr>
      </w:pPr>
      <w:r>
        <w:rPr>
          <w:rFonts w:hint="eastAsia" w:ascii="仿宋" w:hAnsi="仿宋" w:eastAsia="仿宋"/>
          <w:b/>
          <w:sz w:val="32"/>
          <w:szCs w:val="32"/>
        </w:rPr>
        <w:t>5.</w:t>
      </w:r>
      <w:r>
        <w:rPr>
          <w:rFonts w:hint="eastAsia" w:ascii="仿宋" w:hAnsi="仿宋" w:eastAsia="仿宋"/>
          <w:sz w:val="32"/>
          <w:szCs w:val="32"/>
        </w:rPr>
        <w:t>充分利用“5.18”、厦洽会、进博会等平台，大力开展招商引资活动，</w:t>
      </w:r>
      <w:r>
        <w:rPr>
          <w:rFonts w:ascii="仿宋" w:hAnsi="仿宋" w:eastAsia="仿宋"/>
          <w:sz w:val="32"/>
          <w:szCs w:val="32"/>
        </w:rPr>
        <w:t>选择上有特色，</w:t>
      </w:r>
      <w:r>
        <w:rPr>
          <w:rFonts w:hint="eastAsia" w:ascii="仿宋" w:hAnsi="仿宋" w:eastAsia="仿宋"/>
          <w:sz w:val="32"/>
          <w:szCs w:val="32"/>
        </w:rPr>
        <w:t>实际上</w:t>
      </w:r>
      <w:r>
        <w:rPr>
          <w:rFonts w:ascii="仿宋" w:hAnsi="仿宋" w:eastAsia="仿宋"/>
          <w:sz w:val="32"/>
          <w:szCs w:val="32"/>
        </w:rPr>
        <w:t>做到精准。要</w:t>
      </w:r>
      <w:r>
        <w:rPr>
          <w:rFonts w:hint="eastAsia" w:ascii="仿宋" w:hAnsi="仿宋" w:eastAsia="仿宋"/>
          <w:sz w:val="32"/>
          <w:szCs w:val="32"/>
        </w:rPr>
        <w:t>以</w:t>
      </w:r>
      <w:r>
        <w:rPr>
          <w:rFonts w:ascii="仿宋" w:hAnsi="仿宋" w:eastAsia="仿宋"/>
          <w:sz w:val="32"/>
          <w:szCs w:val="32"/>
        </w:rPr>
        <w:t>直升机产业集群、复星国药、远洋温控等</w:t>
      </w:r>
      <w:r>
        <w:rPr>
          <w:rFonts w:hint="eastAsia" w:ascii="仿宋" w:hAnsi="仿宋" w:eastAsia="仿宋"/>
          <w:sz w:val="32"/>
          <w:szCs w:val="32"/>
        </w:rPr>
        <w:t>重点</w:t>
      </w:r>
      <w:r>
        <w:rPr>
          <w:rFonts w:ascii="仿宋" w:hAnsi="仿宋" w:eastAsia="仿宋"/>
          <w:sz w:val="32"/>
          <w:szCs w:val="32"/>
        </w:rPr>
        <w:t>项目为</w:t>
      </w:r>
      <w:r>
        <w:rPr>
          <w:rFonts w:hint="eastAsia" w:ascii="仿宋" w:hAnsi="仿宋" w:eastAsia="仿宋"/>
          <w:sz w:val="32"/>
          <w:szCs w:val="32"/>
        </w:rPr>
        <w:t>抓手</w:t>
      </w:r>
      <w:r>
        <w:rPr>
          <w:rFonts w:ascii="仿宋" w:hAnsi="仿宋" w:eastAsia="仿宋"/>
          <w:sz w:val="32"/>
          <w:szCs w:val="32"/>
        </w:rPr>
        <w:t>，主动融入到临空经济发展产业链中，在京津冀产业分工协作的“大舞台”上唱</w:t>
      </w:r>
      <w:r>
        <w:rPr>
          <w:rFonts w:hint="eastAsia" w:ascii="仿宋" w:hAnsi="仿宋" w:eastAsia="仿宋"/>
          <w:sz w:val="32"/>
          <w:szCs w:val="32"/>
        </w:rPr>
        <w:t>好</w:t>
      </w:r>
      <w:r>
        <w:rPr>
          <w:rFonts w:ascii="仿宋" w:hAnsi="仿宋" w:eastAsia="仿宋"/>
          <w:sz w:val="32"/>
          <w:szCs w:val="32"/>
        </w:rPr>
        <w:t>戏。</w:t>
      </w:r>
      <w:r>
        <w:rPr>
          <w:rFonts w:hint="eastAsia" w:ascii="仿宋" w:hAnsi="仿宋" w:eastAsia="仿宋"/>
          <w:sz w:val="32"/>
          <w:szCs w:val="32"/>
        </w:rPr>
        <w:t>另外，拟</w:t>
      </w:r>
      <w:r>
        <w:rPr>
          <w:rFonts w:ascii="仿宋" w:hAnsi="仿宋" w:eastAsia="仿宋"/>
          <w:sz w:val="32"/>
          <w:szCs w:val="32"/>
        </w:rPr>
        <w:t>举办招商推介</w:t>
      </w:r>
      <w:r>
        <w:rPr>
          <w:rFonts w:hint="eastAsia" w:ascii="仿宋" w:hAnsi="仿宋" w:eastAsia="仿宋"/>
          <w:sz w:val="32"/>
          <w:szCs w:val="32"/>
        </w:rPr>
        <w:t>和</w:t>
      </w:r>
      <w:r>
        <w:rPr>
          <w:rFonts w:ascii="仿宋" w:hAnsi="仿宋" w:eastAsia="仿宋"/>
          <w:sz w:val="32"/>
          <w:szCs w:val="32"/>
        </w:rPr>
        <w:t>高峰论坛</w:t>
      </w:r>
      <w:r>
        <w:rPr>
          <w:rFonts w:hint="eastAsia" w:ascii="仿宋" w:hAnsi="仿宋" w:eastAsia="仿宋"/>
          <w:sz w:val="32"/>
          <w:szCs w:val="32"/>
        </w:rPr>
        <w:t>等形式活动</w:t>
      </w:r>
      <w:r>
        <w:rPr>
          <w:rFonts w:ascii="仿宋" w:hAnsi="仿宋" w:eastAsia="仿宋"/>
          <w:sz w:val="32"/>
          <w:szCs w:val="32"/>
        </w:rPr>
        <w:t>，邀请境内外业界知名企业家和专家，扩大</w:t>
      </w:r>
      <w:r>
        <w:rPr>
          <w:rFonts w:hint="eastAsia" w:ascii="仿宋" w:hAnsi="仿宋" w:eastAsia="仿宋"/>
          <w:sz w:val="32"/>
          <w:szCs w:val="32"/>
        </w:rPr>
        <w:t>经开区整体</w:t>
      </w:r>
      <w:r>
        <w:rPr>
          <w:rFonts w:ascii="仿宋" w:hAnsi="仿宋" w:eastAsia="仿宋"/>
          <w:sz w:val="32"/>
          <w:szCs w:val="32"/>
        </w:rPr>
        <w:t>知名度和影响力</w:t>
      </w:r>
      <w:r>
        <w:rPr>
          <w:rFonts w:hint="eastAsia" w:ascii="仿宋" w:hAnsi="仿宋" w:eastAsia="仿宋"/>
          <w:sz w:val="32"/>
          <w:szCs w:val="32"/>
        </w:rPr>
        <w:t>。再次加强园区服务活动，准备组织银企对接会，企业家俱乐部沙龙和统一组织园区企业外地参展等活动，加大以商引商力度。</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6.</w:t>
      </w:r>
      <w:r>
        <w:rPr>
          <w:rFonts w:hint="eastAsia" w:ascii="仿宋" w:hAnsi="仿宋" w:eastAsia="仿宋"/>
          <w:sz w:val="32"/>
          <w:szCs w:val="32"/>
        </w:rPr>
        <w:t>盘活园区闲置厂房，随园区经济发展大步前进，园区内可用土地资源紧缺，加强土地集约化利用，提高供地项目入区门槛要求的同时，发掘园区现有厂房资源，将其进行“腾笼换鸟”，以增加园区税收。</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7.</w:t>
      </w:r>
      <w:r>
        <w:rPr>
          <w:rFonts w:hint="eastAsia" w:ascii="仿宋" w:hAnsi="仿宋" w:eastAsia="仿宋"/>
          <w:sz w:val="32"/>
          <w:szCs w:val="32"/>
        </w:rPr>
        <w:t>扎实做好安全生产、大气污染治理和水环境治理工作。对经开区现有企业抓好日常管理工作的同时，全力配合上级部门加强企业监管，督促企业在生产过程符合相关要求及流程，保证水环境、空气环境不被污染，确保不发生安全生产事故。</w:t>
      </w:r>
    </w:p>
    <w:p>
      <w:pPr>
        <w:spacing w:line="584" w:lineRule="exact"/>
        <w:ind w:firstLine="640" w:firstLineChars="200"/>
        <w:rPr>
          <w:rFonts w:ascii="仿宋_GB2312" w:eastAsia="仿宋_GB2312" w:cs="Times New Roman"/>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p>
    <w:p>
      <w:pPr>
        <w:overflowPunct w:val="0"/>
        <w:adjustRightInd w:val="0"/>
        <w:snapToGrid w:val="0"/>
        <w:spacing w:afterLines="50" w:line="580" w:lineRule="exact"/>
        <w:ind w:firstLine="321" w:firstLineChars="1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77"/>
        <w:gridCol w:w="851"/>
        <w:gridCol w:w="1984"/>
        <w:gridCol w:w="1201"/>
        <w:gridCol w:w="2627"/>
        <w:gridCol w:w="1701"/>
        <w:gridCol w:w="850"/>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5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62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411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0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77" w:type="dxa"/>
            <w:vMerge w:val="continue"/>
            <w:tcBorders>
              <w:tl2br w:val="nil"/>
              <w:tr2bl w:val="nil"/>
            </w:tcBorders>
            <w:vAlign w:val="center"/>
          </w:tcPr>
          <w:p/>
        </w:tc>
        <w:tc>
          <w:tcPr>
            <w:tcW w:w="851" w:type="dxa"/>
            <w:vMerge w:val="continue"/>
            <w:tcBorders>
              <w:tl2br w:val="nil"/>
              <w:tr2bl w:val="nil"/>
            </w:tcBorders>
            <w:vAlign w:val="center"/>
          </w:tcPr>
          <w:p/>
        </w:tc>
        <w:tc>
          <w:tcPr>
            <w:tcW w:w="1984" w:type="dxa"/>
            <w:vMerge w:val="continue"/>
            <w:tcBorders>
              <w:tl2br w:val="nil"/>
              <w:tr2bl w:val="nil"/>
            </w:tcBorders>
            <w:vAlign w:val="center"/>
          </w:tcPr>
          <w:p/>
        </w:tc>
        <w:tc>
          <w:tcPr>
            <w:tcW w:w="1201" w:type="dxa"/>
            <w:vMerge w:val="continue"/>
            <w:tcBorders>
              <w:tl2br w:val="nil"/>
              <w:tr2bl w:val="nil"/>
            </w:tcBorders>
            <w:vAlign w:val="center"/>
          </w:tcPr>
          <w:p/>
        </w:tc>
        <w:tc>
          <w:tcPr>
            <w:tcW w:w="2627" w:type="dxa"/>
            <w:vMerge w:val="continue"/>
            <w:tcBorders>
              <w:tl2br w:val="nil"/>
              <w:tr2bl w:val="nil"/>
            </w:tcBorders>
            <w:vAlign w:val="center"/>
          </w:tcPr>
          <w:p/>
        </w:tc>
        <w:tc>
          <w:tcPr>
            <w:tcW w:w="170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8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55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01"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发放工资人员数量</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发放工资人员数量</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30</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人</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正常运行率</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办公用品及设备满足工作需求的比率</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95.00</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经费保障及时性</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及时保障各项日常办公需要</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850" w:type="dxa"/>
            <w:tcBorders>
              <w:tl2br w:val="nil"/>
              <w:tr2bl w:val="nil"/>
            </w:tcBorders>
            <w:vAlign w:val="center"/>
          </w:tcPr>
          <w:p>
            <w:pPr>
              <w:widowControl/>
              <w:adjustRightInd w:val="0"/>
              <w:snapToGrid w:val="0"/>
              <w:rPr>
                <w:rFonts w:ascii="方正书宋_GBK" w:eastAsia="方正书宋_GBK"/>
              </w:rPr>
            </w:pP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及时保障</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70"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工资（福利）、社会保障（公积金）等发放（缴纳）标准</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工资（福利）、社会保障（公积金）等发放（缴纳）标准</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850" w:type="dxa"/>
            <w:tcBorders>
              <w:tl2br w:val="nil"/>
              <w:tr2bl w:val="nil"/>
            </w:tcBorders>
            <w:vAlign w:val="center"/>
          </w:tcPr>
          <w:p>
            <w:pPr>
              <w:widowControl/>
              <w:adjustRightInd w:val="0"/>
              <w:snapToGrid w:val="0"/>
              <w:rPr>
                <w:rFonts w:ascii="方正书宋_GBK" w:eastAsia="方正书宋_GBK"/>
              </w:rPr>
            </w:pP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按规定执行</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加强工作人员归属感，保持干部队伍稳定</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通过按时按标准发放工资福利等，进一步增强干部职工得归属感，保持干部队伍相对稳定，保障办公正常运转</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文字描述</w:t>
            </w:r>
          </w:p>
        </w:tc>
        <w:tc>
          <w:tcPr>
            <w:tcW w:w="850" w:type="dxa"/>
            <w:tcBorders>
              <w:tl2br w:val="nil"/>
              <w:tr2bl w:val="nil"/>
            </w:tcBorders>
            <w:vAlign w:val="center"/>
          </w:tcPr>
          <w:p>
            <w:pPr>
              <w:widowControl/>
              <w:adjustRightInd w:val="0"/>
              <w:snapToGrid w:val="0"/>
              <w:rPr>
                <w:rFonts w:ascii="方正书宋_GBK" w:eastAsia="方正书宋_GBK"/>
              </w:rPr>
            </w:pP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保持干部队伍相对稳定</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984"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运行成本</w:t>
            </w:r>
          </w:p>
        </w:tc>
        <w:tc>
          <w:tcPr>
            <w:tcW w:w="12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提升车辆利用率，降低旧车维修保养费用</w:t>
            </w:r>
          </w:p>
        </w:tc>
        <w:tc>
          <w:tcPr>
            <w:tcW w:w="1701" w:type="dxa"/>
            <w:tcBorders>
              <w:tl2br w:val="nil"/>
              <w:tr2bl w:val="nil"/>
            </w:tcBorders>
            <w:vAlign w:val="center"/>
          </w:tcPr>
          <w:p>
            <w:pPr>
              <w:widowControl/>
              <w:adjustRightInd w:val="0"/>
              <w:snapToGrid w:val="0"/>
              <w:rPr>
                <w:rFonts w:ascii="方正书宋_GBK" w:eastAsia="方正书宋_GBK"/>
              </w:rPr>
            </w:pPr>
          </w:p>
        </w:tc>
        <w:tc>
          <w:tcPr>
            <w:tcW w:w="850" w:type="dxa"/>
            <w:tcBorders>
              <w:tl2br w:val="nil"/>
              <w:tr2bl w:val="nil"/>
            </w:tcBorders>
            <w:vAlign w:val="center"/>
          </w:tcPr>
          <w:p>
            <w:pPr>
              <w:widowControl/>
              <w:adjustRightInd w:val="0"/>
              <w:snapToGrid w:val="0"/>
              <w:rPr>
                <w:rFonts w:ascii="方正书宋_GBK" w:eastAsia="方正书宋_GBK"/>
              </w:rPr>
            </w:pP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在预算额度内，保证公用经费正常支出</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984" w:type="dxa"/>
            <w:tcBorders>
              <w:tl2br w:val="nil"/>
              <w:tr2bl w:val="nil"/>
            </w:tcBorders>
            <w:noWrap/>
            <w:vAlign w:val="center"/>
          </w:tcPr>
          <w:p>
            <w:pPr>
              <w:widowControl/>
              <w:adjustRightInd w:val="0"/>
              <w:snapToGrid w:val="0"/>
              <w:rPr>
                <w:rFonts w:ascii="方正书宋_GBK" w:eastAsia="方正书宋_GBK"/>
              </w:rPr>
            </w:pPr>
          </w:p>
        </w:tc>
        <w:tc>
          <w:tcPr>
            <w:tcW w:w="1201" w:type="dxa"/>
            <w:tcBorders>
              <w:tl2br w:val="nil"/>
              <w:tr2bl w:val="nil"/>
            </w:tcBorders>
            <w:noWrap/>
            <w:vAlign w:val="center"/>
          </w:tcPr>
          <w:p>
            <w:pPr>
              <w:widowControl/>
              <w:adjustRightInd w:val="0"/>
              <w:snapToGrid w:val="0"/>
              <w:rPr>
                <w:rFonts w:ascii="方正书宋_GBK" w:eastAsia="方正书宋_GBK"/>
              </w:rPr>
            </w:pPr>
          </w:p>
        </w:tc>
        <w:tc>
          <w:tcPr>
            <w:tcW w:w="2627" w:type="dxa"/>
            <w:tcBorders>
              <w:tl2br w:val="nil"/>
              <w:tr2bl w:val="nil"/>
            </w:tcBorders>
            <w:noWrap/>
            <w:vAlign w:val="center"/>
          </w:tcPr>
          <w:p>
            <w:pPr>
              <w:widowControl/>
              <w:adjustRightInd w:val="0"/>
              <w:snapToGrid w:val="0"/>
              <w:rPr>
                <w:rFonts w:ascii="方正书宋_GBK" w:eastAsia="方正书宋_GBK"/>
              </w:rPr>
            </w:pPr>
          </w:p>
        </w:tc>
        <w:tc>
          <w:tcPr>
            <w:tcW w:w="1701" w:type="dxa"/>
            <w:tcBorders>
              <w:tl2br w:val="nil"/>
              <w:tr2bl w:val="nil"/>
            </w:tcBorders>
            <w:vAlign w:val="center"/>
          </w:tcPr>
          <w:p>
            <w:pPr>
              <w:widowControl/>
              <w:adjustRightInd w:val="0"/>
              <w:snapToGrid w:val="0"/>
              <w:jc w:val="center"/>
              <w:rPr>
                <w:rFonts w:ascii="方正书宋_GBK" w:eastAsia="方正书宋_GBK"/>
              </w:rPr>
            </w:pPr>
          </w:p>
        </w:tc>
        <w:tc>
          <w:tcPr>
            <w:tcW w:w="850" w:type="dxa"/>
            <w:tcBorders>
              <w:tl2br w:val="nil"/>
              <w:tr2bl w:val="nil"/>
            </w:tcBorders>
            <w:vAlign w:val="center"/>
          </w:tcPr>
          <w:p>
            <w:pPr>
              <w:widowControl/>
              <w:adjustRightInd w:val="0"/>
              <w:snapToGrid w:val="0"/>
              <w:jc w:val="center"/>
              <w:rPr>
                <w:rFonts w:ascii="方正书宋_GBK" w:eastAsia="方正书宋_GBK"/>
              </w:rPr>
            </w:pPr>
          </w:p>
        </w:tc>
        <w:tc>
          <w:tcPr>
            <w:tcW w:w="1559" w:type="dxa"/>
            <w:tcBorders>
              <w:tl2br w:val="nil"/>
              <w:tr2bl w:val="nil"/>
            </w:tcBorders>
            <w:vAlign w:val="center"/>
          </w:tcPr>
          <w:p>
            <w:pPr>
              <w:widowControl/>
              <w:adjustRightInd w:val="0"/>
              <w:snapToGrid w:val="0"/>
              <w:jc w:val="center"/>
              <w:rPr>
                <w:rFonts w:ascii="方正书宋_GBK" w:eastAsia="方正书宋_GBK"/>
              </w:rPr>
            </w:pPr>
          </w:p>
        </w:tc>
        <w:tc>
          <w:tcPr>
            <w:tcW w:w="1301"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77" w:type="dxa"/>
            <w:vMerge w:val="continue"/>
            <w:tcBorders>
              <w:tl2br w:val="nil"/>
              <w:tr2bl w:val="nil"/>
            </w:tcBorders>
            <w:vAlign w:val="center"/>
          </w:tcPr>
          <w:p/>
        </w:tc>
        <w:tc>
          <w:tcPr>
            <w:tcW w:w="851"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984"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单位人员满意度</w:t>
            </w:r>
          </w:p>
        </w:tc>
        <w:tc>
          <w:tcPr>
            <w:tcW w:w="1201"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达不到标准扣一分</w:t>
            </w:r>
          </w:p>
        </w:tc>
        <w:tc>
          <w:tcPr>
            <w:tcW w:w="262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单位人员对工资福利等发放工作的满意程度</w:t>
            </w:r>
          </w:p>
        </w:tc>
        <w:tc>
          <w:tcPr>
            <w:tcW w:w="17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850"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90.00</w:t>
            </w:r>
          </w:p>
        </w:tc>
        <w:tc>
          <w:tcPr>
            <w:tcW w:w="1559"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301"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spacing w:line="584" w:lineRule="exact"/>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高压线迁改项目</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全部完成迁改工程，项目计划分三步实施，即：设计、主材招标阶段；施工、监理招标阶段和工程施工阶段，计划2021年6月25日前完工。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数量</w:t>
            </w:r>
          </w:p>
        </w:tc>
        <w:tc>
          <w:tcPr>
            <w:tcW w:w="1985"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规划建设长度</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线路长度</w:t>
            </w:r>
          </w:p>
        </w:tc>
        <w:tc>
          <w:tcPr>
            <w:tcW w:w="1843" w:type="dxa"/>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永久线路全长约7.6km，全线双回假设，临时线路长约1.8km</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质量</w:t>
            </w:r>
          </w:p>
        </w:tc>
        <w:tc>
          <w:tcPr>
            <w:tcW w:w="1985"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工程验收合格率</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工程验收合格比例</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时效</w:t>
            </w:r>
          </w:p>
        </w:tc>
        <w:tc>
          <w:tcPr>
            <w:tcW w:w="1985"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项目建设进度计划</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项目建设进度占全年建设进度比率</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成本</w:t>
            </w:r>
          </w:p>
        </w:tc>
        <w:tc>
          <w:tcPr>
            <w:tcW w:w="1985"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项目建设成本</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项目建设成本</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7390万元</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社会效益</w:t>
            </w:r>
          </w:p>
        </w:tc>
        <w:tc>
          <w:tcPr>
            <w:tcW w:w="19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改善当地基础设施状况</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改善当地基础设施状况</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效果显著提高</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ascii="仿宋_GB2312" w:hAnsi="宋体" w:eastAsia="仿宋_GB2312" w:cs="仿宋_GB2312"/>
                <w:color w:val="000000"/>
                <w:sz w:val="24"/>
                <w:szCs w:val="24"/>
              </w:rPr>
            </w:pPr>
            <w:r>
              <w:rPr>
                <w:rFonts w:ascii="仿宋_GB2312" w:hAnsi="宋体" w:eastAsia="仿宋_GB2312" w:cs="仿宋_GB2312"/>
                <w:color w:val="000000"/>
                <w:kern w:val="0"/>
                <w:sz w:val="24"/>
                <w:szCs w:val="24"/>
              </w:rPr>
              <w:t>经济效益</w:t>
            </w:r>
          </w:p>
        </w:tc>
        <w:tc>
          <w:tcPr>
            <w:tcW w:w="19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促进区域内经济发展</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促进区域内经济发展</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效果显著提高</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群众满意度</w:t>
            </w:r>
          </w:p>
        </w:tc>
        <w:tc>
          <w:tcPr>
            <w:tcW w:w="198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受益群体满意程度</w:t>
            </w:r>
          </w:p>
        </w:tc>
        <w:tc>
          <w:tcPr>
            <w:tcW w:w="3402"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受益群体满意程度</w:t>
            </w:r>
          </w:p>
        </w:tc>
        <w:tc>
          <w:tcPr>
            <w:tcW w:w="1843"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≥90%</w:t>
            </w:r>
          </w:p>
        </w:tc>
        <w:tc>
          <w:tcPr>
            <w:tcW w:w="2155" w:type="dxa"/>
            <w:shd w:val="clear" w:color="auto" w:fill="auto"/>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1260" w:firstLineChars="450"/>
        <w:jc w:val="left"/>
        <w:rPr>
          <w:rFonts w:hint="eastAsia" w:ascii="Times New Roman" w:hAnsi="Times New Roman" w:eastAsia="仿宋_GB2312" w:cs="Times New Roman"/>
          <w:sz w:val="28"/>
        </w:rPr>
      </w:pPr>
      <w:r>
        <w:rPr>
          <w:rFonts w:hint="eastAsia" w:ascii="Times New Roman" w:hAnsi="Times New Roman" w:eastAsia="仿宋_GB2312" w:cs="Times New Roman"/>
          <w:sz w:val="28"/>
        </w:rPr>
        <w:t>2.园区开发建设资金</w:t>
      </w:r>
      <w:r>
        <w:rPr>
          <w:rFonts w:ascii="Times New Roman" w:hAnsi="Times New Roman" w:eastAsia="仿宋_GB2312" w:cs="Times New Roman"/>
          <w:sz w:val="28"/>
        </w:rPr>
        <w:t>绩效目标表</w:t>
      </w:r>
    </w:p>
    <w:p>
      <w:pPr>
        <w:autoSpaceDE w:val="0"/>
        <w:autoSpaceDN w:val="0"/>
        <w:adjustRightInd w:val="0"/>
        <w:spacing w:line="584" w:lineRule="exact"/>
        <w:ind w:firstLine="1440" w:firstLineChars="450"/>
        <w:jc w:val="left"/>
        <w:rPr>
          <w:rFonts w:hint="eastAsia" w:ascii="Times New Roman" w:hAnsi="Times New Roman" w:eastAsia="黑体" w:cs="Times New Roman"/>
          <w:sz w:val="32"/>
          <w:szCs w:val="32"/>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2410"/>
        <w:gridCol w:w="1587"/>
        <w:gridCol w:w="1304"/>
        <w:gridCol w:w="29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4"/>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主要对园区污水管网进行修缮，对园区环境完成相关整理工作</w:t>
            </w:r>
          </w:p>
        </w:tc>
      </w:tr>
    </w:tbl>
    <w:p>
      <w:pPr>
        <w:spacing w:line="14" w:lineRule="exact"/>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工程完工轨</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工程质量合格率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合格的工程量占工程总量的比率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项目按计划完工率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项目按计划完工情况</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hint="eastAsia" w:ascii="方正书宋_GBK" w:eastAsia="方正书宋_GBK"/>
              </w:rPr>
            </w:pP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超概算比例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超预算金额占概算的比例</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设施正常运转率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设施正常运转率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合作运营协议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受益群体满意程度</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[690001]河北廊坊广阳经济开发区管理委员会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河北廊坊广阳经济开发区管理委员会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56.9226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河北廊坊广阳经济开发区管理委员会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河北廊坊广阳经济开发区管理委员会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56.9226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33.1426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B9"/>
    <w:rsid w:val="00172A27"/>
    <w:rsid w:val="00251274"/>
    <w:rsid w:val="00301F9F"/>
    <w:rsid w:val="00356683"/>
    <w:rsid w:val="003F02F4"/>
    <w:rsid w:val="004A54AA"/>
    <w:rsid w:val="00723245"/>
    <w:rsid w:val="00807A76"/>
    <w:rsid w:val="00857F40"/>
    <w:rsid w:val="008F0EB4"/>
    <w:rsid w:val="00A218C6"/>
    <w:rsid w:val="00B12764"/>
    <w:rsid w:val="00B17B32"/>
    <w:rsid w:val="00B80935"/>
    <w:rsid w:val="00D347CC"/>
    <w:rsid w:val="00E27CE3"/>
    <w:rsid w:val="00EA45E2"/>
    <w:rsid w:val="099C57FA"/>
    <w:rsid w:val="0E472119"/>
    <w:rsid w:val="1FC03923"/>
    <w:rsid w:val="23636EDF"/>
    <w:rsid w:val="25440249"/>
    <w:rsid w:val="29687D55"/>
    <w:rsid w:val="30427706"/>
    <w:rsid w:val="556E57BB"/>
    <w:rsid w:val="78BC50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1101</Words>
  <Characters>6277</Characters>
  <Lines>52</Lines>
  <Paragraphs>14</Paragraphs>
  <TotalTime>81</TotalTime>
  <ScaleCrop>false</ScaleCrop>
  <LinksUpToDate>false</LinksUpToDate>
  <CharactersWithSpaces>7364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2024-07-19T08:31:21Z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61EFB1A3AC6A4126AC1D026AF37B18F2</vt:lpwstr>
  </property>
</Properties>
</file>