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880" w:firstLineChars="200"/>
        <w:jc w:val="center"/>
        <w:rPr>
          <w:rFonts w:ascii="Times New Roman" w:hAnsi="Times New Roman" w:eastAsia="方正小标宋简体" w:cs="Times New Roman"/>
          <w:sz w:val="44"/>
          <w:szCs w:val="44"/>
        </w:rPr>
      </w:pPr>
      <w:bookmarkStart w:id="8" w:name="_GoBack"/>
      <w:r>
        <w:rPr>
          <w:rFonts w:hint="eastAsia" w:ascii="Times New Roman" w:hAnsi="Times New Roman" w:eastAsia="方正小标宋简体" w:cs="方正小标宋简体"/>
          <w:sz w:val="44"/>
          <w:szCs w:val="44"/>
        </w:rPr>
        <w:t>廊坊市广阳区北旺乡人民政府</w:t>
      </w:r>
      <w:r>
        <w:rPr>
          <w:rFonts w:ascii="Times New Roman" w:hAnsi="Times New Roman" w:eastAsia="方正小标宋简体" w:cs="Times New Roman"/>
          <w:sz w:val="44"/>
          <w:szCs w:val="44"/>
        </w:rPr>
        <w:t>2021</w:t>
      </w:r>
      <w:r>
        <w:rPr>
          <w:rFonts w:hint="eastAsia" w:ascii="Times New Roman" w:hAnsi="Times New Roman" w:eastAsia="方正小标宋简体" w:cs="方正小标宋简体"/>
          <w:sz w:val="44"/>
          <w:szCs w:val="44"/>
        </w:rPr>
        <w:t>年部门预算信息公开情况说明</w:t>
      </w:r>
      <w:bookmarkEnd w:id="8"/>
    </w:p>
    <w:p>
      <w:pPr>
        <w:spacing w:line="584" w:lineRule="exact"/>
        <w:ind w:firstLine="880" w:firstLineChars="200"/>
        <w:jc w:val="center"/>
        <w:rPr>
          <w:rFonts w:ascii="Times New Roman" w:hAnsi="Times New Roman" w:eastAsia="仿宋_GB2312" w:cs="Times New Roman"/>
          <w:sz w:val="44"/>
          <w:szCs w:val="44"/>
        </w:rPr>
      </w:pP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按照《中华人民共和国预算法》、《中华人民共和国预算法实施条例》、《地方预决算公开操作规程》和《河北省省级预算公开办法》规定，现将廊坊市广阳区北旺乡人民政府</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年部门预算公开如下：</w:t>
      </w: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一、部门职责及机构设置情况</w:t>
      </w:r>
    </w:p>
    <w:p>
      <w:pPr>
        <w:spacing w:line="584" w:lineRule="exact"/>
        <w:ind w:firstLine="643" w:firstLineChars="200"/>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部门职责：</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(一)党政综合办公室(财政所)。负责党委、政府日常事务；负责乡各部门的综合协调、行政事务等工作；负责文秘、会务、督查、信息、档案、保密、机要、后勤保障等日常工作；贯</w:t>
      </w:r>
    </w:p>
    <w:p>
      <w:pPr>
        <w:rPr>
          <w:rFonts w:hint="eastAsia" w:ascii="仿宋" w:hAnsi="仿宋" w:eastAsia="仿宋" w:cs="仿宋"/>
          <w:sz w:val="32"/>
          <w:szCs w:val="32"/>
        </w:rPr>
      </w:pPr>
      <w:r>
        <w:rPr>
          <w:rFonts w:hint="eastAsia" w:ascii="仿宋" w:hAnsi="仿宋" w:eastAsia="仿宋" w:cs="仿宋"/>
          <w:sz w:val="32"/>
          <w:szCs w:val="32"/>
        </w:rPr>
        <w:t>彻执行国家财政的法律、法规、方针、政策，负责乡财政收支、预决算的编制并组织执行；负责国有资产管理等方面工作；负责辖区信访维稳工作；负责辖区统计调查工作；完成党委、政府交办的其他工作。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(二)党建工作办公室(人大主席团办公室)。负責党的政治建设、组织建设、思想宣传、精神文明建设、统战、侨务、民族宗教等方面工作；负责落实基层党建责任制，基层服务型党组</w:t>
      </w:r>
    </w:p>
    <w:p>
      <w:pPr>
        <w:rPr>
          <w:rFonts w:hint="eastAsia" w:ascii="仿宋" w:hAnsi="仿宋" w:eastAsia="仿宋" w:cs="仿宋"/>
          <w:sz w:val="32"/>
          <w:szCs w:val="32"/>
        </w:rPr>
      </w:pPr>
      <w:r>
        <w:rPr>
          <w:rFonts w:hint="eastAsia" w:ascii="仿宋" w:hAnsi="仿宋" w:eastAsia="仿宋" w:cs="仿宋"/>
          <w:sz w:val="32"/>
          <w:szCs w:val="32"/>
        </w:rPr>
        <w:t>织建设、区域化党建和非公有制企业和社会组织党建，党代表联络服务等方面工作；负责人民武装、国防安全、民兵预备役等方面工作；负责纪检监察、党风廉政、反腐败相关工作；负责人大主席团的日常工作；负责党员教育管理、干部考核、人事管理、机构编制、老干部管理等方面工作；负责工会、共青团、妇联等方面工作；负责党务公开工作；负责财务内部审计监督工作；完成党委、政府交办的其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三)应急管理办公室。负责辖区安全生产监督管理工作；负责辖区消防、防汛抗洪、抗旱、防灾减灾、突发事件应急处置与管理、自然灾害救助和救助款物管理、护林和森林草原防火等方面工作；按权限负责辖区食品安全、乡村道路交通安全等方面监督管理工作；完成党委、政府交办的其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四)自然资源和生态环境办公室。按照职责分工负责辖区自然资源和生态环境保护相关工作；负责辖区基本农田保护、土地调查、规划建设、自然资源保护和监管、全民义务植树、古树名木保护、草原建设保护；负责乡村道路建设管理；负责农村供水用水管理工作；负责畜禽遗传保护、市容村容和环境卫生、农村生活污水管理、土壤污染防治利用、河湖水资源保护、水域岸线管理、水污染防治、水环境治理、地下水管理、大气污染防治突发环境事件应急处置、水土保持、人居环境改善、扬尘污染防治、畜禽养殖污染防治、禁止露天焚烧秸秆、“散乱污”企业综合整治等相关工作；完成党委、政府交办的其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五)综合行政执法队(综合指挥和信息化网络中心、社会治安综合治理中心)。根据法律法规和省政府授权，承担辖区综合行政执法工作；负责综合指挥、信息化网络管理工作；负责信息化平台的运行管理保障；负责统筹协调指挥区域内各条块管等工照有政作理服务力量；负责对平台接收事项的交办、跟踪和督办；负责区域内的信息受理、工单派发、辅助决策等工作，及时收集多种途径排查出的民生诉求、矛盾纠纷、问题隐患等信息，并进行汇总梳理、分析研判，根据事件类别和情况，派发给乡相关职能机构进行处置，或按程序上报区级综合指挥平台处置；负责辖区信用体系建设、社会综合治理、调解各类纠纷等相关工作；协调辖区法庭、派出所、司法所相关工作；完成党委、政府交办的其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(六)行政综合服务中心。根据法律法规和省政府授权，承担辖区行政审批服务工作。负责辖区计划生育、社会保障、民政事务、残疾人保障、医疗保障等相关工作；完成党委、政府交办的其他工作。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(七)农业综合服务中心(经济发展中心)。负责辖区农业水利等方面工作；负责辖区农村扶贫开发的具体实施；负责辖区经济发展、企业服务相关工作；负责辖区村民委员会成员的任期</w:t>
      </w:r>
    </w:p>
    <w:p>
      <w:pPr>
        <w:rPr>
          <w:rFonts w:hint="eastAsia" w:ascii="仿宋" w:hAnsi="仿宋" w:eastAsia="仿宋" w:cs="仿宋"/>
          <w:sz w:val="32"/>
          <w:szCs w:val="32"/>
        </w:rPr>
      </w:pPr>
      <w:r>
        <w:rPr>
          <w:rFonts w:hint="eastAsia" w:ascii="仿宋" w:hAnsi="仿宋" w:eastAsia="仿宋" w:cs="仿宋"/>
          <w:sz w:val="32"/>
          <w:szCs w:val="32"/>
        </w:rPr>
        <w:t>和离任经济责任审计工作。负责辖区农村“三资”管理、村务公开等方面工作；负责辖区农村土地承包管理相关工作；按照职责分工负责辖区农民负担监管工作，组织开展农民负担专项检查；按照权限落实好农村重点改革任务；负责“气代煤”、燃气供热管理有关工作；完成党委、政府交办的其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(八)退役军人服务站。负责辖区退役军人信息采集、思想政治建设、杈益保障、就业指导、拥军优抚、困难帮扶等相关工作；完成党委、政府交办的其他工作。</w:t>
      </w:r>
    </w:p>
    <w:p>
      <w:pPr>
        <w:ind w:firstLine="640" w:firstLineChars="200"/>
        <w:rPr>
          <w:rFonts w:hint="eastAsia" w:ascii="仿宋" w:hAnsi="仿宋" w:eastAsia="仿宋" w:cs="仿宋"/>
          <w:sz w:val="32"/>
          <w:szCs w:val="32"/>
        </w:rPr>
      </w:pPr>
      <w:r>
        <w:rPr>
          <w:rFonts w:hint="eastAsia" w:ascii="仿宋" w:hAnsi="仿宋" w:eastAsia="仿宋" w:cs="仿宋"/>
          <w:sz w:val="32"/>
          <w:szCs w:val="32"/>
        </w:rPr>
        <w:t>(九)综合文化服务站。负责辖区科技、教育、体育、文化旅游、卫生健康等方面工作；完成党委、政府交办的其他工作。</w:t>
      </w:r>
    </w:p>
    <w:p>
      <w:pPr>
        <w:autoSpaceDE w:val="0"/>
        <w:autoSpaceDN w:val="0"/>
        <w:adjustRightInd w:val="0"/>
        <w:spacing w:line="584" w:lineRule="exact"/>
        <w:ind w:firstLine="627" w:firstLineChars="196"/>
        <w:jc w:val="left"/>
        <w:rPr>
          <w:rFonts w:hint="eastAsia" w:ascii="仿宋" w:hAnsi="仿宋" w:eastAsia="仿宋" w:cs="仿宋"/>
          <w:sz w:val="32"/>
          <w:szCs w:val="32"/>
        </w:rPr>
      </w:pPr>
      <w:r>
        <w:rPr>
          <w:rFonts w:hint="eastAsia" w:ascii="仿宋" w:hAnsi="仿宋" w:eastAsia="仿宋" w:cs="仿宋"/>
          <w:sz w:val="32"/>
          <w:szCs w:val="32"/>
        </w:rPr>
        <w:t>(十)社区建设和物业监督管理办公室。负责社区事务管理工作，指导居民委员会等基层群众性自治组织建设，健全自治平台；负责辖区居家养老服务等方面工作；负责指导居民委员会的换届选举工作；指导居民委员会建立健全各项自治制度，并予以备案；负责基层社区社会组织的分类指导和业务指导；负责指导辖区内业主大会的成立和业主委员会的选举工作；负责社区工作者的日常管理工作；指导居民委员会开展群众性的消防工作；组织动员社区居民、单位和社会力量参与社区治理，整合辖区内社会力量，</w:t>
      </w:r>
      <w:r>
        <w:rPr>
          <w:rFonts w:hint="eastAsia" w:ascii="仿宋" w:hAnsi="仿宋" w:eastAsia="仿宋" w:cs="仿宋"/>
          <w:sz w:val="32"/>
          <w:szCs w:val="32"/>
          <w:lang w:eastAsia="zh-CN"/>
        </w:rPr>
        <w:t>形成</w:t>
      </w:r>
      <w:r>
        <w:rPr>
          <w:rFonts w:hint="eastAsia" w:ascii="仿宋" w:hAnsi="仿宋" w:eastAsia="仿宋" w:cs="仿宋"/>
          <w:sz w:val="32"/>
          <w:szCs w:val="32"/>
        </w:rPr>
        <w:t>社区共治合力，为社区发展服务，对社区工作者队伍进行管理；承担辖区物业管理和监督指导工作；协助有关部门对区域内物业管理活动进行监督管理；负责召集物业管理联席会议；负责调解物业管理纠纷，协助处理物业管理投诉；协助区物业管理行政主管部门做好物业承接查验备案、住宅专项维修资金监管、物业服务企业信用信息征集等工作；协调和指导未实施物业管理小区的管理服务等工作；完成党委、政府交办的其他工作。</w:t>
      </w:r>
    </w:p>
    <w:p>
      <w:pPr>
        <w:autoSpaceDE w:val="0"/>
        <w:autoSpaceDN w:val="0"/>
        <w:adjustRightInd w:val="0"/>
        <w:spacing w:line="584" w:lineRule="exact"/>
        <w:ind w:firstLine="630" w:firstLineChars="196"/>
        <w:jc w:val="left"/>
        <w:rPr>
          <w:rFonts w:ascii="Times New Roman" w:hAnsi="Times New Roman" w:eastAsia="楷体_GB2312" w:cs="Times New Roman"/>
          <w:b/>
          <w:bCs/>
          <w:sz w:val="32"/>
          <w:szCs w:val="32"/>
        </w:rPr>
      </w:pPr>
      <w:r>
        <w:rPr>
          <w:rFonts w:hint="eastAsia" w:ascii="Times New Roman" w:hAnsi="Times New Roman" w:eastAsia="楷体_GB2312" w:cs="楷体_GB2312"/>
          <w:b/>
          <w:bCs/>
          <w:sz w:val="32"/>
          <w:szCs w:val="32"/>
        </w:rPr>
        <w:t>机构设置：</w:t>
      </w:r>
    </w:p>
    <w:p>
      <w:pPr>
        <w:spacing w:line="584" w:lineRule="exact"/>
        <w:jc w:val="center"/>
        <w:outlineLvl w:val="0"/>
        <w:rPr>
          <w:rFonts w:ascii="Times New Roman" w:hAnsi="Times New Roman" w:eastAsia="仿宋_GB2312" w:cs="Times New Roman"/>
          <w:b/>
          <w:bCs/>
          <w:sz w:val="32"/>
          <w:szCs w:val="32"/>
        </w:rPr>
      </w:pPr>
      <w:r>
        <w:rPr>
          <w:rFonts w:hint="eastAsia" w:ascii="Times New Roman" w:hAnsi="Times New Roman" w:eastAsia="仿宋_GB2312" w:cs="仿宋_GB2312"/>
          <w:b/>
          <w:bCs/>
          <w:sz w:val="32"/>
          <w:szCs w:val="32"/>
        </w:rPr>
        <w:t>部门机构设置情况</w:t>
      </w:r>
    </w:p>
    <w:tbl>
      <w:tblPr>
        <w:tblStyle w:val="8"/>
        <w:tblW w:w="10393"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4443"/>
        <w:gridCol w:w="1134"/>
        <w:gridCol w:w="1276"/>
        <w:gridCol w:w="3540"/>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单位名称</w:t>
            </w:r>
          </w:p>
        </w:tc>
        <w:tc>
          <w:tcPr>
            <w:tcW w:w="1134"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单位性质</w:t>
            </w:r>
          </w:p>
        </w:tc>
        <w:tc>
          <w:tcPr>
            <w:tcW w:w="1276"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单位规格</w:t>
            </w:r>
          </w:p>
        </w:tc>
        <w:tc>
          <w:tcPr>
            <w:tcW w:w="3540" w:type="dxa"/>
            <w:vMerge w:val="restart"/>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84" w:hRule="atLeast"/>
          <w:tblHeader/>
          <w:jc w:val="center"/>
        </w:trPr>
        <w:tc>
          <w:tcPr>
            <w:tcW w:w="4443" w:type="dxa"/>
            <w:vMerge w:val="continue"/>
            <w:vAlign w:val="center"/>
          </w:tcPr>
          <w:p>
            <w:pPr>
              <w:rPr>
                <w:rFonts w:cs="Times New Roman"/>
              </w:rPr>
            </w:pPr>
          </w:p>
        </w:tc>
        <w:tc>
          <w:tcPr>
            <w:tcW w:w="1134" w:type="dxa"/>
            <w:vMerge w:val="continue"/>
            <w:vAlign w:val="center"/>
          </w:tcPr>
          <w:p>
            <w:pPr>
              <w:rPr>
                <w:rFonts w:cs="Times New Roman"/>
              </w:rPr>
            </w:pPr>
          </w:p>
        </w:tc>
        <w:tc>
          <w:tcPr>
            <w:tcW w:w="1276" w:type="dxa"/>
            <w:vMerge w:val="continue"/>
            <w:vAlign w:val="center"/>
          </w:tcPr>
          <w:p>
            <w:pPr>
              <w:rPr>
                <w:rFonts w:cs="Times New Roman"/>
              </w:rPr>
            </w:pPr>
          </w:p>
        </w:tc>
        <w:tc>
          <w:tcPr>
            <w:tcW w:w="3540" w:type="dxa"/>
            <w:vMerge w:val="continue"/>
            <w:vAlign w:val="center"/>
          </w:tcPr>
          <w:p>
            <w:pPr>
              <w:rPr>
                <w:rFonts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北旺乡人民政府</w:t>
            </w:r>
          </w:p>
        </w:tc>
        <w:tc>
          <w:tcPr>
            <w:tcW w:w="1134"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行政</w:t>
            </w:r>
          </w:p>
        </w:tc>
        <w:tc>
          <w:tcPr>
            <w:tcW w:w="1276"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正科级</w:t>
            </w:r>
          </w:p>
        </w:tc>
        <w:tc>
          <w:tcPr>
            <w:tcW w:w="3540"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hint="eastAsia" w:ascii="Times New Roman" w:hAnsi="Times New Roman" w:eastAsia="仿宋_GB2312" w:cs="仿宋_GB2312"/>
                <w:b/>
                <w:bCs/>
              </w:rPr>
            </w:pPr>
            <w:r>
              <w:rPr>
                <w:rFonts w:hint="eastAsia" w:ascii="Times New Roman" w:hAnsi="Times New Roman" w:eastAsia="仿宋_GB2312" w:cs="仿宋_GB2312"/>
                <w:b/>
                <w:bCs/>
              </w:rPr>
              <w:t>应急管理办公室</w:t>
            </w:r>
          </w:p>
        </w:tc>
        <w:tc>
          <w:tcPr>
            <w:tcW w:w="1134"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行政</w:t>
            </w:r>
          </w:p>
        </w:tc>
        <w:tc>
          <w:tcPr>
            <w:tcW w:w="1276"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正科级</w:t>
            </w:r>
          </w:p>
        </w:tc>
        <w:tc>
          <w:tcPr>
            <w:tcW w:w="3540"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hint="eastAsia" w:ascii="Times New Roman" w:hAnsi="Times New Roman" w:eastAsia="仿宋_GB2312" w:cs="仿宋_GB2312"/>
                <w:b/>
                <w:bCs/>
              </w:rPr>
            </w:pPr>
            <w:r>
              <w:rPr>
                <w:rFonts w:hint="eastAsia" w:ascii="Times New Roman" w:hAnsi="Times New Roman" w:eastAsia="仿宋_GB2312" w:cs="仿宋_GB2312"/>
                <w:b/>
                <w:bCs/>
              </w:rPr>
              <w:t>综合文化服务站</w:t>
            </w:r>
          </w:p>
        </w:tc>
        <w:tc>
          <w:tcPr>
            <w:tcW w:w="1134"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行政</w:t>
            </w:r>
          </w:p>
        </w:tc>
        <w:tc>
          <w:tcPr>
            <w:tcW w:w="1276"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正科级</w:t>
            </w:r>
          </w:p>
        </w:tc>
        <w:tc>
          <w:tcPr>
            <w:tcW w:w="3540"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hint="eastAsia" w:ascii="Times New Roman" w:hAnsi="Times New Roman" w:eastAsia="仿宋_GB2312" w:cs="仿宋_GB2312"/>
                <w:b/>
                <w:bCs/>
              </w:rPr>
            </w:pPr>
            <w:r>
              <w:rPr>
                <w:rFonts w:hint="eastAsia" w:ascii="Times New Roman" w:hAnsi="Times New Roman" w:eastAsia="仿宋_GB2312" w:cs="仿宋_GB2312"/>
                <w:b/>
                <w:bCs/>
              </w:rPr>
              <w:t>自然资源和生态环境办公室</w:t>
            </w:r>
          </w:p>
        </w:tc>
        <w:tc>
          <w:tcPr>
            <w:tcW w:w="1134"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行政</w:t>
            </w:r>
          </w:p>
        </w:tc>
        <w:tc>
          <w:tcPr>
            <w:tcW w:w="1276"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正科级</w:t>
            </w:r>
          </w:p>
        </w:tc>
        <w:tc>
          <w:tcPr>
            <w:tcW w:w="3540" w:type="dxa"/>
            <w:vAlign w:val="center"/>
          </w:tcPr>
          <w:p>
            <w:pPr>
              <w:spacing w:line="584" w:lineRule="exact"/>
              <w:jc w:val="center"/>
              <w:rPr>
                <w:rFonts w:ascii="Times New Roman" w:hAnsi="Times New Roman" w:eastAsia="仿宋_GB2312" w:cs="Times New Roman"/>
                <w:b/>
                <w:bCs/>
              </w:rPr>
            </w:pPr>
            <w:r>
              <w:rPr>
                <w:rFonts w:hint="eastAsia" w:ascii="Times New Roman" w:hAnsi="Times New Roman" w:eastAsia="仿宋_GB2312" w:cs="仿宋_GB2312"/>
                <w:b/>
                <w:bCs/>
              </w:rPr>
              <w:t>财政拨款（行政）</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hint="eastAsia" w:ascii="Times New Roman" w:hAnsi="Times New Roman" w:eastAsia="仿宋_GB2312" w:cs="仿宋_GB2312"/>
                <w:b/>
                <w:bCs/>
              </w:rPr>
            </w:pPr>
            <w:r>
              <w:rPr>
                <w:rFonts w:hint="eastAsia" w:ascii="Times New Roman" w:hAnsi="Times New Roman" w:eastAsia="仿宋_GB2312" w:cs="仿宋_GB2312"/>
                <w:b/>
                <w:bCs/>
              </w:rPr>
              <w:t>北旺乡其它教育</w:t>
            </w:r>
          </w:p>
        </w:tc>
        <w:tc>
          <w:tcPr>
            <w:tcW w:w="1134" w:type="dxa"/>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仿宋_GB2312"/>
              </w:rPr>
              <w:t>事业</w:t>
            </w:r>
          </w:p>
        </w:tc>
        <w:tc>
          <w:tcPr>
            <w:tcW w:w="1276" w:type="dxa"/>
            <w:vAlign w:val="center"/>
          </w:tcPr>
          <w:p>
            <w:pPr>
              <w:spacing w:line="584" w:lineRule="exact"/>
              <w:jc w:val="center"/>
              <w:rPr>
                <w:rFonts w:ascii="Times New Roman" w:hAnsi="Times New Roman" w:eastAsia="仿宋_GB2312" w:cs="Times New Roman"/>
              </w:rPr>
            </w:pPr>
          </w:p>
        </w:tc>
        <w:tc>
          <w:tcPr>
            <w:tcW w:w="3540" w:type="dxa"/>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仿宋_GB2312"/>
                <w:b/>
                <w:bCs/>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hint="eastAsia" w:ascii="Times New Roman" w:hAnsi="Times New Roman" w:eastAsia="仿宋_GB2312" w:cs="仿宋_GB2312"/>
                <w:b/>
                <w:bCs/>
              </w:rPr>
            </w:pPr>
            <w:r>
              <w:rPr>
                <w:rFonts w:hint="eastAsia" w:ascii="Times New Roman" w:hAnsi="Times New Roman" w:eastAsia="仿宋_GB2312" w:cs="仿宋_GB2312"/>
                <w:b/>
                <w:bCs/>
              </w:rPr>
              <w:t>北旺乡中学</w:t>
            </w:r>
          </w:p>
        </w:tc>
        <w:tc>
          <w:tcPr>
            <w:tcW w:w="1134" w:type="dxa"/>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仿宋_GB2312"/>
              </w:rPr>
              <w:t>事业</w:t>
            </w:r>
          </w:p>
        </w:tc>
        <w:tc>
          <w:tcPr>
            <w:tcW w:w="1276" w:type="dxa"/>
            <w:vAlign w:val="center"/>
          </w:tcPr>
          <w:p>
            <w:pPr>
              <w:spacing w:line="584" w:lineRule="exact"/>
              <w:jc w:val="center"/>
              <w:rPr>
                <w:rFonts w:ascii="Times New Roman" w:hAnsi="Times New Roman" w:eastAsia="仿宋_GB2312" w:cs="Times New Roman"/>
              </w:rPr>
            </w:pPr>
          </w:p>
        </w:tc>
        <w:tc>
          <w:tcPr>
            <w:tcW w:w="3540" w:type="dxa"/>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仿宋_GB2312"/>
                <w:b/>
                <w:bCs/>
              </w:rPr>
              <w:t>财政性资金基本保证（全额事业）</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227" w:hRule="atLeast"/>
          <w:jc w:val="center"/>
        </w:trPr>
        <w:tc>
          <w:tcPr>
            <w:tcW w:w="4443" w:type="dxa"/>
            <w:vAlign w:val="center"/>
          </w:tcPr>
          <w:p>
            <w:pPr>
              <w:spacing w:line="584" w:lineRule="exact"/>
              <w:jc w:val="center"/>
              <w:rPr>
                <w:rFonts w:hint="eastAsia" w:ascii="Times New Roman" w:hAnsi="Times New Roman" w:eastAsia="仿宋_GB2312" w:cs="仿宋_GB2312"/>
                <w:b/>
                <w:bCs/>
              </w:rPr>
            </w:pPr>
            <w:r>
              <w:rPr>
                <w:rFonts w:hint="eastAsia" w:ascii="Times New Roman" w:hAnsi="Times New Roman" w:eastAsia="仿宋_GB2312" w:cs="仿宋_GB2312"/>
                <w:b/>
                <w:bCs/>
              </w:rPr>
              <w:t>北旺乡小学</w:t>
            </w:r>
          </w:p>
        </w:tc>
        <w:tc>
          <w:tcPr>
            <w:tcW w:w="1134" w:type="dxa"/>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仿宋_GB2312"/>
              </w:rPr>
              <w:t>事业</w:t>
            </w:r>
          </w:p>
        </w:tc>
        <w:tc>
          <w:tcPr>
            <w:tcW w:w="1276" w:type="dxa"/>
            <w:vAlign w:val="center"/>
          </w:tcPr>
          <w:p>
            <w:pPr>
              <w:spacing w:line="584" w:lineRule="exact"/>
              <w:jc w:val="center"/>
              <w:rPr>
                <w:rFonts w:ascii="Times New Roman" w:hAnsi="Times New Roman" w:eastAsia="仿宋_GB2312" w:cs="Times New Roman"/>
              </w:rPr>
            </w:pPr>
          </w:p>
        </w:tc>
        <w:tc>
          <w:tcPr>
            <w:tcW w:w="3540" w:type="dxa"/>
            <w:vAlign w:val="center"/>
          </w:tcPr>
          <w:p>
            <w:pPr>
              <w:spacing w:line="584" w:lineRule="exact"/>
              <w:jc w:val="center"/>
              <w:rPr>
                <w:rFonts w:ascii="Times New Roman" w:hAnsi="Times New Roman" w:eastAsia="仿宋_GB2312" w:cs="Times New Roman"/>
              </w:rPr>
            </w:pPr>
            <w:r>
              <w:rPr>
                <w:rFonts w:hint="eastAsia" w:ascii="Times New Roman" w:hAnsi="Times New Roman" w:eastAsia="仿宋_GB2312" w:cs="仿宋_GB2312"/>
                <w:b/>
                <w:bCs/>
              </w:rPr>
              <w:t>财政性资金基本保证（全额事业）</w:t>
            </w:r>
          </w:p>
        </w:tc>
      </w:tr>
    </w:tbl>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二、部门预算安排的总体情况</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按照预算管理有关规定，目前我区部门预算的编制实行综合预算制度，即全部收入和支出都反映在预算中。廊坊市广阳区北旺乡人民政府机关及所属事业单位的收支包含在部门预算中。</w:t>
      </w:r>
    </w:p>
    <w:p>
      <w:pPr>
        <w:spacing w:line="584"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、收入说明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反映本部门当年全部收入。</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年预算收入</w:t>
      </w:r>
      <w:r>
        <w:rPr>
          <w:rFonts w:ascii="Times New Roman" w:hAnsi="Times New Roman" w:eastAsia="仿宋_GB2312" w:cs="Times New Roman"/>
          <w:sz w:val="32"/>
          <w:szCs w:val="32"/>
        </w:rPr>
        <w:t>6236.77</w:t>
      </w:r>
      <w:r>
        <w:rPr>
          <w:rFonts w:hint="eastAsia" w:ascii="Times New Roman" w:hAnsi="Times New Roman" w:eastAsia="仿宋_GB2312" w:cs="仿宋_GB2312"/>
          <w:sz w:val="32"/>
          <w:szCs w:val="32"/>
        </w:rPr>
        <w:t>万元，其中：一般公共预算收入</w:t>
      </w:r>
      <w:r>
        <w:rPr>
          <w:rFonts w:ascii="Times New Roman" w:hAnsi="Times New Roman" w:eastAsia="仿宋_GB2312" w:cs="Times New Roman"/>
          <w:sz w:val="32"/>
          <w:szCs w:val="32"/>
        </w:rPr>
        <w:t>6236.77</w:t>
      </w:r>
      <w:r>
        <w:rPr>
          <w:rFonts w:hint="eastAsia" w:ascii="Times New Roman" w:hAnsi="Times New Roman" w:eastAsia="仿宋_GB2312" w:cs="仿宋_GB2312"/>
          <w:sz w:val="32"/>
          <w:szCs w:val="32"/>
        </w:rPr>
        <w:t>万元，基金预算收入</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万元，财政专户核拨收入</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万元，其他来源收入</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万元，上年结转</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w:t>
      </w:r>
    </w:p>
    <w:p>
      <w:pPr>
        <w:spacing w:line="584"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、支出说明</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收支预算总表支出栏、基本支出表、项目支出表按经济分类和支出功能分类科目编制，反映廊坊市广阳区北旺乡人民政府年度部门预算中支出预算的总体情况。</w:t>
      </w: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年支出预算</w:t>
      </w:r>
      <w:r>
        <w:rPr>
          <w:rFonts w:ascii="Times New Roman" w:hAnsi="Times New Roman" w:eastAsia="仿宋_GB2312" w:cs="Times New Roman"/>
          <w:sz w:val="32"/>
          <w:szCs w:val="32"/>
        </w:rPr>
        <w:t>6236.77</w:t>
      </w:r>
      <w:r>
        <w:rPr>
          <w:rFonts w:hint="eastAsia" w:ascii="Times New Roman" w:hAnsi="Times New Roman" w:eastAsia="仿宋_GB2312" w:cs="仿宋_GB2312"/>
          <w:sz w:val="32"/>
          <w:szCs w:val="32"/>
        </w:rPr>
        <w:t>万元，其中基本支出</w:t>
      </w:r>
      <w:r>
        <w:rPr>
          <w:rFonts w:ascii="Times New Roman" w:hAnsi="Times New Roman" w:eastAsia="仿宋_GB2312" w:cs="Times New Roman"/>
          <w:sz w:val="32"/>
          <w:szCs w:val="32"/>
        </w:rPr>
        <w:t>5780.81</w:t>
      </w:r>
      <w:r>
        <w:rPr>
          <w:rFonts w:hint="eastAsia" w:ascii="Times New Roman" w:hAnsi="Times New Roman" w:eastAsia="仿宋_GB2312" w:cs="仿宋_GB2312"/>
          <w:sz w:val="32"/>
          <w:szCs w:val="32"/>
        </w:rPr>
        <w:t>万元，包括人员类项目经费</w:t>
      </w:r>
      <w:r>
        <w:rPr>
          <w:rFonts w:ascii="Times New Roman" w:hAnsi="Times New Roman" w:eastAsia="仿宋_GB2312" w:cs="Times New Roman"/>
          <w:sz w:val="32"/>
          <w:szCs w:val="32"/>
        </w:rPr>
        <w:t>5613.49</w:t>
      </w:r>
      <w:r>
        <w:rPr>
          <w:rFonts w:hint="eastAsia" w:ascii="Times New Roman" w:hAnsi="Times New Roman" w:eastAsia="仿宋_GB2312" w:cs="仿宋_GB2312"/>
          <w:sz w:val="32"/>
          <w:szCs w:val="32"/>
        </w:rPr>
        <w:t>万元和运转类公用项目经费</w:t>
      </w:r>
      <w:r>
        <w:rPr>
          <w:rFonts w:ascii="Times New Roman" w:hAnsi="Times New Roman" w:eastAsia="仿宋_GB2312" w:cs="Times New Roman"/>
          <w:sz w:val="32"/>
          <w:szCs w:val="32"/>
        </w:rPr>
        <w:t>167.32</w:t>
      </w:r>
      <w:r>
        <w:rPr>
          <w:rFonts w:hint="eastAsia" w:ascii="Times New Roman" w:hAnsi="Times New Roman" w:eastAsia="仿宋_GB2312" w:cs="仿宋_GB2312"/>
          <w:sz w:val="32"/>
          <w:szCs w:val="32"/>
        </w:rPr>
        <w:t>万元；运转类其他及特定目标类项目支出</w:t>
      </w:r>
      <w:r>
        <w:rPr>
          <w:rFonts w:ascii="Times New Roman" w:hAnsi="Times New Roman" w:eastAsia="仿宋_GB2312" w:cs="Times New Roman"/>
          <w:sz w:val="32"/>
          <w:szCs w:val="32"/>
        </w:rPr>
        <w:t>455.96</w:t>
      </w:r>
      <w:r>
        <w:rPr>
          <w:rFonts w:hint="eastAsia" w:ascii="Times New Roman" w:hAnsi="Times New Roman" w:eastAsia="仿宋_GB2312" w:cs="仿宋_GB2312"/>
          <w:sz w:val="32"/>
          <w:szCs w:val="32"/>
        </w:rPr>
        <w:t>万元，</w:t>
      </w:r>
      <w:r>
        <w:rPr>
          <w:rFonts w:hint="eastAsia" w:ascii="Times New Roman" w:hAnsi="Times New Roman" w:eastAsia="仿宋_GB2312" w:cs="仿宋_GB2312"/>
          <w:sz w:val="32"/>
          <w:szCs w:val="32"/>
          <w:lang w:eastAsia="zh-CN"/>
        </w:rPr>
        <w:t>包括本级支出，</w:t>
      </w:r>
      <w:r>
        <w:rPr>
          <w:rFonts w:hint="eastAsia" w:ascii="Times New Roman" w:hAnsi="Times New Roman" w:eastAsia="仿宋_GB2312" w:cs="仿宋_GB2312"/>
          <w:sz w:val="32"/>
          <w:szCs w:val="32"/>
        </w:rPr>
        <w:t>主要为社区聘用人员工资、非公办教师工资及农村综合改革转移支付资金等其他支出。</w:t>
      </w:r>
    </w:p>
    <w:p>
      <w:pPr>
        <w:spacing w:line="584" w:lineRule="exact"/>
        <w:ind w:firstLine="64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、比上年增减情况</w:t>
      </w:r>
    </w:p>
    <w:p>
      <w:pPr>
        <w:spacing w:line="584" w:lineRule="exact"/>
        <w:ind w:firstLine="640"/>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年预算收支安排</w:t>
      </w:r>
      <w:r>
        <w:rPr>
          <w:rFonts w:ascii="Times New Roman" w:hAnsi="Times New Roman" w:eastAsia="仿宋_GB2312" w:cs="Times New Roman"/>
          <w:sz w:val="32"/>
          <w:szCs w:val="32"/>
        </w:rPr>
        <w:t>6236.77</w:t>
      </w:r>
      <w:r>
        <w:rPr>
          <w:rFonts w:hint="eastAsia" w:ascii="Times New Roman" w:hAnsi="Times New Roman" w:eastAsia="仿宋_GB2312" w:cs="仿宋_GB2312"/>
          <w:sz w:val="32"/>
          <w:szCs w:val="32"/>
        </w:rPr>
        <w:t>万元，较</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年预算减少</w:t>
      </w:r>
      <w:r>
        <w:rPr>
          <w:rFonts w:ascii="Times New Roman" w:hAnsi="Times New Roman" w:eastAsia="仿宋_GB2312" w:cs="Times New Roman"/>
          <w:sz w:val="32"/>
          <w:szCs w:val="32"/>
        </w:rPr>
        <w:t>101.22</w:t>
      </w:r>
      <w:r>
        <w:rPr>
          <w:rFonts w:hint="eastAsia" w:ascii="Times New Roman" w:hAnsi="Times New Roman" w:eastAsia="仿宋_GB2312" w:cs="仿宋_GB2312"/>
          <w:sz w:val="32"/>
          <w:szCs w:val="32"/>
        </w:rPr>
        <w:t>万元，其中：基本支出增加</w:t>
      </w:r>
      <w:r>
        <w:rPr>
          <w:rFonts w:ascii="Times New Roman" w:hAnsi="Times New Roman" w:eastAsia="仿宋_GB2312" w:cs="Times New Roman"/>
          <w:sz w:val="32"/>
          <w:szCs w:val="32"/>
        </w:rPr>
        <w:t>50.5</w:t>
      </w:r>
      <w:r>
        <w:rPr>
          <w:rFonts w:hint="eastAsia" w:ascii="Times New Roman" w:hAnsi="Times New Roman" w:eastAsia="仿宋_GB2312" w:cs="仿宋_GB2312"/>
          <w:sz w:val="32"/>
          <w:szCs w:val="32"/>
        </w:rPr>
        <w:t>万元，主要为人员增资支出；项目支出减少</w:t>
      </w:r>
      <w:r>
        <w:rPr>
          <w:rFonts w:ascii="Times New Roman" w:hAnsi="Times New Roman" w:eastAsia="仿宋_GB2312" w:cs="Times New Roman"/>
          <w:sz w:val="32"/>
          <w:szCs w:val="32"/>
        </w:rPr>
        <w:t>151.72</w:t>
      </w:r>
      <w:r>
        <w:rPr>
          <w:rFonts w:hint="eastAsia" w:ascii="Times New Roman" w:hAnsi="Times New Roman" w:eastAsia="仿宋_GB2312" w:cs="仿宋_GB2312"/>
          <w:sz w:val="32"/>
          <w:szCs w:val="32"/>
        </w:rPr>
        <w:t>万元，主要为一事一议项目支出减少。</w:t>
      </w:r>
    </w:p>
    <w:p>
      <w:pPr>
        <w:autoSpaceDE w:val="0"/>
        <w:autoSpaceDN w:val="0"/>
        <w:adjustRightInd w:val="0"/>
        <w:spacing w:line="584" w:lineRule="exact"/>
        <w:ind w:left="198" w:firstLine="640" w:firstLineChars="200"/>
        <w:jc w:val="left"/>
        <w:rPr>
          <w:rFonts w:ascii="Times New Roman" w:hAnsi="Times New Roman" w:eastAsia="黑体" w:cs="Times New Roman"/>
          <w:sz w:val="32"/>
          <w:szCs w:val="32"/>
        </w:rPr>
      </w:pPr>
      <w:r>
        <w:rPr>
          <w:rFonts w:hint="eastAsia" w:ascii="Times New Roman" w:hAnsi="Times New Roman" w:eastAsia="黑体" w:cs="黑体"/>
          <w:sz w:val="32"/>
          <w:szCs w:val="32"/>
        </w:rPr>
        <w:t>三、机关运行经费安排情况</w:t>
      </w:r>
    </w:p>
    <w:p>
      <w:pPr>
        <w:autoSpaceDE w:val="0"/>
        <w:autoSpaceDN w:val="0"/>
        <w:adjustRightInd w:val="0"/>
        <w:spacing w:line="584" w:lineRule="exact"/>
        <w:ind w:left="198"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年，我</w:t>
      </w:r>
      <w:r>
        <w:rPr>
          <w:rFonts w:hint="eastAsia" w:ascii="Times New Roman" w:hAnsi="Times New Roman" w:eastAsia="仿宋_GB2312" w:cs="仿宋_GB2312"/>
          <w:sz w:val="32"/>
          <w:szCs w:val="32"/>
          <w:lang w:eastAsia="zh-CN"/>
        </w:rPr>
        <w:t>部门</w:t>
      </w:r>
      <w:r>
        <w:rPr>
          <w:rFonts w:hint="eastAsia" w:ascii="Times New Roman" w:hAnsi="Times New Roman" w:eastAsia="仿宋_GB2312" w:cs="仿宋_GB2312"/>
          <w:sz w:val="32"/>
          <w:szCs w:val="32"/>
        </w:rPr>
        <w:t>机关运行经费共计安排</w:t>
      </w:r>
      <w:r>
        <w:rPr>
          <w:rFonts w:hint="eastAsia" w:ascii="Times New Roman" w:hAnsi="Times New Roman" w:eastAsia="仿宋_GB2312" w:cs="Times New Roman"/>
          <w:sz w:val="32"/>
          <w:szCs w:val="32"/>
          <w:lang w:val="en-US" w:eastAsia="zh-CN"/>
        </w:rPr>
        <w:t>167.32</w:t>
      </w:r>
      <w:r>
        <w:rPr>
          <w:rFonts w:hint="eastAsia" w:ascii="Times New Roman" w:hAnsi="Times New Roman" w:eastAsia="仿宋_GB2312" w:cs="仿宋_GB2312"/>
          <w:sz w:val="32"/>
          <w:szCs w:val="32"/>
        </w:rPr>
        <w:t>万元，主要用于北旺乡人民政府机关及所属事业单位办公区的日常维修、办公用房水电费、办公用房取暖费、办公用房物业管理费等日常运行支出。</w:t>
      </w:r>
    </w:p>
    <w:p>
      <w:pPr>
        <w:autoSpaceDE w:val="0"/>
        <w:autoSpaceDN w:val="0"/>
        <w:adjustRightInd w:val="0"/>
        <w:spacing w:line="584" w:lineRule="exact"/>
        <w:ind w:left="198" w:firstLine="640" w:firstLineChars="200"/>
        <w:jc w:val="left"/>
        <w:rPr>
          <w:rFonts w:hint="eastAsia" w:ascii="Times New Roman" w:hAnsi="Times New Roman" w:eastAsia="黑体" w:cs="黑体"/>
          <w:sz w:val="32"/>
          <w:szCs w:val="32"/>
        </w:rPr>
      </w:pPr>
      <w:r>
        <w:rPr>
          <w:rFonts w:hint="eastAsia" w:ascii="Times New Roman" w:hAnsi="Times New Roman" w:eastAsia="黑体" w:cs="黑体"/>
          <w:sz w:val="32"/>
          <w:szCs w:val="32"/>
        </w:rPr>
        <w:t>四、财政拨款“三公”经费预算情况及增减变化原因</w:t>
      </w:r>
    </w:p>
    <w:p>
      <w:pPr>
        <w:autoSpaceDE w:val="0"/>
        <w:autoSpaceDN w:val="0"/>
        <w:adjustRightInd w:val="0"/>
        <w:spacing w:line="584" w:lineRule="exact"/>
        <w:ind w:left="197" w:leftChars="94" w:firstLine="640" w:firstLineChars="200"/>
        <w:jc w:val="left"/>
        <w:rPr>
          <w:rFonts w:ascii="Times New Roman" w:hAnsi="Times New Roman" w:eastAsia="仿宋_GB2312" w:cs="Times New Roman"/>
          <w:sz w:val="32"/>
          <w:szCs w:val="32"/>
        </w:rPr>
      </w:pPr>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年，我局财政拨款</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经费预算安排</w:t>
      </w:r>
      <w:r>
        <w:rPr>
          <w:rFonts w:ascii="Times New Roman" w:hAnsi="Times New Roman" w:eastAsia="仿宋_GB2312" w:cs="Times New Roman"/>
          <w:sz w:val="32"/>
          <w:szCs w:val="32"/>
        </w:rPr>
        <w:t>4.38</w:t>
      </w:r>
      <w:r>
        <w:rPr>
          <w:rFonts w:hint="eastAsia" w:ascii="Times New Roman" w:hAnsi="Times New Roman" w:eastAsia="仿宋_GB2312" w:cs="仿宋_GB2312"/>
          <w:sz w:val="32"/>
          <w:szCs w:val="32"/>
        </w:rPr>
        <w:t>万元。其中，因公出国（境）费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万元；公务用车购置及运维费</w:t>
      </w:r>
      <w:r>
        <w:rPr>
          <w:rFonts w:ascii="Times New Roman" w:hAnsi="Times New Roman" w:eastAsia="仿宋_GB2312" w:cs="Times New Roman"/>
          <w:sz w:val="32"/>
          <w:szCs w:val="32"/>
        </w:rPr>
        <w:t>4.38</w:t>
      </w:r>
      <w:r>
        <w:rPr>
          <w:rFonts w:hint="eastAsia" w:ascii="Times New Roman" w:hAnsi="Times New Roman" w:eastAsia="仿宋_GB2312" w:cs="仿宋_GB2312"/>
          <w:sz w:val="32"/>
          <w:szCs w:val="32"/>
        </w:rPr>
        <w:t>万元（其中：公务用车购置费为</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万元，公务用车运维费</w:t>
      </w:r>
      <w:r>
        <w:rPr>
          <w:rFonts w:ascii="Times New Roman" w:hAnsi="Times New Roman" w:eastAsia="仿宋_GB2312" w:cs="Times New Roman"/>
          <w:sz w:val="32"/>
          <w:szCs w:val="32"/>
        </w:rPr>
        <w:t>4.38</w:t>
      </w:r>
      <w:r>
        <w:rPr>
          <w:rFonts w:hint="eastAsia" w:ascii="Times New Roman" w:hAnsi="Times New Roman" w:eastAsia="仿宋_GB2312" w:cs="仿宋_GB2312"/>
          <w:sz w:val="32"/>
          <w:szCs w:val="32"/>
        </w:rPr>
        <w:t>万元</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；公务接待费</w:t>
      </w:r>
      <w:r>
        <w:rPr>
          <w:rFonts w:ascii="Times New Roman" w:hAnsi="Times New Roman" w:eastAsia="仿宋_GB2312" w:cs="Times New Roman"/>
          <w:sz w:val="32"/>
          <w:szCs w:val="32"/>
        </w:rPr>
        <w:t>0</w:t>
      </w:r>
      <w:r>
        <w:rPr>
          <w:rFonts w:hint="eastAsia" w:ascii="Times New Roman" w:hAnsi="Times New Roman" w:eastAsia="仿宋_GB2312" w:cs="仿宋_GB2312"/>
          <w:sz w:val="32"/>
          <w:szCs w:val="32"/>
        </w:rPr>
        <w:t>万元。与</w:t>
      </w:r>
      <w:r>
        <w:rPr>
          <w:rFonts w:ascii="Times New Roman" w:hAnsi="Times New Roman" w:eastAsia="仿宋_GB2312" w:cs="Times New Roman"/>
          <w:sz w:val="32"/>
          <w:szCs w:val="32"/>
        </w:rPr>
        <w:t>2020</w:t>
      </w:r>
      <w:r>
        <w:rPr>
          <w:rFonts w:hint="eastAsia" w:ascii="Times New Roman" w:hAnsi="Times New Roman" w:eastAsia="仿宋_GB2312" w:cs="仿宋_GB2312"/>
          <w:sz w:val="32"/>
          <w:szCs w:val="32"/>
        </w:rPr>
        <w:t>年相比持平</w:t>
      </w:r>
      <w:r>
        <w:rPr>
          <w:rFonts w:hint="eastAsia" w:ascii="Times New Roman" w:hAnsi="Times New Roman" w:eastAsia="仿宋_GB2312" w:cs="仿宋_GB2312"/>
          <w:sz w:val="32"/>
          <w:szCs w:val="32"/>
          <w:lang w:eastAsia="zh-CN"/>
        </w:rPr>
        <w:t>，无增减变化</w:t>
      </w:r>
      <w:r>
        <w:rPr>
          <w:rFonts w:hint="eastAsia" w:ascii="Times New Roman" w:hAnsi="Times New Roman" w:eastAsia="仿宋_GB2312" w:cs="仿宋_GB2312"/>
          <w:sz w:val="32"/>
          <w:szCs w:val="32"/>
        </w:rPr>
        <w:t>。</w:t>
      </w:r>
    </w:p>
    <w:p>
      <w:pPr>
        <w:numPr>
          <w:ilvl w:val="0"/>
          <w:numId w:val="1"/>
        </w:numPr>
        <w:spacing w:line="584" w:lineRule="exact"/>
        <w:ind w:firstLine="640" w:firstLineChars="200"/>
        <w:rPr>
          <w:rFonts w:hint="eastAsia" w:ascii="Times New Roman" w:hAnsi="Times New Roman" w:eastAsia="黑体" w:cs="黑体"/>
          <w:sz w:val="32"/>
          <w:szCs w:val="32"/>
        </w:rPr>
      </w:pPr>
      <w:r>
        <w:rPr>
          <w:rFonts w:hint="eastAsia" w:ascii="Times New Roman" w:hAnsi="Times New Roman" w:eastAsia="黑体" w:cs="黑体"/>
          <w:sz w:val="32"/>
          <w:szCs w:val="32"/>
        </w:rPr>
        <w:t>绩效预算信息</w:t>
      </w:r>
    </w:p>
    <w:p>
      <w:pPr>
        <w:numPr>
          <w:ilvl w:val="0"/>
          <w:numId w:val="0"/>
        </w:num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第一部分</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部门整体绩效目标</w:t>
      </w:r>
    </w:p>
    <w:p>
      <w:pPr>
        <w:spacing w:line="584"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（一）总体绩效目标</w:t>
      </w:r>
    </w:p>
    <w:p>
      <w:pPr>
        <w:spacing w:line="584" w:lineRule="exact"/>
        <w:ind w:firstLine="640" w:firstLineChars="200"/>
        <w:rPr>
          <w:rFonts w:hint="eastAsia" w:ascii="仿宋" w:hAnsi="仿宋" w:eastAsia="仿宋" w:cs="仿宋"/>
          <w:sz w:val="32"/>
          <w:szCs w:val="32"/>
        </w:rPr>
      </w:pPr>
      <w:r>
        <w:rPr>
          <w:rFonts w:hint="eastAsia" w:ascii="仿宋" w:hAnsi="仿宋" w:eastAsia="仿宋" w:cs="仿宋"/>
          <w:sz w:val="32"/>
          <w:szCs w:val="32"/>
        </w:rPr>
        <w:t>一是推进经济持续增长。狠抓招商引资，坚持“区域突破，扩大规模，内外联动”策略，力争多招商、招好商。同时，力推项目建设，结合去年的项目建设，一些扩建项目还要继续推进，争取更大更多的项目。二是加强民生服务。进一步强化网格服务功能，坚持以党建带管理与服务相结合，不断提升网格承载的社会管理和公共服务的能力。推行了解民情零距离、答复民疑零延迟、解决民难零推脱的“三零”标准。把就业、计生、司法、民政、环保、大气防治等服务不断充实到网格里，实现网格员和网格长上门服务居民。三是创新城乡文化品牌。多形式设计活动载体，充分发挥公益性社会群团组织作用，激发社区文化活力，提高原创作品的创作能力，提升社区文化品质，打造文化街道品牌。四是坚持维护稳定大局。深入排查化解矛盾纠纷，积极预防和妥善处置群体性事件，坚持做到涉稳问题排查化解到位、重点涉稳人员稳控到位、预防和处置非访事件准备工作到位，为实现广阳又好又快发展做出更大的贡献。五是实行科技</w:t>
      </w:r>
      <w:r>
        <w:rPr>
          <w:rFonts w:hint="eastAsia" w:ascii="仿宋" w:hAnsi="仿宋" w:eastAsia="仿宋" w:cs="仿宋"/>
          <w:sz w:val="32"/>
          <w:szCs w:val="32"/>
          <w:lang w:eastAsia="zh-CN"/>
        </w:rPr>
        <w:t>环保督察</w:t>
      </w:r>
      <w:r>
        <w:rPr>
          <w:rFonts w:hint="eastAsia" w:ascii="仿宋" w:hAnsi="仿宋" w:eastAsia="仿宋" w:cs="仿宋"/>
          <w:sz w:val="32"/>
          <w:szCs w:val="32"/>
        </w:rPr>
        <w:t>。在继续推行网格员巡查的同时，加大对网格员的培训力度，发动全员治霾的同时，加大无人机和监测仪在实际检查中的应用，让数据说话，真正做到精准治霾，科技治霾。全力推进各社区数字化信息管理平台和环保网格数据平台的建设工作，增加专业业务知识培训次数。六是加大隐患整治力度。对街道辖区内的安全生产重点监管单位、重大危险源进行重点监管检查，对一般单位实施定期或不定期专项检查，通过检查及时发现隐患，遏制一般事故，杜绝重大事故，确保各类检查和整治活动取得成效，完成各项控制指标。</w:t>
      </w:r>
    </w:p>
    <w:p>
      <w:pPr>
        <w:spacing w:line="584"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（二）分项绩效目标</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1、宣传、贯彻、落实党的路线、方针、政策和国家的法律法规，执行上级党委、政府的决定和命令；</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2、制定并组织实施本行政区域内的经济和社会发展规</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划，促进经济和社会事业的全面发展；</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3、加强乡镇基层党组织的建设，领导和支持群团组织依法独立开展工作；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4、依法管理本行政区域内的各项社会事务，组织协调本辖区内机关、团体和企事业单位完成地区性、群众性和社会性的工作任务，支持、配合、监督派驻本辖区的公安、工商、税务等机构或人员正常开展工作；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5、加强乡、村及社区精神文明建设和文化建设，促进社会文明进步；</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6、加强乡、村及社区社会治安综合治理工作，维护社会稳定；</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7、兴建社区服务设施，强化服务功能，提供多种形式的公共服务；</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8、加大城市建设与经营管理力度，发展社会公共事业，加快城市建设和发展步伐；</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9、完成区委、区政府交办的其它工作任务。</w:t>
      </w:r>
    </w:p>
    <w:p>
      <w:pPr>
        <w:spacing w:line="584" w:lineRule="exact"/>
        <w:ind w:firstLine="643" w:firstLineChars="200"/>
        <w:rPr>
          <w:rFonts w:ascii="楷体_GB2312" w:eastAsia="楷体_GB2312" w:cs="Times New Roman"/>
          <w:b/>
          <w:bCs/>
          <w:sz w:val="32"/>
          <w:szCs w:val="32"/>
        </w:rPr>
      </w:pPr>
      <w:r>
        <w:rPr>
          <w:rFonts w:hint="eastAsia" w:ascii="楷体_GB2312" w:eastAsia="楷体_GB2312" w:cs="楷体_GB2312"/>
          <w:b/>
          <w:bCs/>
          <w:sz w:val="32"/>
          <w:szCs w:val="32"/>
        </w:rPr>
        <w:t>（三）工作保障措施</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一）突出政务、加强事务、提升服务，力求重点工作出精品，难点工作求突破、基础工作有创新、常规工作见特色。以机关干部作风量化指标为依据，增强了工作综合服务实力。一是在强化服务意识上下功夫。培养树立干部群众第一的理念，以求真务实的精神深入群众之中，体察民情、了解民意，为群众诚心诚意办实事、尽心尽力解难事、坚持不懈做好事。二是在提升综合素质上下功夫。加强乡干部理论知识、前沿科技知识和先进经验的学习，研究新政策，吃透新情况，不断提升自身素质。坚持“学中干，干中学”，深入社区、深入居民，在基层实践中锻炼提高。三是在提升工作效能上下功夫。继续建立健全各项规章制度，加强机关作风建设，充分发挥纪检部门的监督作用，不断增强街居干部的纪律意识、责任意识和大局意识，坚决杜绝纪律</w:t>
      </w:r>
      <w:r>
        <w:rPr>
          <w:rFonts w:hint="eastAsia" w:ascii="仿宋" w:hAnsi="仿宋" w:eastAsia="仿宋" w:cs="仿宋"/>
          <w:sz w:val="32"/>
          <w:szCs w:val="32"/>
          <w:lang w:eastAsia="zh-CN"/>
        </w:rPr>
        <w:t>松弛</w:t>
      </w:r>
      <w:r>
        <w:rPr>
          <w:rFonts w:hint="eastAsia" w:ascii="仿宋" w:hAnsi="仿宋" w:eastAsia="仿宋" w:cs="仿宋"/>
          <w:sz w:val="32"/>
          <w:szCs w:val="32"/>
        </w:rPr>
        <w:t>、工作拖延、自由散漫等消极怠工现象，努力提高工作效率。四是在创新服务载体上下功夫。积极推广在职党员进村、结对帮扶等做法，运用多种形式和手段开展服务；广泛开展以党员为骨干的各类志愿服务；充分调动广大群众自我管理、自我服务的积极性，构建以党组织为核心、全社会共同参与的服务格局.五是保障村级组织运转。并提高村干部报酬，维持村级正常运转，开展村党组织活动，“三会一课”等，做好离任村干部及村街其他人员生活补助发放工作。</w:t>
      </w:r>
      <w:r>
        <w:rPr>
          <w:rFonts w:hint="eastAsia" w:ascii="仿宋" w:hAnsi="仿宋" w:eastAsia="仿宋" w:cs="仿宋"/>
          <w:sz w:val="32"/>
          <w:szCs w:val="32"/>
        </w:rPr>
        <w:br w:type="textWrapping"/>
      </w:r>
      <w:r>
        <w:rPr>
          <w:rFonts w:hint="eastAsia" w:ascii="仿宋" w:hAnsi="仿宋" w:eastAsia="仿宋" w:cs="仿宋"/>
          <w:sz w:val="32"/>
          <w:szCs w:val="32"/>
        </w:rPr>
        <w:t xml:space="preserve">    （二）建设运行维护好镇政府应急平台，实现各种实用功能。有效保证镇政府日常应急值守和突发事件应对处置工作；进一步加强应急宣传培训工作，拓宽宣教渠道、扩大受众面、增强工作实效；进一步完善应急预案体系建设，认真编制、严格审核应急预案，确保预案内容科学合理，有效组织实施；进一步加强应急演练工作，提升演练效果，确保遇突发事件能够有效应对；充分发挥专家组的决策咨询和技术指导作用，为突发事件应对处置工作提供更大帮助；做好指导、协调各镇镇、各部门应急工作，确保信息报送及时畅通，不出差错和问题。不断优化招商结构和投资环境，注重引进规模大、质量好的项目，特别是高端现代服务业项目，高科技、高附加值、高税收项目。加大重点项目的推进力度，找准联建户突破口，形成多部门执法合力，实现对土地和资源的有效利用，加快辖区土地的全面盘活，培育辖区经济增长点。</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（三） 社区创建增亮点。一是深化社区服务功能。紧紧围绕志愿者服务开展工作，进一步创新服务形式，以“特色专业志愿服务团队”建设为侧重点，细化服务方向，提高服务质量，不断开创村街惠民利民新品牌。二是创新社区管理机制体制。鼓励辖区各类组织、单位和个人共驻共建，力争建立起覆盖社区全体成员、服务主体多元、服务功能完善、服务质量和管理模式都达到领先水平的社区服务体系。三是挖掘特色精品社区创建内涵。将有特色社区加大挖掘力度，出亮点，立标杆；三分之一重点社区强化村街扶持，树品牌，建口碑，争取取得各社区特色各异，百花齐放的良好效果。</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（四）提高义务教育公用经费保障水平，改善办学条件，均衡配置基础教育资源，缩小城镇、区域、校际之间办学差距，落实学生资助政策。</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（五）贯彻落实国家财政收入政策，推动村级公益事业建设一事一议财政奖补、农村公共服务运行维护机制建设试点等工作。采取科学合理方法测算年度财政收入情况，制</w:t>
      </w:r>
      <w:r>
        <w:rPr>
          <w:rFonts w:hint="eastAsia" w:ascii="仿宋" w:hAnsi="仿宋" w:eastAsia="仿宋" w:cs="仿宋"/>
          <w:sz w:val="32"/>
          <w:szCs w:val="32"/>
          <w:lang w:eastAsia="zh-CN"/>
        </w:rPr>
        <w:t>订</w:t>
      </w:r>
      <w:r>
        <w:rPr>
          <w:rFonts w:hint="eastAsia" w:ascii="仿宋" w:hAnsi="仿宋" w:eastAsia="仿宋" w:cs="仿宋"/>
          <w:sz w:val="32"/>
          <w:szCs w:val="32"/>
        </w:rPr>
        <w:t>年度预算收入计划。研究制定完善的预算政策体系，提高预算管理的科学化水平。统筹市级财力，强化绩效管理，科学编制政府绩效预算。规范预算执行，合理组织财政各项支出，促进社会事业发展。推进预算公开，实施全面规范、公开透明的预算制度。</w:t>
      </w:r>
    </w:p>
    <w:p>
      <w:pPr>
        <w:spacing w:line="500" w:lineRule="exact"/>
        <w:ind w:firstLine="640" w:firstLineChars="200"/>
        <w:jc w:val="left"/>
        <w:rPr>
          <w:rFonts w:hint="eastAsia" w:ascii="仿宋" w:hAnsi="仿宋" w:eastAsia="仿宋" w:cs="仿宋"/>
          <w:sz w:val="32"/>
          <w:szCs w:val="32"/>
        </w:rPr>
      </w:pPr>
      <w:r>
        <w:rPr>
          <w:rFonts w:hint="eastAsia" w:ascii="仿宋" w:hAnsi="仿宋" w:eastAsia="仿宋" w:cs="仿宋"/>
          <w:sz w:val="32"/>
          <w:szCs w:val="32"/>
        </w:rPr>
        <w:t>（六）和谐共建保稳定。一是强化维稳意识。在原有上访点有效地化解的基础上，将防复发、防新发的任务作为重点，时刻紧绷维护稳定这根弦，将问题想在困难处，想在发生前，将隐患消除在萌芽状态。二是强化安全意识。进一步推动落实企业主体责任，强化重点领域专项整治，健全隐患排查长效管理机制，强化安全生产培训教育，加强和有关部门的协调配合，从源头打击控制非法、违法行为，创造良好平稳的安全生产环境。三是强化大气污染防治。细化大气污染防治网格化管理，明确责任，工作有的放矢。并加强督导，强化机制。同时不断加大宣传教育力度，营造干群齐心协力防治大气污染、改善生态环境的浓厚氛围。</w:t>
      </w:r>
    </w:p>
    <w:p>
      <w:pPr>
        <w:overflowPunct w:val="0"/>
        <w:adjustRightInd w:val="0"/>
        <w:snapToGrid w:val="0"/>
        <w:spacing w:afterLines="50" w:line="580" w:lineRule="exact"/>
        <w:jc w:val="left"/>
        <w:rPr>
          <w:rFonts w:ascii="楷体_GB2312" w:eastAsia="楷体_GB2312" w:cs="Times New Roman"/>
          <w:b/>
          <w:bCs/>
          <w:sz w:val="32"/>
          <w:szCs w:val="32"/>
        </w:rPr>
      </w:pPr>
      <w:r>
        <w:rPr>
          <w:rFonts w:hint="eastAsia" w:ascii="楷体_GB2312" w:eastAsia="楷体_GB2312" w:cs="楷体_GB2312"/>
          <w:b/>
          <w:bCs/>
          <w:sz w:val="32"/>
          <w:szCs w:val="32"/>
        </w:rPr>
        <w:t>（四）部门整体支出绩效指标</w:t>
      </w:r>
    </w:p>
    <w:tbl>
      <w:tblPr>
        <w:tblStyle w:val="8"/>
        <w:tblW w:w="932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1" w:type="dxa"/>
          <w:bottom w:w="0" w:type="dxa"/>
          <w:right w:w="11" w:type="dxa"/>
        </w:tblCellMar>
      </w:tblPr>
      <w:tblGrid>
        <w:gridCol w:w="485"/>
        <w:gridCol w:w="568"/>
        <w:gridCol w:w="1379"/>
        <w:gridCol w:w="2039"/>
        <w:gridCol w:w="1363"/>
        <w:gridCol w:w="1480"/>
        <w:gridCol w:w="577"/>
        <w:gridCol w:w="862"/>
        <w:gridCol w:w="56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326" w:hRule="atLeast"/>
          <w:tblHeader/>
          <w:jc w:val="center"/>
        </w:trPr>
        <w:tc>
          <w:tcPr>
            <w:tcW w:w="485" w:type="dxa"/>
            <w:vMerge w:val="restart"/>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一级指标</w:t>
            </w:r>
          </w:p>
        </w:tc>
        <w:tc>
          <w:tcPr>
            <w:tcW w:w="568" w:type="dxa"/>
            <w:vMerge w:val="restart"/>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二级</w:t>
            </w:r>
          </w:p>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指标</w:t>
            </w:r>
          </w:p>
        </w:tc>
        <w:tc>
          <w:tcPr>
            <w:tcW w:w="1379" w:type="dxa"/>
            <w:vMerge w:val="restart"/>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三级</w:t>
            </w:r>
          </w:p>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指标</w:t>
            </w:r>
          </w:p>
        </w:tc>
        <w:tc>
          <w:tcPr>
            <w:tcW w:w="2039" w:type="dxa"/>
            <w:vMerge w:val="restart"/>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评（扣）分标准</w:t>
            </w:r>
          </w:p>
        </w:tc>
        <w:tc>
          <w:tcPr>
            <w:tcW w:w="1363" w:type="dxa"/>
            <w:vMerge w:val="restart"/>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绩效指标</w:t>
            </w:r>
          </w:p>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描述</w:t>
            </w:r>
          </w:p>
        </w:tc>
        <w:tc>
          <w:tcPr>
            <w:tcW w:w="2919" w:type="dxa"/>
            <w:gridSpan w:val="3"/>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指标值</w:t>
            </w:r>
          </w:p>
        </w:tc>
        <w:tc>
          <w:tcPr>
            <w:tcW w:w="568" w:type="dxa"/>
            <w:vMerge w:val="restart"/>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指标值</w:t>
            </w:r>
          </w:p>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确定依据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33" w:hRule="atLeast"/>
          <w:tblHeader/>
          <w:jc w:val="center"/>
        </w:trPr>
        <w:tc>
          <w:tcPr>
            <w:tcW w:w="485" w:type="dxa"/>
            <w:vMerge w:val="continue"/>
            <w:vAlign w:val="center"/>
          </w:tcPr>
          <w:p>
            <w:pPr>
              <w:rPr>
                <w:rFonts w:cs="Times New Roman"/>
              </w:rPr>
            </w:pPr>
          </w:p>
        </w:tc>
        <w:tc>
          <w:tcPr>
            <w:tcW w:w="568" w:type="dxa"/>
            <w:vMerge w:val="continue"/>
            <w:vAlign w:val="center"/>
          </w:tcPr>
          <w:p>
            <w:pPr>
              <w:rPr>
                <w:rFonts w:cs="Times New Roman"/>
              </w:rPr>
            </w:pPr>
          </w:p>
        </w:tc>
        <w:tc>
          <w:tcPr>
            <w:tcW w:w="1379" w:type="dxa"/>
            <w:vMerge w:val="continue"/>
            <w:vAlign w:val="center"/>
          </w:tcPr>
          <w:p>
            <w:pPr>
              <w:rPr>
                <w:rFonts w:cs="Times New Roman"/>
              </w:rPr>
            </w:pPr>
          </w:p>
        </w:tc>
        <w:tc>
          <w:tcPr>
            <w:tcW w:w="2039" w:type="dxa"/>
            <w:vMerge w:val="continue"/>
            <w:vAlign w:val="center"/>
          </w:tcPr>
          <w:p>
            <w:pPr>
              <w:rPr>
                <w:rFonts w:cs="Times New Roman"/>
              </w:rPr>
            </w:pPr>
          </w:p>
        </w:tc>
        <w:tc>
          <w:tcPr>
            <w:tcW w:w="1363" w:type="dxa"/>
            <w:vMerge w:val="continue"/>
            <w:vAlign w:val="center"/>
          </w:tcPr>
          <w:p>
            <w:pPr>
              <w:rPr>
                <w:rFonts w:cs="Times New Roman"/>
              </w:rPr>
            </w:pPr>
          </w:p>
        </w:tc>
        <w:tc>
          <w:tcPr>
            <w:tcW w:w="1480" w:type="dxa"/>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符号</w:t>
            </w:r>
          </w:p>
        </w:tc>
        <w:tc>
          <w:tcPr>
            <w:tcW w:w="577" w:type="dxa"/>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值</w:t>
            </w:r>
          </w:p>
        </w:tc>
        <w:tc>
          <w:tcPr>
            <w:tcW w:w="862" w:type="dxa"/>
            <w:vAlign w:val="center"/>
          </w:tcPr>
          <w:p>
            <w:pPr>
              <w:widowControl/>
              <w:adjustRightInd w:val="0"/>
              <w:snapToGrid w:val="0"/>
              <w:jc w:val="center"/>
              <w:rPr>
                <w:rFonts w:ascii="方正书宋_GBK" w:eastAsia="方正书宋_GBK" w:cs="Times New Roman"/>
                <w:b/>
                <w:bCs/>
              </w:rPr>
            </w:pPr>
            <w:r>
              <w:rPr>
                <w:rFonts w:hint="eastAsia" w:ascii="方正书宋_GBK" w:eastAsia="方正书宋_GBK" w:cs="方正书宋_GBK"/>
                <w:b/>
                <w:bCs/>
              </w:rPr>
              <w:t>单位</w:t>
            </w:r>
          </w:p>
        </w:tc>
        <w:tc>
          <w:tcPr>
            <w:tcW w:w="568" w:type="dxa"/>
            <w:vMerge w:val="continue"/>
            <w:vAlign w:val="center"/>
          </w:tcPr>
          <w:p>
            <w:pP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594" w:hRule="atLeast"/>
          <w:jc w:val="center"/>
        </w:trPr>
        <w:tc>
          <w:tcPr>
            <w:tcW w:w="485" w:type="dxa"/>
            <w:vMerge w:val="restart"/>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部门产出</w:t>
            </w:r>
          </w:p>
        </w:tc>
        <w:tc>
          <w:tcPr>
            <w:tcW w:w="568"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数量</w:t>
            </w:r>
          </w:p>
        </w:tc>
        <w:tc>
          <w:tcPr>
            <w:tcW w:w="1379"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辖区综合服务站个数</w:t>
            </w:r>
          </w:p>
        </w:tc>
        <w:tc>
          <w:tcPr>
            <w:tcW w:w="2039" w:type="dxa"/>
            <w:vAlign w:val="center"/>
          </w:tcPr>
          <w:p>
            <w:pPr>
              <w:widowControl/>
              <w:adjustRightInd w:val="0"/>
              <w:snapToGrid w:val="0"/>
              <w:rPr>
                <w:rFonts w:ascii="方正书宋_GBK" w:eastAsia="方正书宋_GBK" w:cs="方正书宋_GBK"/>
              </w:rPr>
            </w:pPr>
            <w:r>
              <w:rPr>
                <w:rFonts w:ascii="方正书宋_GBK" w:eastAsia="方正书宋_GBK" w:cs="方正书宋_GBK"/>
              </w:rPr>
              <w:t>10</w:t>
            </w:r>
          </w:p>
        </w:tc>
        <w:tc>
          <w:tcPr>
            <w:tcW w:w="1363"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辖区综合服务站个数</w:t>
            </w:r>
          </w:p>
        </w:tc>
        <w:tc>
          <w:tcPr>
            <w:tcW w:w="1480"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w:t>
            </w:r>
          </w:p>
        </w:tc>
        <w:tc>
          <w:tcPr>
            <w:tcW w:w="577" w:type="dxa"/>
            <w:vAlign w:val="center"/>
          </w:tcPr>
          <w:p>
            <w:pPr>
              <w:widowControl/>
              <w:adjustRightInd w:val="0"/>
              <w:snapToGrid w:val="0"/>
              <w:jc w:val="center"/>
              <w:rPr>
                <w:rFonts w:ascii="方正书宋_GBK" w:eastAsia="方正书宋_GBK" w:cs="方正书宋_GBK"/>
              </w:rPr>
            </w:pPr>
            <w:r>
              <w:rPr>
                <w:rFonts w:ascii="方正书宋_GBK" w:eastAsia="方正书宋_GBK" w:cs="方正书宋_GBK"/>
              </w:rPr>
              <w:t>1</w:t>
            </w:r>
          </w:p>
        </w:tc>
        <w:tc>
          <w:tcPr>
            <w:tcW w:w="862"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个</w:t>
            </w:r>
          </w:p>
        </w:tc>
        <w:tc>
          <w:tcPr>
            <w:tcW w:w="568"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continue"/>
            <w:vAlign w:val="center"/>
          </w:tcPr>
          <w:p>
            <w:pPr>
              <w:rPr>
                <w:rFonts w:cs="Times New Roman"/>
              </w:rPr>
            </w:pPr>
          </w:p>
        </w:tc>
        <w:tc>
          <w:tcPr>
            <w:tcW w:w="568"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质量</w:t>
            </w:r>
          </w:p>
        </w:tc>
        <w:tc>
          <w:tcPr>
            <w:tcW w:w="1379"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工资补贴发放准确率</w:t>
            </w:r>
          </w:p>
        </w:tc>
        <w:tc>
          <w:tcPr>
            <w:tcW w:w="2039" w:type="dxa"/>
            <w:vAlign w:val="center"/>
          </w:tcPr>
          <w:p>
            <w:pPr>
              <w:widowControl/>
              <w:adjustRightInd w:val="0"/>
              <w:snapToGrid w:val="0"/>
              <w:rPr>
                <w:rFonts w:ascii="方正书宋_GBK" w:eastAsia="方正书宋_GBK" w:cs="方正书宋_GBK"/>
              </w:rPr>
            </w:pPr>
            <w:r>
              <w:rPr>
                <w:rFonts w:ascii="方正书宋_GBK" w:eastAsia="方正书宋_GBK" w:cs="方正书宋_GBK"/>
              </w:rPr>
              <w:t>20</w:t>
            </w:r>
          </w:p>
        </w:tc>
        <w:tc>
          <w:tcPr>
            <w:tcW w:w="1363"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准确发放占总数比率</w:t>
            </w:r>
          </w:p>
        </w:tc>
        <w:tc>
          <w:tcPr>
            <w:tcW w:w="1480"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w:t>
            </w:r>
          </w:p>
        </w:tc>
        <w:tc>
          <w:tcPr>
            <w:tcW w:w="577" w:type="dxa"/>
            <w:vAlign w:val="center"/>
          </w:tcPr>
          <w:p>
            <w:pPr>
              <w:widowControl/>
              <w:adjustRightInd w:val="0"/>
              <w:snapToGrid w:val="0"/>
              <w:jc w:val="center"/>
              <w:rPr>
                <w:rFonts w:ascii="方正书宋_GBK" w:eastAsia="方正书宋_GBK" w:cs="方正书宋_GBK"/>
              </w:rPr>
            </w:pPr>
            <w:r>
              <w:rPr>
                <w:rFonts w:ascii="方正书宋_GBK" w:eastAsia="方正书宋_GBK" w:cs="方正书宋_GBK"/>
              </w:rPr>
              <w:t>90</w:t>
            </w:r>
          </w:p>
        </w:tc>
        <w:tc>
          <w:tcPr>
            <w:tcW w:w="862" w:type="dxa"/>
            <w:vAlign w:val="center"/>
          </w:tcPr>
          <w:p>
            <w:pPr>
              <w:widowControl/>
              <w:adjustRightInd w:val="0"/>
              <w:snapToGrid w:val="0"/>
              <w:jc w:val="center"/>
              <w:rPr>
                <w:rFonts w:ascii="方正书宋_GBK" w:eastAsia="方正书宋_GBK" w:cs="方正书宋_GBK"/>
              </w:rPr>
            </w:pPr>
            <w:r>
              <w:rPr>
                <w:rFonts w:ascii="方正书宋_GBK" w:eastAsia="方正书宋_GBK" w:cs="方正书宋_GBK"/>
              </w:rPr>
              <w:t>%</w:t>
            </w:r>
          </w:p>
        </w:tc>
        <w:tc>
          <w:tcPr>
            <w:tcW w:w="568"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458" w:hRule="atLeast"/>
          <w:jc w:val="center"/>
        </w:trPr>
        <w:tc>
          <w:tcPr>
            <w:tcW w:w="485" w:type="dxa"/>
            <w:vMerge w:val="continue"/>
            <w:vAlign w:val="center"/>
          </w:tcPr>
          <w:p>
            <w:pPr>
              <w:rPr>
                <w:rFonts w:cs="Times New Roman"/>
              </w:rPr>
            </w:pPr>
          </w:p>
        </w:tc>
        <w:tc>
          <w:tcPr>
            <w:tcW w:w="568"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时效</w:t>
            </w:r>
          </w:p>
        </w:tc>
        <w:tc>
          <w:tcPr>
            <w:tcW w:w="1379"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保障党员学习教育正常开展</w:t>
            </w:r>
          </w:p>
        </w:tc>
        <w:tc>
          <w:tcPr>
            <w:tcW w:w="2039" w:type="dxa"/>
            <w:vAlign w:val="center"/>
          </w:tcPr>
          <w:p>
            <w:pPr>
              <w:widowControl/>
              <w:adjustRightInd w:val="0"/>
              <w:snapToGrid w:val="0"/>
              <w:rPr>
                <w:rFonts w:ascii="方正书宋_GBK" w:eastAsia="方正书宋_GBK" w:cs="方正书宋_GBK"/>
              </w:rPr>
            </w:pPr>
            <w:r>
              <w:rPr>
                <w:rFonts w:ascii="方正书宋_GBK" w:eastAsia="方正书宋_GBK" w:cs="方正书宋_GBK"/>
              </w:rPr>
              <w:t>20</w:t>
            </w:r>
          </w:p>
        </w:tc>
        <w:tc>
          <w:tcPr>
            <w:tcW w:w="1363"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提高党员教育水平</w:t>
            </w:r>
          </w:p>
        </w:tc>
        <w:tc>
          <w:tcPr>
            <w:tcW w:w="1480"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文字描述</w:t>
            </w:r>
          </w:p>
        </w:tc>
        <w:tc>
          <w:tcPr>
            <w:tcW w:w="577" w:type="dxa"/>
            <w:vAlign w:val="center"/>
          </w:tcPr>
          <w:p>
            <w:pPr>
              <w:widowControl/>
              <w:adjustRightInd w:val="0"/>
              <w:snapToGrid w:val="0"/>
              <w:jc w:val="center"/>
              <w:rPr>
                <w:rFonts w:ascii="方正书宋_GBK" w:eastAsia="方正书宋_GBK" w:cs="Times New Roman"/>
              </w:rPr>
            </w:pPr>
          </w:p>
        </w:tc>
        <w:tc>
          <w:tcPr>
            <w:tcW w:w="862"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逐步提高</w:t>
            </w:r>
          </w:p>
        </w:tc>
        <w:tc>
          <w:tcPr>
            <w:tcW w:w="568"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continue"/>
            <w:vAlign w:val="center"/>
          </w:tcPr>
          <w:p>
            <w:pPr>
              <w:rPr>
                <w:rFonts w:cs="Times New Roman"/>
              </w:rPr>
            </w:pPr>
          </w:p>
        </w:tc>
        <w:tc>
          <w:tcPr>
            <w:tcW w:w="568"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成本</w:t>
            </w:r>
          </w:p>
        </w:tc>
        <w:tc>
          <w:tcPr>
            <w:tcW w:w="1379"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工资水平逐步提升</w:t>
            </w:r>
          </w:p>
        </w:tc>
        <w:tc>
          <w:tcPr>
            <w:tcW w:w="2039" w:type="dxa"/>
            <w:vAlign w:val="center"/>
          </w:tcPr>
          <w:p>
            <w:pPr>
              <w:widowControl/>
              <w:adjustRightInd w:val="0"/>
              <w:snapToGrid w:val="0"/>
              <w:rPr>
                <w:rFonts w:ascii="方正书宋_GBK" w:eastAsia="方正书宋_GBK" w:cs="方正书宋_GBK"/>
              </w:rPr>
            </w:pPr>
            <w:r>
              <w:rPr>
                <w:rFonts w:ascii="方正书宋_GBK" w:eastAsia="方正书宋_GBK" w:cs="方正书宋_GBK"/>
              </w:rPr>
              <w:t>20</w:t>
            </w:r>
          </w:p>
        </w:tc>
        <w:tc>
          <w:tcPr>
            <w:tcW w:w="1363"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工资水平逐步提升</w:t>
            </w:r>
          </w:p>
        </w:tc>
        <w:tc>
          <w:tcPr>
            <w:tcW w:w="1480"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文字描述</w:t>
            </w:r>
          </w:p>
        </w:tc>
        <w:tc>
          <w:tcPr>
            <w:tcW w:w="577" w:type="dxa"/>
            <w:vAlign w:val="center"/>
          </w:tcPr>
          <w:p>
            <w:pPr>
              <w:widowControl/>
              <w:adjustRightInd w:val="0"/>
              <w:snapToGrid w:val="0"/>
              <w:jc w:val="center"/>
              <w:rPr>
                <w:rFonts w:ascii="方正书宋_GBK" w:eastAsia="方正书宋_GBK" w:cs="Times New Roman"/>
              </w:rPr>
            </w:pPr>
          </w:p>
        </w:tc>
        <w:tc>
          <w:tcPr>
            <w:tcW w:w="862"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逐步提高</w:t>
            </w:r>
          </w:p>
        </w:tc>
        <w:tc>
          <w:tcPr>
            <w:tcW w:w="568"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按政策要求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restart"/>
            <w:vAlign w:val="center"/>
          </w:tcPr>
          <w:p>
            <w:pPr>
              <w:adjustRightInd w:val="0"/>
              <w:snapToGrid w:val="0"/>
              <w:jc w:val="center"/>
              <w:rPr>
                <w:rFonts w:ascii="方正书宋_GBK" w:eastAsia="方正书宋_GBK" w:cs="Times New Roman"/>
              </w:rPr>
            </w:pPr>
            <w:r>
              <w:rPr>
                <w:rFonts w:hint="eastAsia" w:ascii="方正书宋_GBK" w:eastAsia="方正书宋_GBK" w:cs="方正书宋_GBK"/>
              </w:rPr>
              <w:t>部门效果</w:t>
            </w:r>
          </w:p>
        </w:tc>
        <w:tc>
          <w:tcPr>
            <w:tcW w:w="568"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社会</w:t>
            </w:r>
          </w:p>
          <w:p>
            <w:pPr>
              <w:widowControl/>
              <w:adjustRightInd w:val="0"/>
              <w:snapToGrid w:val="0"/>
              <w:jc w:val="center"/>
              <w:rPr>
                <w:rFonts w:ascii="方正书宋_GBK" w:eastAsia="方正书宋_GBK" w:cs="Times New Roman"/>
              </w:rPr>
            </w:pPr>
            <w:r>
              <w:rPr>
                <w:rFonts w:hint="eastAsia" w:ascii="方正书宋_GBK" w:eastAsia="方正书宋_GBK" w:cs="方正书宋_GBK"/>
              </w:rPr>
              <w:t>效益</w:t>
            </w:r>
          </w:p>
        </w:tc>
        <w:tc>
          <w:tcPr>
            <w:tcW w:w="1379"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服务群众生产生活</w:t>
            </w:r>
          </w:p>
        </w:tc>
        <w:tc>
          <w:tcPr>
            <w:tcW w:w="2039" w:type="dxa"/>
            <w:vAlign w:val="center"/>
          </w:tcPr>
          <w:p>
            <w:pPr>
              <w:widowControl/>
              <w:adjustRightInd w:val="0"/>
              <w:snapToGrid w:val="0"/>
              <w:rPr>
                <w:rFonts w:ascii="方正书宋_GBK" w:eastAsia="方正书宋_GBK" w:cs="方正书宋_GBK"/>
              </w:rPr>
            </w:pPr>
            <w:r>
              <w:rPr>
                <w:rFonts w:ascii="方正书宋_GBK" w:eastAsia="方正书宋_GBK" w:cs="方正书宋_GBK"/>
              </w:rPr>
              <w:t>20</w:t>
            </w:r>
          </w:p>
        </w:tc>
        <w:tc>
          <w:tcPr>
            <w:tcW w:w="1363"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确保群众生产生活正常运转</w:t>
            </w:r>
          </w:p>
        </w:tc>
        <w:tc>
          <w:tcPr>
            <w:tcW w:w="1480"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文字描述</w:t>
            </w:r>
          </w:p>
        </w:tc>
        <w:tc>
          <w:tcPr>
            <w:tcW w:w="577" w:type="dxa"/>
            <w:vAlign w:val="center"/>
          </w:tcPr>
          <w:p>
            <w:pPr>
              <w:widowControl/>
              <w:adjustRightInd w:val="0"/>
              <w:snapToGrid w:val="0"/>
              <w:jc w:val="center"/>
              <w:rPr>
                <w:rFonts w:ascii="方正书宋_GBK" w:eastAsia="方正书宋_GBK" w:cs="Times New Roman"/>
              </w:rPr>
            </w:pPr>
          </w:p>
        </w:tc>
        <w:tc>
          <w:tcPr>
            <w:tcW w:w="862"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基本保障</w:t>
            </w:r>
          </w:p>
        </w:tc>
        <w:tc>
          <w:tcPr>
            <w:tcW w:w="568"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调查指标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continue"/>
            <w:vAlign w:val="center"/>
          </w:tcPr>
          <w:p>
            <w:pPr>
              <w:rPr>
                <w:rFonts w:cs="Times New Roman"/>
              </w:rPr>
            </w:pPr>
          </w:p>
        </w:tc>
        <w:tc>
          <w:tcPr>
            <w:tcW w:w="568"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经济</w:t>
            </w:r>
          </w:p>
          <w:p>
            <w:pPr>
              <w:widowControl/>
              <w:adjustRightInd w:val="0"/>
              <w:snapToGrid w:val="0"/>
              <w:jc w:val="center"/>
              <w:rPr>
                <w:rFonts w:ascii="方正书宋_GBK" w:eastAsia="方正书宋_GBK" w:cs="Times New Roman"/>
              </w:rPr>
            </w:pPr>
            <w:r>
              <w:rPr>
                <w:rFonts w:hint="eastAsia" w:ascii="方正书宋_GBK" w:eastAsia="方正书宋_GBK" w:cs="方正书宋_GBK"/>
              </w:rPr>
              <w:t>效益</w:t>
            </w:r>
          </w:p>
        </w:tc>
        <w:tc>
          <w:tcPr>
            <w:tcW w:w="1379" w:type="dxa"/>
            <w:vAlign w:val="center"/>
          </w:tcPr>
          <w:p>
            <w:pPr>
              <w:widowControl/>
              <w:adjustRightInd w:val="0"/>
              <w:snapToGrid w:val="0"/>
              <w:rPr>
                <w:rFonts w:ascii="方正书宋_GBK" w:eastAsia="方正书宋_GBK" w:cs="Times New Roman"/>
              </w:rPr>
            </w:pPr>
          </w:p>
        </w:tc>
        <w:tc>
          <w:tcPr>
            <w:tcW w:w="2039" w:type="dxa"/>
            <w:vAlign w:val="center"/>
          </w:tcPr>
          <w:p>
            <w:pPr>
              <w:widowControl/>
              <w:adjustRightInd w:val="0"/>
              <w:snapToGrid w:val="0"/>
              <w:rPr>
                <w:rFonts w:ascii="方正书宋_GBK" w:eastAsia="方正书宋_GBK" w:cs="Times New Roman"/>
              </w:rPr>
            </w:pPr>
          </w:p>
        </w:tc>
        <w:tc>
          <w:tcPr>
            <w:tcW w:w="1363" w:type="dxa"/>
            <w:vAlign w:val="center"/>
          </w:tcPr>
          <w:p>
            <w:pPr>
              <w:widowControl/>
              <w:adjustRightInd w:val="0"/>
              <w:snapToGrid w:val="0"/>
              <w:rPr>
                <w:rFonts w:ascii="方正书宋_GBK" w:eastAsia="方正书宋_GBK" w:cs="Times New Roman"/>
              </w:rPr>
            </w:pPr>
          </w:p>
        </w:tc>
        <w:tc>
          <w:tcPr>
            <w:tcW w:w="1480" w:type="dxa"/>
            <w:vAlign w:val="center"/>
          </w:tcPr>
          <w:p>
            <w:pPr>
              <w:widowControl/>
              <w:adjustRightInd w:val="0"/>
              <w:snapToGrid w:val="0"/>
              <w:rPr>
                <w:rFonts w:ascii="方正书宋_GBK" w:eastAsia="方正书宋_GBK" w:cs="Times New Roman"/>
              </w:rPr>
            </w:pPr>
          </w:p>
        </w:tc>
        <w:tc>
          <w:tcPr>
            <w:tcW w:w="577" w:type="dxa"/>
            <w:vAlign w:val="center"/>
          </w:tcPr>
          <w:p>
            <w:pPr>
              <w:widowControl/>
              <w:adjustRightInd w:val="0"/>
              <w:snapToGrid w:val="0"/>
              <w:rPr>
                <w:rFonts w:ascii="方正书宋_GBK" w:eastAsia="方正书宋_GBK" w:cs="Times New Roman"/>
              </w:rPr>
            </w:pPr>
          </w:p>
        </w:tc>
        <w:tc>
          <w:tcPr>
            <w:tcW w:w="862" w:type="dxa"/>
            <w:vAlign w:val="center"/>
          </w:tcPr>
          <w:p>
            <w:pPr>
              <w:widowControl/>
              <w:adjustRightInd w:val="0"/>
              <w:snapToGrid w:val="0"/>
              <w:rPr>
                <w:rFonts w:ascii="方正书宋_GBK" w:eastAsia="方正书宋_GBK" w:cs="Times New Roman"/>
              </w:rPr>
            </w:pPr>
          </w:p>
        </w:tc>
        <w:tc>
          <w:tcPr>
            <w:tcW w:w="568" w:type="dxa"/>
            <w:vAlign w:val="center"/>
          </w:tcPr>
          <w:p>
            <w:pPr>
              <w:widowControl/>
              <w:adjustRightInd w:val="0"/>
              <w:snapToGrid w:val="0"/>
              <w:rPr>
                <w:rFonts w:ascii="方正书宋_GBK" w:eastAsia="方正书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14" w:hRule="atLeast"/>
          <w:jc w:val="center"/>
        </w:trPr>
        <w:tc>
          <w:tcPr>
            <w:tcW w:w="485" w:type="dxa"/>
            <w:vMerge w:val="continue"/>
            <w:vAlign w:val="center"/>
          </w:tcPr>
          <w:p>
            <w:pPr>
              <w:rPr>
                <w:rFonts w:cs="Times New Roman"/>
              </w:rPr>
            </w:pPr>
          </w:p>
        </w:tc>
        <w:tc>
          <w:tcPr>
            <w:tcW w:w="568"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生态</w:t>
            </w:r>
          </w:p>
          <w:p>
            <w:pPr>
              <w:widowControl/>
              <w:adjustRightInd w:val="0"/>
              <w:snapToGrid w:val="0"/>
              <w:jc w:val="center"/>
              <w:rPr>
                <w:rFonts w:ascii="方正书宋_GBK" w:eastAsia="方正书宋_GBK" w:cs="Times New Roman"/>
              </w:rPr>
            </w:pPr>
            <w:r>
              <w:rPr>
                <w:rFonts w:hint="eastAsia" w:ascii="方正书宋_GBK" w:eastAsia="方正书宋_GBK" w:cs="方正书宋_GBK"/>
              </w:rPr>
              <w:t>效益</w:t>
            </w:r>
          </w:p>
        </w:tc>
        <w:tc>
          <w:tcPr>
            <w:tcW w:w="1379" w:type="dxa"/>
            <w:vAlign w:val="center"/>
          </w:tcPr>
          <w:p>
            <w:pPr>
              <w:widowControl/>
              <w:adjustRightInd w:val="0"/>
              <w:snapToGrid w:val="0"/>
              <w:rPr>
                <w:rFonts w:ascii="方正书宋_GBK" w:eastAsia="方正书宋_GBK" w:cs="Times New Roman"/>
              </w:rPr>
            </w:pPr>
          </w:p>
        </w:tc>
        <w:tc>
          <w:tcPr>
            <w:tcW w:w="2039" w:type="dxa"/>
            <w:vAlign w:val="center"/>
          </w:tcPr>
          <w:p>
            <w:pPr>
              <w:widowControl/>
              <w:adjustRightInd w:val="0"/>
              <w:snapToGrid w:val="0"/>
              <w:rPr>
                <w:rFonts w:ascii="方正书宋_GBK" w:eastAsia="方正书宋_GBK" w:cs="Times New Roman"/>
              </w:rPr>
            </w:pPr>
          </w:p>
        </w:tc>
        <w:tc>
          <w:tcPr>
            <w:tcW w:w="1363" w:type="dxa"/>
            <w:vAlign w:val="center"/>
          </w:tcPr>
          <w:p>
            <w:pPr>
              <w:widowControl/>
              <w:adjustRightInd w:val="0"/>
              <w:snapToGrid w:val="0"/>
              <w:rPr>
                <w:rFonts w:ascii="方正书宋_GBK" w:eastAsia="方正书宋_GBK" w:cs="Times New Roman"/>
              </w:rPr>
            </w:pPr>
          </w:p>
        </w:tc>
        <w:tc>
          <w:tcPr>
            <w:tcW w:w="1480" w:type="dxa"/>
            <w:vAlign w:val="center"/>
          </w:tcPr>
          <w:p>
            <w:pPr>
              <w:widowControl/>
              <w:adjustRightInd w:val="0"/>
              <w:snapToGrid w:val="0"/>
              <w:rPr>
                <w:rFonts w:ascii="方正书宋_GBK" w:eastAsia="方正书宋_GBK" w:cs="Times New Roman"/>
              </w:rPr>
            </w:pPr>
          </w:p>
        </w:tc>
        <w:tc>
          <w:tcPr>
            <w:tcW w:w="577" w:type="dxa"/>
            <w:vAlign w:val="center"/>
          </w:tcPr>
          <w:p>
            <w:pPr>
              <w:widowControl/>
              <w:adjustRightInd w:val="0"/>
              <w:snapToGrid w:val="0"/>
              <w:rPr>
                <w:rFonts w:ascii="方正书宋_GBK" w:eastAsia="方正书宋_GBK" w:cs="Times New Roman"/>
              </w:rPr>
            </w:pPr>
          </w:p>
        </w:tc>
        <w:tc>
          <w:tcPr>
            <w:tcW w:w="862" w:type="dxa"/>
            <w:vAlign w:val="center"/>
          </w:tcPr>
          <w:p>
            <w:pPr>
              <w:widowControl/>
              <w:adjustRightInd w:val="0"/>
              <w:snapToGrid w:val="0"/>
              <w:rPr>
                <w:rFonts w:ascii="方正书宋_GBK" w:eastAsia="方正书宋_GBK" w:cs="Times New Roman"/>
              </w:rPr>
            </w:pPr>
          </w:p>
        </w:tc>
        <w:tc>
          <w:tcPr>
            <w:tcW w:w="568" w:type="dxa"/>
            <w:vAlign w:val="center"/>
          </w:tcPr>
          <w:p>
            <w:pPr>
              <w:widowControl/>
              <w:adjustRightInd w:val="0"/>
              <w:snapToGrid w:val="0"/>
              <w:rPr>
                <w:rFonts w:ascii="方正书宋_GBK" w:eastAsia="方正书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770" w:hRule="atLeast"/>
          <w:jc w:val="center"/>
        </w:trPr>
        <w:tc>
          <w:tcPr>
            <w:tcW w:w="485" w:type="dxa"/>
            <w:vMerge w:val="continue"/>
            <w:vAlign w:val="center"/>
          </w:tcPr>
          <w:p>
            <w:pPr>
              <w:rPr>
                <w:rFonts w:cs="Times New Roman"/>
              </w:rPr>
            </w:pPr>
          </w:p>
        </w:tc>
        <w:tc>
          <w:tcPr>
            <w:tcW w:w="568" w:type="dxa"/>
            <w:vAlign w:val="center"/>
          </w:tcPr>
          <w:p>
            <w:pPr>
              <w:adjustRightInd w:val="0"/>
              <w:snapToGrid w:val="0"/>
              <w:jc w:val="center"/>
              <w:rPr>
                <w:rFonts w:ascii="方正书宋_GBK" w:eastAsia="方正书宋_GBK" w:cs="Times New Roman"/>
              </w:rPr>
            </w:pPr>
            <w:r>
              <w:rPr>
                <w:rFonts w:hint="eastAsia" w:ascii="方正书宋_GBK" w:eastAsia="方正书宋_GBK" w:cs="方正书宋_GBK"/>
              </w:rPr>
              <w:t>可持续影响</w:t>
            </w:r>
          </w:p>
        </w:tc>
        <w:tc>
          <w:tcPr>
            <w:tcW w:w="1379" w:type="dxa"/>
            <w:vAlign w:val="center"/>
          </w:tcPr>
          <w:p>
            <w:pPr>
              <w:widowControl/>
              <w:adjustRightInd w:val="0"/>
              <w:snapToGrid w:val="0"/>
              <w:rPr>
                <w:rFonts w:ascii="方正书宋_GBK" w:eastAsia="方正书宋_GBK" w:cs="Times New Roman"/>
              </w:rPr>
            </w:pPr>
          </w:p>
        </w:tc>
        <w:tc>
          <w:tcPr>
            <w:tcW w:w="2039" w:type="dxa"/>
            <w:vAlign w:val="center"/>
          </w:tcPr>
          <w:p>
            <w:pPr>
              <w:widowControl/>
              <w:adjustRightInd w:val="0"/>
              <w:snapToGrid w:val="0"/>
              <w:rPr>
                <w:rFonts w:ascii="方正书宋_GBK" w:eastAsia="方正书宋_GBK" w:cs="Times New Roman"/>
              </w:rPr>
            </w:pPr>
          </w:p>
        </w:tc>
        <w:tc>
          <w:tcPr>
            <w:tcW w:w="1363" w:type="dxa"/>
            <w:vAlign w:val="center"/>
          </w:tcPr>
          <w:p>
            <w:pPr>
              <w:widowControl/>
              <w:adjustRightInd w:val="0"/>
              <w:snapToGrid w:val="0"/>
              <w:rPr>
                <w:rFonts w:ascii="方正书宋_GBK" w:eastAsia="方正书宋_GBK" w:cs="Times New Roman"/>
              </w:rPr>
            </w:pPr>
          </w:p>
        </w:tc>
        <w:tc>
          <w:tcPr>
            <w:tcW w:w="1480" w:type="dxa"/>
            <w:vAlign w:val="center"/>
          </w:tcPr>
          <w:p>
            <w:pPr>
              <w:widowControl/>
              <w:adjustRightInd w:val="0"/>
              <w:snapToGrid w:val="0"/>
              <w:jc w:val="center"/>
              <w:rPr>
                <w:rFonts w:ascii="方正书宋_GBK" w:eastAsia="方正书宋_GBK" w:cs="Times New Roman"/>
              </w:rPr>
            </w:pPr>
          </w:p>
        </w:tc>
        <w:tc>
          <w:tcPr>
            <w:tcW w:w="577" w:type="dxa"/>
            <w:vAlign w:val="center"/>
          </w:tcPr>
          <w:p>
            <w:pPr>
              <w:widowControl/>
              <w:adjustRightInd w:val="0"/>
              <w:snapToGrid w:val="0"/>
              <w:jc w:val="center"/>
              <w:rPr>
                <w:rFonts w:ascii="方正书宋_GBK" w:eastAsia="方正书宋_GBK" w:cs="Times New Roman"/>
              </w:rPr>
            </w:pPr>
          </w:p>
        </w:tc>
        <w:tc>
          <w:tcPr>
            <w:tcW w:w="862" w:type="dxa"/>
            <w:vAlign w:val="center"/>
          </w:tcPr>
          <w:p>
            <w:pPr>
              <w:widowControl/>
              <w:adjustRightInd w:val="0"/>
              <w:snapToGrid w:val="0"/>
              <w:jc w:val="center"/>
              <w:rPr>
                <w:rFonts w:ascii="方正书宋_GBK" w:eastAsia="方正书宋_GBK" w:cs="Times New Roman"/>
              </w:rPr>
            </w:pPr>
          </w:p>
        </w:tc>
        <w:tc>
          <w:tcPr>
            <w:tcW w:w="568" w:type="dxa"/>
            <w:vAlign w:val="center"/>
          </w:tcPr>
          <w:p>
            <w:pPr>
              <w:widowControl/>
              <w:adjustRightInd w:val="0"/>
              <w:snapToGrid w:val="0"/>
              <w:rPr>
                <w:rFonts w:ascii="方正书宋_GBK" w:eastAsia="方正书宋_GBK"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1" w:type="dxa"/>
            <w:bottom w:w="0" w:type="dxa"/>
            <w:right w:w="11" w:type="dxa"/>
          </w:tblCellMar>
        </w:tblPrEx>
        <w:trPr>
          <w:trHeight w:val="604" w:hRule="atLeast"/>
          <w:jc w:val="center"/>
        </w:trPr>
        <w:tc>
          <w:tcPr>
            <w:tcW w:w="485" w:type="dxa"/>
            <w:vMerge w:val="continue"/>
            <w:vAlign w:val="center"/>
          </w:tcPr>
          <w:p>
            <w:pPr>
              <w:rPr>
                <w:rFonts w:cs="Times New Roman"/>
              </w:rPr>
            </w:pPr>
          </w:p>
        </w:tc>
        <w:tc>
          <w:tcPr>
            <w:tcW w:w="568" w:type="dxa"/>
            <w:vAlign w:val="center"/>
          </w:tcPr>
          <w:p>
            <w:pPr>
              <w:widowControl/>
              <w:adjustRightInd w:val="0"/>
              <w:snapToGrid w:val="0"/>
              <w:jc w:val="center"/>
              <w:rPr>
                <w:rFonts w:ascii="方正书宋_GBK" w:eastAsia="方正书宋_GBK" w:cs="Times New Roman"/>
              </w:rPr>
            </w:pPr>
            <w:r>
              <w:rPr>
                <w:rFonts w:hint="eastAsia" w:ascii="方正书宋_GBK" w:eastAsia="方正书宋_GBK" w:cs="方正书宋_GBK"/>
              </w:rPr>
              <w:t>满意度</w:t>
            </w:r>
          </w:p>
        </w:tc>
        <w:tc>
          <w:tcPr>
            <w:tcW w:w="1379"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群众满意度</w:t>
            </w:r>
          </w:p>
        </w:tc>
        <w:tc>
          <w:tcPr>
            <w:tcW w:w="2039" w:type="dxa"/>
            <w:vAlign w:val="center"/>
          </w:tcPr>
          <w:p>
            <w:pPr>
              <w:widowControl/>
              <w:adjustRightInd w:val="0"/>
              <w:snapToGrid w:val="0"/>
              <w:rPr>
                <w:rFonts w:ascii="方正书宋_GBK" w:eastAsia="方正书宋_GBK" w:cs="方正书宋_GBK"/>
              </w:rPr>
            </w:pPr>
            <w:r>
              <w:rPr>
                <w:rFonts w:ascii="方正书宋_GBK" w:eastAsia="方正书宋_GBK" w:cs="方正书宋_GBK"/>
              </w:rPr>
              <w:t>10</w:t>
            </w:r>
          </w:p>
        </w:tc>
        <w:tc>
          <w:tcPr>
            <w:tcW w:w="1363"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满意和较满意的占调查总数的比重</w:t>
            </w:r>
          </w:p>
        </w:tc>
        <w:tc>
          <w:tcPr>
            <w:tcW w:w="1480"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w:t>
            </w:r>
          </w:p>
        </w:tc>
        <w:tc>
          <w:tcPr>
            <w:tcW w:w="577" w:type="dxa"/>
            <w:vAlign w:val="center"/>
          </w:tcPr>
          <w:p>
            <w:pPr>
              <w:widowControl/>
              <w:adjustRightInd w:val="0"/>
              <w:snapToGrid w:val="0"/>
              <w:rPr>
                <w:rFonts w:ascii="方正书宋_GBK" w:eastAsia="方正书宋_GBK" w:cs="方正书宋_GBK"/>
              </w:rPr>
            </w:pPr>
            <w:r>
              <w:rPr>
                <w:rFonts w:ascii="方正书宋_GBK" w:eastAsia="方正书宋_GBK" w:cs="方正书宋_GBK"/>
              </w:rPr>
              <w:t>90</w:t>
            </w:r>
          </w:p>
        </w:tc>
        <w:tc>
          <w:tcPr>
            <w:tcW w:w="862" w:type="dxa"/>
            <w:vAlign w:val="center"/>
          </w:tcPr>
          <w:p>
            <w:pPr>
              <w:widowControl/>
              <w:adjustRightInd w:val="0"/>
              <w:snapToGrid w:val="0"/>
              <w:rPr>
                <w:rFonts w:ascii="方正书宋_GBK" w:eastAsia="方正书宋_GBK" w:cs="方正书宋_GBK"/>
              </w:rPr>
            </w:pPr>
            <w:r>
              <w:rPr>
                <w:rFonts w:ascii="方正书宋_GBK" w:eastAsia="方正书宋_GBK" w:cs="方正书宋_GBK"/>
              </w:rPr>
              <w:t>%</w:t>
            </w:r>
          </w:p>
        </w:tc>
        <w:tc>
          <w:tcPr>
            <w:tcW w:w="568" w:type="dxa"/>
            <w:vAlign w:val="center"/>
          </w:tcPr>
          <w:p>
            <w:pPr>
              <w:widowControl/>
              <w:adjustRightInd w:val="0"/>
              <w:snapToGrid w:val="0"/>
              <w:rPr>
                <w:rFonts w:ascii="方正书宋_GBK" w:eastAsia="方正书宋_GBK" w:cs="Times New Roman"/>
              </w:rPr>
            </w:pPr>
            <w:r>
              <w:rPr>
                <w:rFonts w:hint="eastAsia" w:ascii="方正书宋_GBK" w:eastAsia="方正书宋_GBK" w:cs="方正书宋_GBK"/>
              </w:rPr>
              <w:t>调查指标</w:t>
            </w:r>
          </w:p>
        </w:tc>
      </w:tr>
    </w:tbl>
    <w:p>
      <w:pPr>
        <w:spacing w:line="584" w:lineRule="exact"/>
        <w:rPr>
          <w:rFonts w:ascii="仿宋_GB2312" w:eastAsia="仿宋_GB2312" w:cs="Times New Roman"/>
          <w:sz w:val="32"/>
          <w:szCs w:val="32"/>
        </w:rPr>
      </w:pPr>
    </w:p>
    <w:p>
      <w:pPr>
        <w:spacing w:line="584" w:lineRule="exact"/>
        <w:ind w:firstLine="640" w:firstLineChars="200"/>
        <w:rPr>
          <w:rFonts w:ascii="Times New Roman" w:hAnsi="Times New Roman" w:eastAsia="黑体" w:cs="Times New Roman"/>
          <w:sz w:val="32"/>
          <w:szCs w:val="32"/>
        </w:rPr>
      </w:pPr>
      <w:r>
        <w:rPr>
          <w:rFonts w:hint="eastAsia" w:ascii="Times New Roman" w:hAnsi="Times New Roman" w:eastAsia="黑体" w:cs="黑体"/>
          <w:sz w:val="32"/>
          <w:szCs w:val="32"/>
        </w:rPr>
        <w:t>第二部分</w:t>
      </w:r>
      <w:r>
        <w:rPr>
          <w:rFonts w:ascii="Times New Roman" w:hAnsi="Times New Roman" w:eastAsia="黑体" w:cs="Times New Roman"/>
          <w:sz w:val="32"/>
          <w:szCs w:val="32"/>
        </w:rPr>
        <w:t xml:space="preserve"> </w:t>
      </w:r>
      <w:r>
        <w:rPr>
          <w:rFonts w:hint="eastAsia" w:ascii="Times New Roman" w:hAnsi="Times New Roman" w:eastAsia="黑体" w:cs="黑体"/>
          <w:sz w:val="32"/>
          <w:szCs w:val="32"/>
        </w:rPr>
        <w:t>资金绩效目标</w:t>
      </w:r>
    </w:p>
    <w:p>
      <w:pPr>
        <w:ind w:firstLine="640" w:firstLineChars="200"/>
        <w:jc w:val="left"/>
        <w:outlineLvl w:val="3"/>
        <w:rPr>
          <w:rFonts w:hint="eastAsia" w:ascii="仿宋" w:hAnsi="仿宋" w:eastAsia="仿宋" w:cs="仿宋"/>
          <w:b w:val="0"/>
          <w:bCs w:val="0"/>
          <w:sz w:val="32"/>
          <w:szCs w:val="32"/>
        </w:rPr>
      </w:pPr>
      <w:bookmarkStart w:id="0" w:name="_Toc67213877"/>
      <w:r>
        <w:rPr>
          <w:rFonts w:hint="eastAsia" w:ascii="仿宋" w:hAnsi="仿宋" w:eastAsia="仿宋" w:cs="仿宋"/>
          <w:b w:val="0"/>
          <w:bCs w:val="0"/>
          <w:sz w:val="32"/>
          <w:szCs w:val="32"/>
        </w:rPr>
        <w:t>1.非公办教师经费绩效目标表</w:t>
      </w:r>
      <w:bookmarkEnd w:id="0"/>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tc "1、非公办教师经费绩效目标表" \f C \l 01</w:instrText>
      </w:r>
      <w:r>
        <w:rPr>
          <w:rFonts w:hint="eastAsia" w:ascii="仿宋" w:hAnsi="仿宋" w:eastAsia="仿宋" w:cs="仿宋"/>
          <w:b w:val="0"/>
          <w:bCs w:val="0"/>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ascii="方正书宋_GBK" w:eastAsia="方正书宋_GBK" w:cs="方正书宋_GBK"/>
              </w:rPr>
              <w:tab/>
            </w:r>
            <w:r>
              <w:rPr>
                <w:rFonts w:hint="eastAsia" w:ascii="方正书宋_GBK" w:eastAsia="方正书宋_GBK" w:cs="方正书宋_GBK"/>
              </w:rPr>
              <w:t>保障及时工资发放</w:t>
            </w:r>
          </w:p>
          <w:p>
            <w:pPr>
              <w:spacing w:line="300" w:lineRule="exact"/>
              <w:jc w:val="left"/>
              <w:rPr>
                <w:rFonts w:ascii="方正书宋_GBK" w:eastAsia="方正书宋_GBK" w:cs="Times New Roman"/>
              </w:rPr>
            </w:pPr>
            <w:r>
              <w:rPr>
                <w:rFonts w:ascii="方正书宋_GBK" w:eastAsia="方正书宋_GBK" w:cs="方正书宋_GBK"/>
              </w:rPr>
              <w:t>2.</w:t>
            </w:r>
            <w:r>
              <w:rPr>
                <w:rFonts w:ascii="方正书宋_GBK" w:eastAsia="方正书宋_GBK" w:cs="方正书宋_GBK"/>
              </w:rPr>
              <w:tab/>
            </w:r>
            <w:r>
              <w:rPr>
                <w:rFonts w:hint="eastAsia" w:ascii="方正书宋_GBK" w:eastAsia="方正书宋_GBK" w:cs="方正书宋_GBK"/>
              </w:rPr>
              <w:t>保障及时缴纳各项社会养老保险</w:t>
            </w:r>
            <w:r>
              <w:rPr>
                <w:rFonts w:ascii="方正书宋_GBK" w:eastAsia="方正书宋_GBK" w:cs="Times New Roman"/>
              </w:rPr>
              <w:tab/>
            </w:r>
          </w:p>
        </w:tc>
      </w:tr>
    </w:tbl>
    <w:p>
      <w:pPr>
        <w:spacing w:line="14" w:lineRule="exact"/>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非公办教师人数</w:t>
            </w:r>
          </w:p>
        </w:tc>
        <w:tc>
          <w:tcPr>
            <w:tcW w:w="2891" w:type="dxa"/>
            <w:vAlign w:val="center"/>
          </w:tcPr>
          <w:p>
            <w:pPr>
              <w:spacing w:line="300" w:lineRule="exact"/>
              <w:jc w:val="left"/>
              <w:rPr>
                <w:rFonts w:ascii="方正书宋_GBK" w:eastAsia="方正书宋_GBK" w:cs="方正书宋_GBK"/>
              </w:rPr>
            </w:pPr>
            <w:r>
              <w:rPr>
                <w:rFonts w:ascii="方正书宋_GBK" w:eastAsia="方正书宋_GBK" w:cs="方正书宋_GBK"/>
              </w:rPr>
              <w:t>4</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人</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区政府会议纪要【</w:t>
            </w:r>
            <w:r>
              <w:rPr>
                <w:rFonts w:ascii="方正书宋_GBK" w:eastAsia="方正书宋_GBK" w:cs="方正书宋_GBK"/>
              </w:rPr>
              <w:t>2008</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足额发放非公办教师工资</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是否足额</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及时发放足额</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区政府会议纪要【</w:t>
            </w:r>
            <w:r>
              <w:rPr>
                <w:rFonts w:ascii="方正书宋_GBK" w:eastAsia="方正书宋_GBK" w:cs="方正书宋_GBK"/>
              </w:rPr>
              <w:t>2008</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资金发放准时率</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资金发放准时率</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100%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区政府会议纪要【</w:t>
            </w:r>
            <w:r>
              <w:rPr>
                <w:rFonts w:ascii="方正书宋_GBK" w:eastAsia="方正书宋_GBK" w:cs="方正书宋_GBK"/>
              </w:rPr>
              <w:t>2008</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社会保险补贴人均标准</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社会保险补贴人均标准</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1403</w:t>
            </w:r>
            <w:r>
              <w:rPr>
                <w:rFonts w:hint="eastAsia" w:ascii="方正书宋_GBK" w:eastAsia="方正书宋_GBK" w:cs="方正书宋_GBK"/>
              </w:rPr>
              <w:t>人</w:t>
            </w:r>
            <w:r>
              <w:rPr>
                <w:rFonts w:ascii="方正书宋_GBK" w:eastAsia="方正书宋_GBK" w:cs="方正书宋_GBK"/>
              </w:rPr>
              <w:t>/</w:t>
            </w:r>
            <w:r>
              <w:rPr>
                <w:rFonts w:hint="eastAsia" w:ascii="方正书宋_GBK" w:eastAsia="方正书宋_GBK" w:cs="方正书宋_GBK"/>
              </w:rPr>
              <w:t>月</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区政府会议纪要【</w:t>
            </w:r>
            <w:r>
              <w:rPr>
                <w:rFonts w:ascii="方正书宋_GBK" w:eastAsia="方正书宋_GBK" w:cs="方正书宋_GBK"/>
              </w:rPr>
              <w:t>2008</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提高非公办教师整体教学水平</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提高非公办教师整体教学水平</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有效提高</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区政府会议纪要【</w:t>
            </w:r>
            <w:r>
              <w:rPr>
                <w:rFonts w:ascii="方正书宋_GBK" w:eastAsia="方正书宋_GBK" w:cs="方正书宋_GBK"/>
              </w:rPr>
              <w:t>2008</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号文</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调查中满意和较满意的占所调查人数比率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区政府会议纪要【</w:t>
            </w:r>
            <w:r>
              <w:rPr>
                <w:rFonts w:ascii="方正书宋_GBK" w:eastAsia="方正书宋_GBK" w:cs="方正书宋_GBK"/>
              </w:rPr>
              <w:t>2008</w:t>
            </w: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号文</w:t>
            </w:r>
          </w:p>
        </w:tc>
      </w:tr>
    </w:tbl>
    <w:p>
      <w:pPr>
        <w:spacing w:line="300" w:lineRule="exact"/>
        <w:jc w:val="left"/>
        <w:rPr>
          <w:rFonts w:cs="Times New Roman"/>
        </w:rPr>
        <w:sectPr>
          <w:pgSz w:w="16839" w:h="11907" w:orient="landscape"/>
          <w:pgMar w:top="1304" w:right="1984" w:bottom="1304" w:left="1134" w:header="851" w:footer="992" w:gutter="0"/>
          <w:cols w:space="425" w:num="1"/>
          <w:docGrid w:type="lines" w:linePitch="312" w:charSpace="0"/>
        </w:sectPr>
      </w:pPr>
    </w:p>
    <w:p>
      <w:pPr>
        <w:spacing w:line="300" w:lineRule="exact"/>
        <w:jc w:val="left"/>
        <w:rPr>
          <w:rFonts w:cs="Times New Roman"/>
        </w:rPr>
      </w:pPr>
    </w:p>
    <w:p>
      <w:pPr>
        <w:jc w:val="left"/>
        <w:outlineLvl w:val="3"/>
        <w:rPr>
          <w:rFonts w:hint="eastAsia" w:ascii="仿宋" w:hAnsi="仿宋" w:eastAsia="仿宋" w:cs="仿宋"/>
          <w:b w:val="0"/>
          <w:bCs w:val="0"/>
          <w:sz w:val="32"/>
          <w:szCs w:val="32"/>
        </w:rPr>
      </w:pPr>
      <w:bookmarkStart w:id="1" w:name="_Toc67213878"/>
      <w:r>
        <w:rPr>
          <w:rFonts w:hint="eastAsia" w:ascii="仿宋" w:hAnsi="仿宋" w:eastAsia="仿宋" w:cs="仿宋"/>
          <w:b w:val="0"/>
          <w:bCs w:val="0"/>
          <w:sz w:val="32"/>
          <w:szCs w:val="32"/>
        </w:rPr>
        <w:t>2.社区聘用人员经费绩效目标表</w:t>
      </w:r>
      <w:bookmarkEnd w:id="1"/>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tc "2、社区聘用人员经费绩效目标表" \f C \l 01</w:instrText>
      </w:r>
      <w:r>
        <w:rPr>
          <w:rFonts w:hint="eastAsia" w:ascii="仿宋" w:hAnsi="仿宋" w:eastAsia="仿宋" w:cs="仿宋"/>
          <w:b w:val="0"/>
          <w:bCs w:val="0"/>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足额发放社区聘用人员工资</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及时缴纳社区人员各项社保</w:t>
            </w:r>
          </w:p>
        </w:tc>
      </w:tr>
    </w:tbl>
    <w:p>
      <w:pPr>
        <w:spacing w:line="14" w:lineRule="exact"/>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发放人数</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社区招聘人员享受此项待遇人员数</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26</w:t>
            </w:r>
            <w:r>
              <w:rPr>
                <w:rFonts w:hint="eastAsia" w:ascii="方正书宋_GBK" w:eastAsia="方正书宋_GBK" w:cs="方正书宋_GBK"/>
              </w:rPr>
              <w:t>人</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廊广财社【</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保险申缴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社区招聘人员按标准缴纳保险</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w:t>
            </w:r>
            <w:r>
              <w:rPr>
                <w:rFonts w:ascii="方正书宋_GBK" w:eastAsia="方正书宋_GBK" w:cs="方正书宋_GBK"/>
              </w:rPr>
              <w:t>15</w:t>
            </w:r>
            <w:r>
              <w:rPr>
                <w:rFonts w:hint="eastAsia" w:ascii="方正书宋_GBK" w:eastAsia="方正书宋_GBK" w:cs="方正书宋_GBK"/>
              </w:rPr>
              <w:t>日前缴纳</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廊广财社【</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工资按时发放</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工资及时发放</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w:t>
            </w:r>
            <w:r>
              <w:rPr>
                <w:rFonts w:ascii="方正书宋_GBK" w:eastAsia="方正书宋_GBK" w:cs="方正书宋_GBK"/>
              </w:rPr>
              <w:t>15</w:t>
            </w:r>
            <w:r>
              <w:rPr>
                <w:rFonts w:hint="eastAsia" w:ascii="方正书宋_GBK" w:eastAsia="方正书宋_GBK" w:cs="方正书宋_GBK"/>
              </w:rPr>
              <w:t>日前缴纳</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廊广财社【</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人均发放水平</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人均发放水平</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4530</w:t>
            </w:r>
            <w:r>
              <w:rPr>
                <w:rFonts w:hint="eastAsia" w:ascii="方正书宋_GBK" w:eastAsia="方正书宋_GBK" w:cs="方正书宋_GBK"/>
              </w:rPr>
              <w:t>元</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廊广财社【</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社区工作完成率</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完成工作占全部工作的比率</w:t>
            </w:r>
          </w:p>
        </w:tc>
        <w:tc>
          <w:tcPr>
            <w:tcW w:w="1276" w:type="dxa"/>
            <w:vAlign w:val="center"/>
          </w:tcPr>
          <w:p>
            <w:pPr>
              <w:spacing w:line="300" w:lineRule="exact"/>
              <w:jc w:val="left"/>
              <w:rPr>
                <w:rFonts w:ascii="方正书宋_GBK" w:eastAsia="方正书宋_GBK" w:cs="方正书宋_GBK"/>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廊广财社【</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社区居民对社区服务的满意度</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满意和较满意的占调查总人数的比率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廊广财社【</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1</w:t>
            </w:r>
            <w:r>
              <w:rPr>
                <w:rFonts w:hint="eastAsia" w:ascii="方正书宋_GBK" w:eastAsia="方正书宋_GBK" w:cs="方正书宋_GBK"/>
              </w:rPr>
              <w:t>号</w:t>
            </w:r>
          </w:p>
        </w:tc>
      </w:tr>
    </w:tbl>
    <w:p>
      <w:pPr>
        <w:spacing w:line="300" w:lineRule="exact"/>
        <w:jc w:val="left"/>
        <w:rPr>
          <w:rFonts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cs="Times New Roman"/>
        </w:rPr>
      </w:pPr>
    </w:p>
    <w:p>
      <w:pPr>
        <w:jc w:val="left"/>
        <w:outlineLvl w:val="3"/>
        <w:rPr>
          <w:rFonts w:hint="eastAsia" w:ascii="仿宋" w:hAnsi="仿宋" w:eastAsia="仿宋" w:cs="仿宋"/>
          <w:b w:val="0"/>
          <w:bCs w:val="0"/>
          <w:sz w:val="32"/>
          <w:szCs w:val="32"/>
        </w:rPr>
      </w:pPr>
      <w:bookmarkStart w:id="2" w:name="_Toc67213879"/>
      <w:r>
        <w:rPr>
          <w:rFonts w:hint="eastAsia" w:ascii="仿宋" w:hAnsi="仿宋" w:eastAsia="仿宋" w:cs="仿宋"/>
          <w:b w:val="0"/>
          <w:bCs w:val="0"/>
          <w:sz w:val="32"/>
          <w:szCs w:val="32"/>
        </w:rPr>
        <w:t>3.2021年省级农村综合改革转移支付项目工作经费绩效目标表</w:t>
      </w:r>
      <w:bookmarkEnd w:id="2"/>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tc "3、2021年省级农村综合改革转移支付项目工作经费绩效目标表" \f C \l 01</w:instrText>
      </w:r>
      <w:r>
        <w:rPr>
          <w:rFonts w:hint="eastAsia" w:ascii="仿宋" w:hAnsi="仿宋" w:eastAsia="仿宋" w:cs="仿宋"/>
          <w:b w:val="0"/>
          <w:bCs w:val="0"/>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加强农村公益事业建设，结合我乡实际情况，此项资金主要用手北旺乡村级一事一议奖补和农村综合改革补助项目前期立项、项目中期监督和项目后期组织验收过程中发生的办公费、交通费和宣传费等费用支出</w:t>
            </w:r>
            <w:r>
              <w:rPr>
                <w:rFonts w:ascii="方正书宋_GBK" w:eastAsia="方正书宋_GBK" w:cs="方正书宋_GBK"/>
              </w:rPr>
              <w:t>,</w:t>
            </w:r>
            <w:r>
              <w:rPr>
                <w:rFonts w:hint="eastAsia" w:ascii="方正书宋_GBK" w:eastAsia="方正书宋_GBK" w:cs="方正书宋_GBK"/>
              </w:rPr>
              <w:t>做好项目宣传，让百姓了解国家一事一议政策。</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北旺乡村级一事一议奖补和农村综合改革补助项目前期立项、项目中期监督和项目后期组织验收过程中发生的办公费、交通费和宣传费等费用支出</w:t>
            </w:r>
            <w:r>
              <w:rPr>
                <w:rFonts w:ascii="方正书宋_GBK" w:eastAsia="方正书宋_GBK" w:cs="方正书宋_GBK"/>
              </w:rPr>
              <w:t>,</w:t>
            </w:r>
            <w:r>
              <w:rPr>
                <w:rFonts w:hint="eastAsia" w:ascii="方正书宋_GBK" w:eastAsia="方正书宋_GBK" w:cs="方正书宋_GBK"/>
              </w:rPr>
              <w:t>营造良好的生活环境</w:t>
            </w:r>
            <w:r>
              <w:rPr>
                <w:rFonts w:ascii="方正书宋_GBK" w:eastAsia="方正书宋_GBK" w:cs="方正书宋_GBK"/>
              </w:rPr>
              <w:t>,</w:t>
            </w:r>
            <w:r>
              <w:rPr>
                <w:rFonts w:hint="eastAsia" w:ascii="方正书宋_GBK" w:eastAsia="方正书宋_GBK" w:cs="方正书宋_GBK"/>
              </w:rPr>
              <w:t>提高一事一议资金的使用效益</w:t>
            </w:r>
            <w:r>
              <w:rPr>
                <w:rFonts w:ascii="方正书宋_GBK" w:eastAsia="方正书宋_GBK" w:cs="方正书宋_GBK"/>
              </w:rPr>
              <w:t xml:space="preserve"> </w:t>
            </w:r>
            <w:r>
              <w:rPr>
                <w:rFonts w:hint="eastAsia" w:ascii="方正书宋_GBK" w:eastAsia="方正书宋_GBK" w:cs="方正书宋_GBK"/>
              </w:rPr>
              <w:t>。</w:t>
            </w:r>
            <w:r>
              <w:rPr>
                <w:rFonts w:ascii="方正书宋_GBK" w:eastAsia="方正书宋_GBK" w:cs="方正书宋_GBK"/>
              </w:rPr>
              <w:t xml:space="preserve"> </w:t>
            </w:r>
          </w:p>
        </w:tc>
      </w:tr>
    </w:tbl>
    <w:p>
      <w:pPr>
        <w:spacing w:line="14" w:lineRule="exact"/>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购习办公用品数量</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购买办公用品数量</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2</w:t>
            </w:r>
            <w:r>
              <w:rPr>
                <w:rFonts w:hint="eastAsia" w:ascii="方正书宋_GBK" w:eastAsia="方正书宋_GBK" w:cs="方正书宋_GBK"/>
              </w:rPr>
              <w:t>件</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购买合格办公用品</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购买合格办公用品占总量的比率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r>
              <w:rPr>
                <w:rFonts w:hint="eastAsia" w:ascii="方正书宋_GBK" w:eastAsia="方正书宋_GBK" w:cs="方正书宋_GBK"/>
              </w:rPr>
              <w:t>％</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工程款结算</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工程竣工验收合格后结算</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&lt;10</w:t>
            </w:r>
            <w:r>
              <w:rPr>
                <w:rFonts w:hint="eastAsia" w:ascii="方正书宋_GBK" w:eastAsia="方正书宋_GBK" w:cs="方正书宋_GBK"/>
              </w:rPr>
              <w:t>日</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工程预算成本</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工程预算成本</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4</w:t>
            </w:r>
            <w:r>
              <w:rPr>
                <w:rFonts w:hint="eastAsia" w:ascii="方正书宋_GBK" w:eastAsia="方正书宋_GBK" w:cs="方正书宋_GBK"/>
              </w:rPr>
              <w:t>万元</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受益人口数量</w:t>
            </w:r>
          </w:p>
          <w:p>
            <w:pPr>
              <w:spacing w:line="300" w:lineRule="exact"/>
              <w:jc w:val="left"/>
              <w:rPr>
                <w:rFonts w:ascii="方正书宋_GBK" w:eastAsia="方正书宋_GBK" w:cs="Times New Roman"/>
              </w:rPr>
            </w:pP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受益人口数量</w:t>
            </w:r>
          </w:p>
          <w:p>
            <w:pPr>
              <w:spacing w:line="300" w:lineRule="exact"/>
              <w:jc w:val="left"/>
              <w:rPr>
                <w:rFonts w:ascii="方正书宋_GBK" w:eastAsia="方正书宋_GBK" w:cs="Times New Roman"/>
              </w:rPr>
            </w:pP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w:t>
            </w:r>
            <w:r>
              <w:rPr>
                <w:rFonts w:hint="eastAsia" w:ascii="方正书宋_GBK" w:eastAsia="方正书宋_GBK" w:cs="方正书宋_GBK"/>
              </w:rPr>
              <w:t>人</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受益基层群众满意度</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受益群众满意占总人数的比率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bl>
    <w:p>
      <w:pPr>
        <w:spacing w:line="300" w:lineRule="exact"/>
        <w:jc w:val="left"/>
        <w:rPr>
          <w:rFonts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cs="Times New Roman"/>
        </w:rPr>
      </w:pPr>
    </w:p>
    <w:p>
      <w:pPr>
        <w:jc w:val="left"/>
        <w:outlineLvl w:val="3"/>
        <w:rPr>
          <w:rFonts w:hint="eastAsia" w:ascii="仿宋" w:hAnsi="仿宋" w:eastAsia="仿宋" w:cs="仿宋"/>
          <w:b w:val="0"/>
          <w:bCs w:val="0"/>
          <w:sz w:val="32"/>
          <w:szCs w:val="32"/>
        </w:rPr>
      </w:pPr>
      <w:bookmarkStart w:id="3" w:name="_Toc67213880"/>
      <w:r>
        <w:rPr>
          <w:rFonts w:hint="eastAsia" w:ascii="仿宋" w:hAnsi="仿宋" w:eastAsia="仿宋" w:cs="仿宋"/>
          <w:b w:val="0"/>
          <w:bCs w:val="0"/>
          <w:sz w:val="32"/>
          <w:szCs w:val="32"/>
        </w:rPr>
        <w:t>4.运维经费绩效目标表</w:t>
      </w:r>
      <w:bookmarkEnd w:id="3"/>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tc "4、运维经费绩效目标表" \f C \l 01</w:instrText>
      </w:r>
      <w:r>
        <w:rPr>
          <w:rFonts w:hint="eastAsia" w:ascii="仿宋" w:hAnsi="仿宋" w:eastAsia="仿宋" w:cs="仿宋"/>
          <w:b w:val="0"/>
          <w:bCs w:val="0"/>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保持辖区内整体环境整洁</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打造高质量的城乡人居环境</w:t>
            </w:r>
          </w:p>
          <w:p>
            <w:pPr>
              <w:spacing w:line="300" w:lineRule="exact"/>
              <w:jc w:val="left"/>
              <w:rPr>
                <w:rFonts w:ascii="方正书宋_GBK" w:eastAsia="方正书宋_GBK" w:cs="Times New Roman"/>
              </w:rPr>
            </w:pPr>
            <w:r>
              <w:rPr>
                <w:rFonts w:ascii="方正书宋_GBK" w:eastAsia="方正书宋_GBK" w:cs="方正书宋_GBK"/>
              </w:rPr>
              <w:t>3.</w:t>
            </w:r>
            <w:r>
              <w:rPr>
                <w:rFonts w:hint="eastAsia" w:ascii="方正书宋_GBK" w:eastAsia="方正书宋_GBK" w:cs="方正书宋_GBK"/>
              </w:rPr>
              <w:t>稳定和谐的社会环境</w:t>
            </w:r>
          </w:p>
        </w:tc>
      </w:tr>
    </w:tbl>
    <w:p>
      <w:pPr>
        <w:spacing w:line="14" w:lineRule="exact"/>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清理干渠数量</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清理干渠数量</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4</w:t>
            </w:r>
            <w:r>
              <w:rPr>
                <w:rFonts w:hint="eastAsia" w:ascii="方正书宋_GBK" w:eastAsia="方正书宋_GBK" w:cs="方正书宋_GBK"/>
              </w:rPr>
              <w:t>条</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廊广北政【</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易燃物清理</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易燃物清理</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100</w:t>
            </w:r>
            <w:r>
              <w:rPr>
                <w:rFonts w:hint="eastAsia" w:ascii="方正书宋_GBK" w:eastAsia="方正书宋_GBK" w:cs="方正书宋_GBK"/>
              </w:rPr>
              <w:t>点处</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廊广北政【</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企业巡查</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企业巡查</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廊广北政【</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垃圾清理</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垃圾清理</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廊广北政【</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打造高质量的城乡人居环境</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打造高质量的城乡人居环境</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人居环境提高</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廊广北政【</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满意人数占调查人数率</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满意人数占调查人数率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廊广北政【</w:t>
            </w:r>
            <w:r>
              <w:rPr>
                <w:rFonts w:ascii="方正书宋_GBK" w:eastAsia="方正书宋_GBK" w:cs="方正书宋_GBK"/>
              </w:rPr>
              <w:t>2021</w:t>
            </w:r>
            <w:r>
              <w:rPr>
                <w:rFonts w:hint="eastAsia" w:ascii="方正书宋_GBK" w:eastAsia="方正书宋_GBK" w:cs="方正书宋_GBK"/>
              </w:rPr>
              <w:t>】</w:t>
            </w:r>
            <w:r>
              <w:rPr>
                <w:rFonts w:ascii="方正书宋_GBK" w:eastAsia="方正书宋_GBK" w:cs="方正书宋_GBK"/>
              </w:rPr>
              <w:t>6</w:t>
            </w:r>
            <w:r>
              <w:rPr>
                <w:rFonts w:hint="eastAsia" w:ascii="方正书宋_GBK" w:eastAsia="方正书宋_GBK" w:cs="方正书宋_GBK"/>
              </w:rPr>
              <w:t>号文件</w:t>
            </w:r>
          </w:p>
        </w:tc>
      </w:tr>
    </w:tbl>
    <w:p>
      <w:pPr>
        <w:spacing w:line="300" w:lineRule="exact"/>
        <w:jc w:val="left"/>
        <w:rPr>
          <w:rFonts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cs="Times New Roman"/>
        </w:rPr>
      </w:pPr>
    </w:p>
    <w:p>
      <w:pPr>
        <w:jc w:val="left"/>
        <w:outlineLvl w:val="3"/>
        <w:rPr>
          <w:rFonts w:hint="eastAsia" w:ascii="仿宋" w:hAnsi="仿宋" w:eastAsia="仿宋" w:cs="仿宋"/>
          <w:b w:val="0"/>
          <w:bCs w:val="0"/>
          <w:sz w:val="32"/>
          <w:szCs w:val="32"/>
        </w:rPr>
      </w:pPr>
      <w:bookmarkStart w:id="4" w:name="_Toc67213881"/>
      <w:r>
        <w:rPr>
          <w:rFonts w:hint="eastAsia" w:ascii="仿宋" w:hAnsi="仿宋" w:eastAsia="仿宋" w:cs="仿宋"/>
          <w:b w:val="0"/>
          <w:bCs w:val="0"/>
          <w:sz w:val="32"/>
          <w:szCs w:val="32"/>
        </w:rPr>
        <w:t>5.社区招聘人员经费绩效目标表</w:t>
      </w:r>
      <w:bookmarkEnd w:id="4"/>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tc "5、社区招聘人员经费绩效目标表" \f C \l 01</w:instrText>
      </w:r>
      <w:r>
        <w:rPr>
          <w:rFonts w:hint="eastAsia" w:ascii="仿宋" w:hAnsi="仿宋" w:eastAsia="仿宋" w:cs="仿宋"/>
          <w:b w:val="0"/>
          <w:bCs w:val="0"/>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保障聘用人员工资</w:t>
            </w:r>
          </w:p>
          <w:p>
            <w:pPr>
              <w:spacing w:line="300" w:lineRule="exact"/>
              <w:jc w:val="left"/>
              <w:rPr>
                <w:rFonts w:ascii="方正书宋_GBK" w:eastAsia="方正书宋_GBK" w:cs="Times New Roman"/>
              </w:rPr>
            </w:pPr>
            <w:r>
              <w:rPr>
                <w:rFonts w:ascii="方正书宋_GBK" w:eastAsia="方正书宋_GBK" w:cs="方正书宋_GBK"/>
              </w:rPr>
              <w:t>2.</w:t>
            </w:r>
            <w:r>
              <w:rPr>
                <w:rFonts w:hint="eastAsia" w:ascii="方正书宋_GBK" w:eastAsia="方正书宋_GBK" w:cs="方正书宋_GBK"/>
              </w:rPr>
              <w:t>保障及时足额缴纳各项保险</w:t>
            </w:r>
          </w:p>
        </w:tc>
      </w:tr>
    </w:tbl>
    <w:p>
      <w:pPr>
        <w:spacing w:line="14" w:lineRule="exact"/>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发放人数</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社区招聘人员享受此项待遇人员数</w:t>
            </w:r>
          </w:p>
        </w:tc>
        <w:tc>
          <w:tcPr>
            <w:tcW w:w="1276" w:type="dxa"/>
            <w:vAlign w:val="center"/>
          </w:tcPr>
          <w:p>
            <w:pPr>
              <w:spacing w:line="300" w:lineRule="exact"/>
              <w:jc w:val="left"/>
              <w:rPr>
                <w:rFonts w:ascii="方正书宋_GBK" w:eastAsia="方正书宋_GBK" w:cs="Times New Roman"/>
              </w:rPr>
            </w:pPr>
            <w:r>
              <w:rPr>
                <w:rFonts w:ascii="方正书宋_GBK" w:eastAsia="方正书宋_GBK" w:cs="方正书宋_GBK"/>
              </w:rPr>
              <w:t>74</w:t>
            </w:r>
            <w:r>
              <w:rPr>
                <w:rFonts w:hint="eastAsia" w:ascii="方正书宋_GBK" w:eastAsia="方正书宋_GBK" w:cs="方正书宋_GBK"/>
              </w:rPr>
              <w:t>人</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48</w:t>
            </w:r>
            <w:r>
              <w:rPr>
                <w:rFonts w:hint="eastAsia" w:ascii="方正书宋_GBK" w:eastAsia="方正书宋_GBK" w:cs="方正书宋_GBK"/>
              </w:rPr>
              <w:t>号廊广组字【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18</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保险申缴</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社区招聘人员按标准缴纳保险</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按标准缴纳</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48</w:t>
            </w:r>
            <w:r>
              <w:rPr>
                <w:rFonts w:hint="eastAsia" w:ascii="方正书宋_GBK" w:eastAsia="方正书宋_GBK" w:cs="方正书宋_GBK"/>
              </w:rPr>
              <w:t>号廊广组字【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18</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工资按时发放</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工资及时发放</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每月</w:t>
            </w:r>
            <w:r>
              <w:rPr>
                <w:rFonts w:ascii="方正书宋_GBK" w:eastAsia="方正书宋_GBK" w:cs="方正书宋_GBK"/>
              </w:rPr>
              <w:t>25</w:t>
            </w:r>
            <w:r>
              <w:rPr>
                <w:rFonts w:hint="eastAsia" w:ascii="方正书宋_GBK" w:eastAsia="方正书宋_GBK" w:cs="方正书宋_GBK"/>
              </w:rPr>
              <w:t>日前及时发放</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48</w:t>
            </w:r>
            <w:r>
              <w:rPr>
                <w:rFonts w:hint="eastAsia" w:ascii="方正书宋_GBK" w:eastAsia="方正书宋_GBK" w:cs="方正书宋_GBK"/>
              </w:rPr>
              <w:t>号廊广组字【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18</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发放工资水平</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发放工资水平是否有序提升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工资水平有序提升</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48</w:t>
            </w:r>
            <w:r>
              <w:rPr>
                <w:rFonts w:hint="eastAsia" w:ascii="方正书宋_GBK" w:eastAsia="方正书宋_GBK" w:cs="方正书宋_GBK"/>
              </w:rPr>
              <w:t>号廊广组字【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18</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社区工作完成率</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完成工作占全部工作的比率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48</w:t>
            </w:r>
            <w:r>
              <w:rPr>
                <w:rFonts w:hint="eastAsia" w:ascii="方正书宋_GBK" w:eastAsia="方正书宋_GBK" w:cs="方正书宋_GBK"/>
              </w:rPr>
              <w:t>号廊广组字【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18</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社区居民度社区服务的满意度</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满意的较满意的占调查总人数的比率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90%</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48</w:t>
            </w:r>
            <w:r>
              <w:rPr>
                <w:rFonts w:hint="eastAsia" w:ascii="方正书宋_GBK" w:eastAsia="方正书宋_GBK" w:cs="方正书宋_GBK"/>
              </w:rPr>
              <w:t>号廊广组字【</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18</w:t>
            </w:r>
            <w:r>
              <w:rPr>
                <w:rFonts w:hint="eastAsia" w:ascii="方正书宋_GBK" w:eastAsia="方正书宋_GBK" w:cs="方正书宋_GBK"/>
              </w:rPr>
              <w:t>号</w:t>
            </w:r>
          </w:p>
        </w:tc>
      </w:tr>
    </w:tbl>
    <w:p>
      <w:pPr>
        <w:spacing w:line="300" w:lineRule="exact"/>
        <w:jc w:val="left"/>
        <w:rPr>
          <w:rFonts w:cs="Times New Roman"/>
        </w:rPr>
        <w:sectPr>
          <w:pgSz w:w="11907" w:h="16839"/>
          <w:pgMar w:top="1984" w:right="1304" w:bottom="1134" w:left="1304" w:header="851" w:footer="992" w:gutter="0"/>
          <w:cols w:space="425" w:num="1"/>
          <w:docGrid w:type="lines" w:linePitch="312" w:charSpace="0"/>
        </w:sectPr>
      </w:pPr>
    </w:p>
    <w:p>
      <w:pPr>
        <w:spacing w:line="300" w:lineRule="exact"/>
        <w:jc w:val="left"/>
        <w:rPr>
          <w:rFonts w:cs="Times New Roman"/>
        </w:rPr>
      </w:pPr>
    </w:p>
    <w:p>
      <w:pPr>
        <w:jc w:val="left"/>
        <w:outlineLvl w:val="3"/>
        <w:rPr>
          <w:rFonts w:hint="eastAsia" w:ascii="仿宋" w:hAnsi="仿宋" w:eastAsia="仿宋" w:cs="仿宋"/>
          <w:b w:val="0"/>
          <w:bCs w:val="0"/>
          <w:sz w:val="32"/>
          <w:szCs w:val="32"/>
        </w:rPr>
      </w:pPr>
      <w:bookmarkStart w:id="5" w:name="_Toc67213882"/>
      <w:r>
        <w:rPr>
          <w:rFonts w:hint="eastAsia" w:ascii="仿宋" w:hAnsi="仿宋" w:eastAsia="仿宋" w:cs="仿宋"/>
          <w:b w:val="0"/>
          <w:bCs w:val="0"/>
          <w:sz w:val="32"/>
          <w:szCs w:val="32"/>
        </w:rPr>
        <w:t>6.2021年省级农村综合改革转移支付项目绩效目标表</w:t>
      </w:r>
      <w:bookmarkEnd w:id="5"/>
      <w:r>
        <w:rPr>
          <w:rFonts w:hint="eastAsia" w:ascii="仿宋" w:hAnsi="仿宋" w:eastAsia="仿宋" w:cs="仿宋"/>
          <w:b w:val="0"/>
          <w:bCs w:val="0"/>
          <w:sz w:val="32"/>
          <w:szCs w:val="32"/>
        </w:rPr>
        <w:fldChar w:fldCharType="begin"/>
      </w:r>
      <w:r>
        <w:rPr>
          <w:rFonts w:hint="eastAsia" w:ascii="仿宋" w:hAnsi="仿宋" w:eastAsia="仿宋" w:cs="仿宋"/>
          <w:b w:val="0"/>
          <w:bCs w:val="0"/>
          <w:sz w:val="32"/>
          <w:szCs w:val="32"/>
        </w:rPr>
        <w:instrText xml:space="preserve">tc "6、2021年省级农村综合改革转移支付项目绩效目标表" \f C \l 01</w:instrText>
      </w:r>
      <w:r>
        <w:rPr>
          <w:rFonts w:hint="eastAsia" w:ascii="仿宋" w:hAnsi="仿宋" w:eastAsia="仿宋" w:cs="仿宋"/>
          <w:b w:val="0"/>
          <w:bCs w:val="0"/>
          <w:sz w:val="32"/>
          <w:szCs w:val="32"/>
        </w:rPr>
        <w:fldChar w:fldCharType="end"/>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827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134" w:type="dxa"/>
            <w:tcBorders>
              <w:bottom w:val="nil"/>
            </w:tcBorders>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绩效目标</w:t>
            </w:r>
          </w:p>
        </w:tc>
        <w:tc>
          <w:tcPr>
            <w:tcW w:w="8278" w:type="dxa"/>
            <w:tcBorders>
              <w:bottom w:val="nil"/>
            </w:tcBorders>
            <w:vAlign w:val="center"/>
          </w:tcPr>
          <w:p>
            <w:pPr>
              <w:spacing w:line="300" w:lineRule="exact"/>
              <w:jc w:val="left"/>
              <w:rPr>
                <w:rFonts w:ascii="方正书宋_GBK" w:eastAsia="方正书宋_GBK" w:cs="Times New Roman"/>
              </w:rPr>
            </w:pPr>
            <w:r>
              <w:rPr>
                <w:rFonts w:ascii="方正书宋_GBK" w:eastAsia="方正书宋_GBK" w:cs="方正书宋_GBK"/>
              </w:rPr>
              <w:t>1.</w:t>
            </w:r>
            <w:r>
              <w:rPr>
                <w:rFonts w:hint="eastAsia" w:ascii="方正书宋_GBK" w:eastAsia="方正书宋_GBK" w:cs="方正书宋_GBK"/>
              </w:rPr>
              <w:t>加强农村公益事业建设，结合我乡实际情况，此项资金主要用手北旺乡村级一事一议奖补和农村综合改革补助项目前期立项、项目中期监督和项目后期组织验收过程中发生的办公费、交通费和宣传费等费用支出</w:t>
            </w:r>
            <w:r>
              <w:rPr>
                <w:rFonts w:ascii="方正书宋_GBK" w:eastAsia="方正书宋_GBK" w:cs="方正书宋_GBK"/>
              </w:rPr>
              <w:t>,</w:t>
            </w:r>
            <w:r>
              <w:rPr>
                <w:rFonts w:hint="eastAsia" w:ascii="方正书宋_GBK" w:eastAsia="方正书宋_GBK" w:cs="方正书宋_GBK"/>
              </w:rPr>
              <w:t>做好项目宣传，让百姓了解国家一事一议政策。</w:t>
            </w:r>
          </w:p>
          <w:p>
            <w:pPr>
              <w:spacing w:line="300" w:lineRule="exact"/>
              <w:jc w:val="left"/>
              <w:rPr>
                <w:rFonts w:ascii="方正书宋_GBK" w:eastAsia="方正书宋_GBK" w:cs="方正书宋_GBK"/>
              </w:rPr>
            </w:pPr>
            <w:r>
              <w:rPr>
                <w:rFonts w:ascii="方正书宋_GBK" w:eastAsia="方正书宋_GBK" w:cs="方正书宋_GBK"/>
              </w:rPr>
              <w:t>2.</w:t>
            </w:r>
            <w:r>
              <w:rPr>
                <w:rFonts w:hint="eastAsia" w:ascii="方正书宋_GBK" w:eastAsia="方正书宋_GBK" w:cs="方正书宋_GBK"/>
              </w:rPr>
              <w:t>北旺乡村级一事一议奖补和农村综合改革补助项目前期立项、项目中期监督和项目后期组织验收过程中发生的办公费、交通费和宣传费等费用支出</w:t>
            </w:r>
            <w:r>
              <w:rPr>
                <w:rFonts w:ascii="方正书宋_GBK" w:eastAsia="方正书宋_GBK" w:cs="方正书宋_GBK"/>
              </w:rPr>
              <w:t>,</w:t>
            </w:r>
            <w:r>
              <w:rPr>
                <w:rFonts w:hint="eastAsia" w:ascii="方正书宋_GBK" w:eastAsia="方正书宋_GBK" w:cs="方正书宋_GBK"/>
              </w:rPr>
              <w:t>营造良好的生活环境</w:t>
            </w:r>
            <w:r>
              <w:rPr>
                <w:rFonts w:ascii="方正书宋_GBK" w:eastAsia="方正书宋_GBK" w:cs="方正书宋_GBK"/>
              </w:rPr>
              <w:t>,</w:t>
            </w:r>
            <w:r>
              <w:rPr>
                <w:rFonts w:hint="eastAsia" w:ascii="方正书宋_GBK" w:eastAsia="方正书宋_GBK" w:cs="方正书宋_GBK"/>
              </w:rPr>
              <w:t>提高一事一议资金的使用效益</w:t>
            </w:r>
            <w:r>
              <w:rPr>
                <w:rFonts w:ascii="方正书宋_GBK" w:eastAsia="方正书宋_GBK" w:cs="方正书宋_GBK"/>
              </w:rPr>
              <w:t xml:space="preserve"> </w:t>
            </w:r>
            <w:r>
              <w:rPr>
                <w:rFonts w:hint="eastAsia" w:ascii="方正书宋_GBK" w:eastAsia="方正书宋_GBK" w:cs="方正书宋_GBK"/>
              </w:rPr>
              <w:t>。</w:t>
            </w:r>
            <w:r>
              <w:rPr>
                <w:rFonts w:ascii="方正书宋_GBK" w:eastAsia="方正书宋_GBK" w:cs="方正书宋_GBK"/>
              </w:rPr>
              <w:t xml:space="preserve"> </w:t>
            </w:r>
          </w:p>
        </w:tc>
      </w:tr>
    </w:tbl>
    <w:p>
      <w:pPr>
        <w:spacing w:line="14" w:lineRule="exact"/>
        <w:jc w:val="center"/>
        <w:rPr>
          <w:rFonts w:ascii="Times New Roman" w:hAnsi="宋体" w:cs="Times New Roman"/>
        </w:rPr>
      </w:pPr>
      <w:r>
        <w:rPr>
          <w:rFonts w:ascii="方正书宋_GBK" w:eastAsia="方正书宋_GBK" w:cs="方正书宋_GBK"/>
        </w:rPr>
        <w:t xml:space="preserve"> </w:t>
      </w:r>
    </w:p>
    <w:tbl>
      <w:tblPr>
        <w:tblStyle w:val="8"/>
        <w:tblW w:w="9412"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34"/>
        <w:gridCol w:w="1134"/>
        <w:gridCol w:w="1276"/>
        <w:gridCol w:w="2891"/>
        <w:gridCol w:w="1276"/>
        <w:gridCol w:w="1701"/>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97" w:hRule="atLeast"/>
          <w:tblHeader/>
          <w:jc w:val="center"/>
        </w:trPr>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一级指标</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二级指标</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三级指标</w:t>
            </w:r>
          </w:p>
        </w:tc>
        <w:tc>
          <w:tcPr>
            <w:tcW w:w="289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绩效指标描述</w:t>
            </w:r>
          </w:p>
        </w:tc>
        <w:tc>
          <w:tcPr>
            <w:tcW w:w="1276"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w:t>
            </w:r>
          </w:p>
        </w:tc>
        <w:tc>
          <w:tcPr>
            <w:tcW w:w="1701"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restart"/>
            <w:vAlign w:val="center"/>
          </w:tcPr>
          <w:p>
            <w:pPr>
              <w:spacing w:line="300" w:lineRule="exact"/>
              <w:jc w:val="center"/>
              <w:rPr>
                <w:rFonts w:ascii="方正书宋_GBK" w:eastAsia="方正书宋_GBK" w:cs="Times New Roman"/>
              </w:rPr>
            </w:pPr>
            <w:r>
              <w:rPr>
                <w:rFonts w:hint="eastAsia" w:ascii="方正书宋_GBK" w:eastAsia="方正书宋_GBK" w:cs="方正书宋_GBK"/>
              </w:rPr>
              <w:t>产出指标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数量指标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立项村街数量</w:t>
            </w:r>
          </w:p>
        </w:tc>
        <w:tc>
          <w:tcPr>
            <w:tcW w:w="2891" w:type="dxa"/>
            <w:vAlign w:val="center"/>
          </w:tcPr>
          <w:p>
            <w:pPr>
              <w:spacing w:line="300" w:lineRule="exact"/>
              <w:jc w:val="left"/>
              <w:rPr>
                <w:rFonts w:ascii="方正书宋_GBK" w:eastAsia="方正书宋_GBK" w:cs="Times New Roman"/>
              </w:rPr>
            </w:pPr>
            <w:r>
              <w:rPr>
                <w:rFonts w:ascii="方正书宋_GBK" w:eastAsia="方正书宋_GBK" w:cs="方正书宋_GBK"/>
              </w:rPr>
              <w:t xml:space="preserve"> 2021</w:t>
            </w:r>
            <w:r>
              <w:rPr>
                <w:rFonts w:hint="eastAsia" w:ascii="方正书宋_GBK" w:eastAsia="方正书宋_GBK" w:cs="方正书宋_GBK"/>
              </w:rPr>
              <w:t>年北旺乡立项村街数量</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5</w:t>
            </w:r>
            <w:r>
              <w:rPr>
                <w:rFonts w:hint="eastAsia" w:ascii="方正书宋_GBK" w:eastAsia="方正书宋_GBK" w:cs="方正书宋_GBK"/>
              </w:rPr>
              <w:t>村</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质量指标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工程按期完成率（</w:t>
            </w:r>
            <w:r>
              <w:rPr>
                <w:rFonts w:ascii="方正书宋_GBK" w:eastAsia="方正书宋_GBK" w:cs="方正书宋_GBK"/>
              </w:rPr>
              <w:t>%</w:t>
            </w:r>
            <w:r>
              <w:rPr>
                <w:rFonts w:hint="eastAsia" w:ascii="方正书宋_GBK" w:eastAsia="方正书宋_GBK" w:cs="方正书宋_GBK"/>
              </w:rPr>
              <w:t>）</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按期完成的工程量占总工程量的比率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95</w:t>
            </w:r>
            <w:r>
              <w:rPr>
                <w:rFonts w:hint="eastAsia" w:ascii="方正书宋_GBK" w:eastAsia="方正书宋_GBK" w:cs="方正书宋_GBK"/>
              </w:rPr>
              <w:t>％</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时效指标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工程款结算</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工程竣工验收合格后结算</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w:t>
            </w:r>
            <w:r>
              <w:rPr>
                <w:rFonts w:hint="eastAsia" w:ascii="方正书宋_GBK" w:eastAsia="方正书宋_GBK" w:cs="方正书宋_GBK"/>
              </w:rPr>
              <w:t>日</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Merge w:val="continue"/>
            <w:vAlign w:val="center"/>
          </w:tcPr>
          <w:p>
            <w:pPr>
              <w:spacing w:line="300" w:lineRule="exact"/>
              <w:jc w:val="center"/>
              <w:rPr>
                <w:rFonts w:ascii="方正书宋_GBK" w:eastAsia="方正书宋_GBK" w:cs="Times New Roman"/>
              </w:rPr>
            </w:pP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成本指标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工程预算成本</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工程预算成本</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107</w:t>
            </w:r>
            <w:r>
              <w:rPr>
                <w:rFonts w:hint="eastAsia" w:ascii="方正书宋_GBK" w:eastAsia="方正书宋_GBK" w:cs="方正书宋_GBK"/>
              </w:rPr>
              <w:t>万元</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效益指标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社会效益指标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受益人口数量</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受益人口数量</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1500</w:t>
            </w:r>
            <w:r>
              <w:rPr>
                <w:rFonts w:hint="eastAsia" w:ascii="方正书宋_GBK" w:eastAsia="方正书宋_GBK" w:cs="方正书宋_GBK"/>
              </w:rPr>
              <w:t>人</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atLeast"/>
          <w:jc w:val="center"/>
        </w:trPr>
        <w:tc>
          <w:tcPr>
            <w:tcW w:w="1134" w:type="dxa"/>
            <w:vAlign w:val="center"/>
          </w:tcPr>
          <w:p>
            <w:pPr>
              <w:spacing w:line="300" w:lineRule="exact"/>
              <w:jc w:val="center"/>
              <w:rPr>
                <w:rFonts w:ascii="方正书宋_GBK" w:eastAsia="方正书宋_GBK" w:cs="Times New Roman"/>
              </w:rPr>
            </w:pPr>
            <w:r>
              <w:rPr>
                <w:rFonts w:hint="eastAsia" w:ascii="方正书宋_GBK" w:eastAsia="方正书宋_GBK" w:cs="方正书宋_GBK"/>
              </w:rPr>
              <w:t>满意度指标</w:t>
            </w:r>
          </w:p>
        </w:tc>
        <w:tc>
          <w:tcPr>
            <w:tcW w:w="1134"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服务对象满意度指标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受益基层群众满意度</w:t>
            </w:r>
          </w:p>
        </w:tc>
        <w:tc>
          <w:tcPr>
            <w:tcW w:w="289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受益群众满意占总人数的比率</w:t>
            </w:r>
          </w:p>
        </w:tc>
        <w:tc>
          <w:tcPr>
            <w:tcW w:w="1276"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w:t>
            </w:r>
            <w:r>
              <w:rPr>
                <w:rFonts w:ascii="方正书宋_GBK" w:eastAsia="方正书宋_GBK" w:cs="方正书宋_GBK"/>
              </w:rPr>
              <w:t>85</w:t>
            </w:r>
            <w:r>
              <w:rPr>
                <w:rFonts w:hint="eastAsia" w:ascii="方正书宋_GBK" w:eastAsia="方正书宋_GBK" w:cs="方正书宋_GBK"/>
              </w:rPr>
              <w:t>％</w:t>
            </w:r>
          </w:p>
        </w:tc>
        <w:tc>
          <w:tcPr>
            <w:tcW w:w="1701" w:type="dxa"/>
            <w:vAlign w:val="center"/>
          </w:tcPr>
          <w:p>
            <w:pPr>
              <w:spacing w:line="300" w:lineRule="exact"/>
              <w:jc w:val="left"/>
              <w:rPr>
                <w:rFonts w:ascii="方正书宋_GBK" w:eastAsia="方正书宋_GBK" w:cs="Times New Roman"/>
              </w:rPr>
            </w:pPr>
            <w:r>
              <w:rPr>
                <w:rFonts w:hint="eastAsia" w:ascii="方正书宋_GBK" w:eastAsia="方正书宋_GBK" w:cs="方正书宋_GBK"/>
              </w:rPr>
              <w:t>廊财农【</w:t>
            </w:r>
            <w:r>
              <w:rPr>
                <w:rFonts w:ascii="方正书宋_GBK" w:eastAsia="方正书宋_GBK" w:cs="方正书宋_GBK"/>
              </w:rPr>
              <w:t>2020</w:t>
            </w:r>
            <w:r>
              <w:rPr>
                <w:rFonts w:hint="eastAsia" w:ascii="方正书宋_GBK" w:eastAsia="方正书宋_GBK" w:cs="方正书宋_GBK"/>
              </w:rPr>
              <w:t>】</w:t>
            </w:r>
            <w:r>
              <w:rPr>
                <w:rFonts w:ascii="方正书宋_GBK" w:eastAsia="方正书宋_GBK" w:cs="方正书宋_GBK"/>
              </w:rPr>
              <w:t>81</w:t>
            </w:r>
            <w:r>
              <w:rPr>
                <w:rFonts w:hint="eastAsia" w:ascii="方正书宋_GBK" w:eastAsia="方正书宋_GBK" w:cs="方正书宋_GBK"/>
              </w:rPr>
              <w:t>号</w:t>
            </w:r>
          </w:p>
        </w:tc>
      </w:tr>
    </w:tbl>
    <w:p>
      <w:pPr>
        <w:spacing w:line="300" w:lineRule="exact"/>
        <w:jc w:val="left"/>
        <w:rPr>
          <w:rFonts w:cs="Times New Roman"/>
        </w:rPr>
        <w:sectPr>
          <w:pgSz w:w="11907" w:h="16839"/>
          <w:pgMar w:top="1984" w:right="1304" w:bottom="1134" w:left="1304" w:header="851" w:footer="992" w:gutter="0"/>
          <w:cols w:space="425" w:num="1"/>
          <w:docGrid w:type="lines" w:linePitch="312" w:charSpace="0"/>
        </w:sectPr>
      </w:pPr>
    </w:p>
    <w:p>
      <w:pPr>
        <w:autoSpaceDE w:val="0"/>
        <w:autoSpaceDN w:val="0"/>
        <w:adjustRightInd w:val="0"/>
        <w:spacing w:line="584" w:lineRule="exact"/>
        <w:ind w:firstLine="880" w:firstLineChars="200"/>
        <w:jc w:val="left"/>
        <w:rPr>
          <w:rFonts w:ascii="Times New Roman" w:hAnsi="Times New Roman" w:eastAsia="黑体" w:cs="Times New Roman"/>
          <w:sz w:val="44"/>
          <w:szCs w:val="44"/>
        </w:r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黑体"/>
          <w:sz w:val="32"/>
          <w:szCs w:val="32"/>
        </w:rPr>
        <w:t>六、政府采购预算情况</w:t>
      </w:r>
    </w:p>
    <w:p>
      <w:pPr>
        <w:spacing w:line="584" w:lineRule="exact"/>
        <w:ind w:firstLine="640" w:firstLineChars="200"/>
        <w:outlineLvl w:val="0"/>
        <w:rPr>
          <w:rFonts w:ascii="Times New Roman" w:hAnsi="Times New Roman" w:eastAsia="仿宋_GB2312" w:cs="Times New Roman"/>
          <w:sz w:val="32"/>
          <w:szCs w:val="32"/>
        </w:rPr>
      </w:pPr>
      <w:bookmarkStart w:id="6" w:name="_Toc471398468"/>
      <w:r>
        <w:rPr>
          <w:rFonts w:ascii="Times New Roman" w:hAnsi="Times New Roman" w:eastAsia="仿宋_GB2312" w:cs="Times New Roman"/>
          <w:sz w:val="32"/>
          <w:szCs w:val="32"/>
        </w:rPr>
        <w:t>2021</w:t>
      </w:r>
      <w:r>
        <w:rPr>
          <w:rFonts w:hint="eastAsia" w:ascii="Times New Roman" w:hAnsi="Times New Roman" w:eastAsia="仿宋_GB2312" w:cs="仿宋_GB2312"/>
          <w:sz w:val="32"/>
          <w:szCs w:val="32"/>
        </w:rPr>
        <w:t>年，我部门安排政府采购预算</w:t>
      </w:r>
      <w:r>
        <w:rPr>
          <w:rFonts w:ascii="Times New Roman" w:hAnsi="Times New Roman" w:eastAsia="仿宋_GB2312" w:cs="Times New Roman"/>
          <w:sz w:val="32"/>
          <w:szCs w:val="32"/>
        </w:rPr>
        <w:t>5.8</w:t>
      </w:r>
      <w:r>
        <w:rPr>
          <w:rFonts w:hint="eastAsia" w:ascii="Times New Roman" w:hAnsi="Times New Roman" w:eastAsia="仿宋_GB2312" w:cs="仿宋_GB2312"/>
          <w:sz w:val="32"/>
          <w:szCs w:val="32"/>
        </w:rPr>
        <w:t>万元。具体内容见下表。</w:t>
      </w:r>
    </w:p>
    <w:bookmarkEnd w:id="6"/>
    <w:p>
      <w:pPr>
        <w:spacing w:line="584" w:lineRule="exact"/>
        <w:jc w:val="left"/>
        <w:outlineLvl w:val="0"/>
        <w:rPr>
          <w:rFonts w:ascii="Times New Roman" w:hAnsi="Times New Roman" w:eastAsia="仿宋_GB2312" w:cs="Times New Roman"/>
        </w:rPr>
      </w:pPr>
    </w:p>
    <w:p>
      <w:pPr>
        <w:jc w:val="center"/>
        <w:outlineLvl w:val="1"/>
        <w:rPr>
          <w:rFonts w:ascii="Times New Roman" w:hAnsi="Times New Roman" w:cs="Times New Roman"/>
          <w:sz w:val="32"/>
          <w:szCs w:val="32"/>
        </w:rPr>
      </w:pPr>
      <w:bookmarkStart w:id="7" w:name="_Toc64920910"/>
      <w:r>
        <w:rPr>
          <w:rFonts w:hint="eastAsia" w:ascii="方正小标宋_GBK" w:eastAsia="方正小标宋_GBK" w:cs="方正小标宋_GBK"/>
          <w:sz w:val="32"/>
          <w:szCs w:val="32"/>
        </w:rPr>
        <w:t>部门政府采购预算</w:t>
      </w:r>
      <w:bookmarkEnd w:id="7"/>
    </w:p>
    <w:tbl>
      <w:tblPr>
        <w:tblStyle w:val="8"/>
        <w:tblW w:w="15507"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984"/>
        <w:gridCol w:w="1134"/>
        <w:gridCol w:w="1531"/>
        <w:gridCol w:w="1531"/>
        <w:gridCol w:w="709"/>
        <w:gridCol w:w="907"/>
        <w:gridCol w:w="907"/>
        <w:gridCol w:w="1134"/>
        <w:gridCol w:w="1134"/>
        <w:gridCol w:w="1134"/>
        <w:gridCol w:w="1134"/>
        <w:gridCol w:w="1134"/>
        <w:gridCol w:w="113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8703" w:type="dxa"/>
            <w:gridSpan w:val="7"/>
            <w:tcBorders>
              <w:top w:val="single" w:color="FFFFFF" w:sz="6" w:space="0"/>
              <w:left w:val="single" w:color="FFFFFF" w:sz="6" w:space="0"/>
              <w:right w:val="single" w:color="FFFFFF" w:sz="6" w:space="0"/>
            </w:tcBorders>
            <w:vAlign w:val="center"/>
          </w:tcPr>
          <w:p>
            <w:pPr>
              <w:spacing w:line="300" w:lineRule="exact"/>
              <w:jc w:val="left"/>
              <w:rPr>
                <w:rFonts w:hint="eastAsia" w:ascii="方正小标宋_GBK" w:eastAsia="方正小标宋_GBK" w:cs="Times New Roman"/>
                <w:sz w:val="24"/>
                <w:szCs w:val="24"/>
                <w:lang w:eastAsia="zh-CN"/>
              </w:rPr>
            </w:pPr>
            <w:r>
              <w:rPr>
                <w:rFonts w:hint="eastAsia" w:ascii="方正小标宋_GBK" w:eastAsia="方正小标宋_GBK" w:cs="方正小标宋_GBK"/>
                <w:sz w:val="24"/>
                <w:szCs w:val="24"/>
                <w:lang w:val="en-US" w:eastAsia="zh-CN"/>
              </w:rPr>
              <w:t>915</w:t>
            </w:r>
            <w:r>
              <w:rPr>
                <w:rFonts w:hint="eastAsia" w:ascii="方正小标宋_GBK" w:eastAsia="方正小标宋_GBK" w:cs="方正小标宋_GBK"/>
                <w:sz w:val="24"/>
                <w:szCs w:val="24"/>
              </w:rPr>
              <w:t>廊坊市</w:t>
            </w:r>
            <w:r>
              <w:rPr>
                <w:rFonts w:hint="eastAsia" w:ascii="方正小标宋_GBK" w:eastAsia="方正小标宋_GBK" w:cs="方正小标宋_GBK"/>
                <w:sz w:val="24"/>
                <w:szCs w:val="24"/>
                <w:lang w:eastAsia="zh-CN"/>
              </w:rPr>
              <w:t>广阳区北旺乡人民政府</w:t>
            </w:r>
          </w:p>
        </w:tc>
        <w:tc>
          <w:tcPr>
            <w:tcW w:w="6804" w:type="dxa"/>
            <w:gridSpan w:val="6"/>
            <w:tcBorders>
              <w:top w:val="single" w:color="FFFFFF" w:sz="6" w:space="0"/>
              <w:left w:val="single" w:color="FFFFFF" w:sz="6" w:space="0"/>
              <w:right w:val="single" w:color="FFFFFF" w:sz="6" w:space="0"/>
            </w:tcBorders>
            <w:vAlign w:val="center"/>
          </w:tcPr>
          <w:p>
            <w:pPr>
              <w:spacing w:line="300" w:lineRule="exact"/>
              <w:jc w:val="right"/>
              <w:rPr>
                <w:rFonts w:ascii="方正书宋_GBK" w:eastAsia="方正书宋_GBK" w:cs="Times New Roman"/>
                <w:sz w:val="24"/>
                <w:szCs w:val="24"/>
              </w:rPr>
            </w:pPr>
            <w:r>
              <w:rPr>
                <w:rFonts w:hint="eastAsia" w:ascii="方正书宋_GBK" w:eastAsia="方正书宋_GBK" w:cs="方正书宋_GBK"/>
                <w:sz w:val="24"/>
                <w:szCs w:val="24"/>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3118" w:type="dxa"/>
            <w:gridSpan w:val="2"/>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政府采购项目来源</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采购物品名称</w:t>
            </w:r>
          </w:p>
        </w:tc>
        <w:tc>
          <w:tcPr>
            <w:tcW w:w="1531"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政府采购目录序号</w:t>
            </w:r>
          </w:p>
        </w:tc>
        <w:tc>
          <w:tcPr>
            <w:tcW w:w="709"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计量</w:t>
            </w:r>
            <w:r>
              <w:rPr>
                <w:rFonts w:ascii="方正书宋_GBK" w:eastAsia="方正书宋_GBK" w:cs="方正书宋_GBK"/>
                <w:b/>
                <w:bCs/>
              </w:rPr>
              <w:t xml:space="preserve">  </w:t>
            </w:r>
            <w:r>
              <w:rPr>
                <w:rFonts w:hint="eastAsia" w:ascii="方正书宋_GBK" w:eastAsia="方正书宋_GBK" w:cs="方正书宋_GBK"/>
                <w:b/>
                <w:bCs/>
              </w:rPr>
              <w:t>单位</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数量</w:t>
            </w:r>
          </w:p>
        </w:tc>
        <w:tc>
          <w:tcPr>
            <w:tcW w:w="907" w:type="dxa"/>
            <w:vMerge w:val="restart"/>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单价</w:t>
            </w:r>
          </w:p>
        </w:tc>
        <w:tc>
          <w:tcPr>
            <w:tcW w:w="6804" w:type="dxa"/>
            <w:gridSpan w:val="6"/>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政府采购金额（当年部门预算安排资金）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项目名称</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预算资金</w:t>
            </w:r>
          </w:p>
        </w:tc>
        <w:tc>
          <w:tcPr>
            <w:tcW w:w="1531" w:type="dxa"/>
            <w:vMerge w:val="continue"/>
            <w:vAlign w:val="center"/>
          </w:tcPr>
          <w:p>
            <w:pPr>
              <w:rPr>
                <w:rFonts w:cs="Times New Roman"/>
              </w:rPr>
            </w:pPr>
          </w:p>
        </w:tc>
        <w:tc>
          <w:tcPr>
            <w:tcW w:w="1531" w:type="dxa"/>
            <w:vMerge w:val="continue"/>
            <w:vAlign w:val="center"/>
          </w:tcPr>
          <w:p>
            <w:pPr>
              <w:rPr>
                <w:rFonts w:cs="Times New Roman"/>
              </w:rPr>
            </w:pPr>
          </w:p>
        </w:tc>
        <w:tc>
          <w:tcPr>
            <w:tcW w:w="709" w:type="dxa"/>
            <w:vMerge w:val="continue"/>
            <w:vAlign w:val="center"/>
          </w:tcPr>
          <w:p>
            <w:pPr>
              <w:rPr>
                <w:rFonts w:cs="Times New Roman"/>
              </w:rPr>
            </w:pPr>
          </w:p>
        </w:tc>
        <w:tc>
          <w:tcPr>
            <w:tcW w:w="907" w:type="dxa"/>
            <w:vMerge w:val="continue"/>
            <w:vAlign w:val="center"/>
          </w:tcPr>
          <w:p>
            <w:pPr>
              <w:rPr>
                <w:rFonts w:cs="Times New Roman"/>
              </w:rPr>
            </w:pPr>
          </w:p>
        </w:tc>
        <w:tc>
          <w:tcPr>
            <w:tcW w:w="907" w:type="dxa"/>
            <w:vMerge w:val="continue"/>
            <w:vAlign w:val="center"/>
          </w:tcPr>
          <w:p>
            <w:pPr>
              <w:rPr>
                <w:rFonts w:cs="Times New Roman"/>
              </w:rPr>
            </w:pP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合计</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一般公共预算拨款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基金预算拨款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国有资本经营预算拨款</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财政专户核拨</w:t>
            </w:r>
          </w:p>
        </w:tc>
        <w:tc>
          <w:tcPr>
            <w:tcW w:w="113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单位资金</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合</w:t>
            </w:r>
            <w:r>
              <w:rPr>
                <w:rFonts w:ascii="方正书宋_GBK" w:eastAsia="方正书宋_GBK" w:cs="方正书宋_GBK"/>
                <w:b/>
                <w:bCs/>
              </w:rPr>
              <w:t xml:space="preserve">  </w:t>
            </w:r>
            <w:r>
              <w:rPr>
                <w:rFonts w:hint="eastAsia" w:ascii="方正书宋_GBK" w:eastAsia="方正书宋_GBK" w:cs="方正书宋_GBK"/>
                <w:b/>
                <w:bCs/>
              </w:rPr>
              <w:t>计</w:t>
            </w:r>
          </w:p>
        </w:tc>
        <w:tc>
          <w:tcPr>
            <w:tcW w:w="113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5.8</w:t>
            </w:r>
          </w:p>
        </w:tc>
        <w:tc>
          <w:tcPr>
            <w:tcW w:w="1531" w:type="dxa"/>
            <w:vAlign w:val="center"/>
          </w:tcPr>
          <w:p>
            <w:pPr>
              <w:spacing w:line="300" w:lineRule="exact"/>
              <w:jc w:val="left"/>
              <w:rPr>
                <w:rFonts w:ascii="方正书宋_GBK" w:eastAsia="方正书宋_GBK" w:cs="Times New Roman"/>
                <w:b/>
                <w:bCs/>
              </w:rPr>
            </w:pPr>
          </w:p>
        </w:tc>
        <w:tc>
          <w:tcPr>
            <w:tcW w:w="1531" w:type="dxa"/>
            <w:vAlign w:val="center"/>
          </w:tcPr>
          <w:p>
            <w:pPr>
              <w:spacing w:line="300" w:lineRule="exact"/>
              <w:jc w:val="left"/>
              <w:rPr>
                <w:rFonts w:ascii="方正书宋_GBK" w:eastAsia="方正书宋_GBK" w:cs="Times New Roman"/>
                <w:b/>
                <w:bCs/>
              </w:rPr>
            </w:pPr>
          </w:p>
        </w:tc>
        <w:tc>
          <w:tcPr>
            <w:tcW w:w="709" w:type="dxa"/>
            <w:vAlign w:val="center"/>
          </w:tcPr>
          <w:p>
            <w:pPr>
              <w:spacing w:line="300" w:lineRule="exact"/>
              <w:jc w:val="center"/>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907"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5.8</w:t>
            </w:r>
          </w:p>
        </w:tc>
        <w:tc>
          <w:tcPr>
            <w:tcW w:w="113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5.8</w:t>
            </w: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办公设备</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4.8</w:t>
            </w:r>
          </w:p>
        </w:tc>
        <w:tc>
          <w:tcPr>
            <w:tcW w:w="153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台式计算机</w:t>
            </w:r>
          </w:p>
        </w:tc>
        <w:tc>
          <w:tcPr>
            <w:tcW w:w="1531" w:type="dxa"/>
            <w:vAlign w:val="center"/>
          </w:tcPr>
          <w:p>
            <w:pPr>
              <w:spacing w:line="300" w:lineRule="exact"/>
              <w:jc w:val="left"/>
              <w:rPr>
                <w:rFonts w:ascii="方正书宋_GBK" w:eastAsia="方正书宋_GBK" w:cs="方正书宋_GBK"/>
                <w:b/>
                <w:bCs/>
              </w:rPr>
            </w:pPr>
            <w:r>
              <w:rPr>
                <w:rFonts w:ascii="方正书宋_GBK" w:eastAsia="方正书宋_GBK" w:cs="方正书宋_GBK"/>
                <w:b/>
                <w:bCs/>
              </w:rPr>
              <w:t>A02010104</w:t>
            </w:r>
          </w:p>
        </w:tc>
        <w:tc>
          <w:tcPr>
            <w:tcW w:w="70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台</w:t>
            </w:r>
          </w:p>
        </w:tc>
        <w:tc>
          <w:tcPr>
            <w:tcW w:w="907"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12</w:t>
            </w:r>
          </w:p>
        </w:tc>
        <w:tc>
          <w:tcPr>
            <w:tcW w:w="907"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0.4</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4.8</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4.8</w:t>
            </w: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c>
          <w:tcPr>
            <w:tcW w:w="1134" w:type="dxa"/>
            <w:vAlign w:val="center"/>
          </w:tcPr>
          <w:p>
            <w:pPr>
              <w:spacing w:line="300" w:lineRule="exact"/>
              <w:jc w:val="right"/>
              <w:rPr>
                <w:rFonts w:ascii="方正书宋_GBK" w:eastAsia="方正书宋_GBK" w:cs="Times New Roman"/>
                <w:b/>
                <w:bCs/>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办公设备</w:t>
            </w:r>
          </w:p>
        </w:tc>
        <w:tc>
          <w:tcPr>
            <w:tcW w:w="113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w:t>
            </w:r>
          </w:p>
        </w:tc>
        <w:tc>
          <w:tcPr>
            <w:tcW w:w="1531" w:type="dxa"/>
            <w:vAlign w:val="center"/>
          </w:tcPr>
          <w:p>
            <w:pPr>
              <w:spacing w:line="300" w:lineRule="exact"/>
              <w:jc w:val="left"/>
              <w:rPr>
                <w:rFonts w:ascii="方正书宋_GBK" w:eastAsia="方正书宋_GBK" w:cs="Times New Roman"/>
                <w:b/>
                <w:bCs/>
              </w:rPr>
            </w:pPr>
            <w:r>
              <w:rPr>
                <w:rFonts w:hint="eastAsia" w:ascii="方正书宋_GBK" w:eastAsia="方正书宋_GBK" w:cs="方正书宋_GBK"/>
                <w:b/>
                <w:bCs/>
              </w:rPr>
              <w:t>打印机</w:t>
            </w:r>
          </w:p>
        </w:tc>
        <w:tc>
          <w:tcPr>
            <w:tcW w:w="1531" w:type="dxa"/>
            <w:vAlign w:val="center"/>
          </w:tcPr>
          <w:p>
            <w:pPr>
              <w:spacing w:line="300" w:lineRule="exact"/>
              <w:jc w:val="left"/>
              <w:rPr>
                <w:rFonts w:ascii="方正书宋_GBK" w:eastAsia="方正书宋_GBK" w:cs="Times New Roman"/>
                <w:b/>
                <w:bCs/>
                <w:sz w:val="18"/>
                <w:szCs w:val="18"/>
              </w:rPr>
            </w:pPr>
            <w:r>
              <w:rPr>
                <w:rFonts w:ascii="方正书宋_GBK" w:eastAsia="方正书宋_GBK" w:cs="方正书宋_GBK"/>
                <w:b/>
                <w:bCs/>
                <w:sz w:val="18"/>
                <w:szCs w:val="18"/>
              </w:rPr>
              <w:t>A0201060102</w:t>
            </w:r>
          </w:p>
        </w:tc>
        <w:tc>
          <w:tcPr>
            <w:tcW w:w="709" w:type="dxa"/>
            <w:vAlign w:val="center"/>
          </w:tcPr>
          <w:p>
            <w:pPr>
              <w:spacing w:line="300" w:lineRule="exact"/>
              <w:jc w:val="center"/>
              <w:rPr>
                <w:rFonts w:ascii="方正书宋_GBK" w:eastAsia="方正书宋_GBK" w:cs="Times New Roman"/>
                <w:b/>
                <w:bCs/>
              </w:rPr>
            </w:pPr>
            <w:r>
              <w:rPr>
                <w:rFonts w:hint="eastAsia" w:ascii="方正书宋_GBK" w:eastAsia="方正书宋_GBK" w:cs="方正书宋_GBK"/>
                <w:b/>
                <w:bCs/>
              </w:rPr>
              <w:t>台</w:t>
            </w:r>
          </w:p>
        </w:tc>
        <w:tc>
          <w:tcPr>
            <w:tcW w:w="907"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5</w:t>
            </w:r>
          </w:p>
        </w:tc>
        <w:tc>
          <w:tcPr>
            <w:tcW w:w="907"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0.2</w:t>
            </w:r>
          </w:p>
        </w:tc>
        <w:tc>
          <w:tcPr>
            <w:tcW w:w="1134" w:type="dxa"/>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1</w:t>
            </w:r>
          </w:p>
        </w:tc>
        <w:tc>
          <w:tcPr>
            <w:tcW w:w="1134" w:type="dxa"/>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1</w:t>
            </w: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1984" w:type="dxa"/>
            <w:vAlign w:val="center"/>
          </w:tcPr>
          <w:p>
            <w:pPr>
              <w:spacing w:line="300" w:lineRule="exact"/>
              <w:jc w:val="lef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1531" w:type="dxa"/>
            <w:vAlign w:val="center"/>
          </w:tcPr>
          <w:p>
            <w:pPr>
              <w:spacing w:line="300" w:lineRule="exact"/>
              <w:jc w:val="left"/>
              <w:rPr>
                <w:rFonts w:ascii="方正书宋_GBK" w:eastAsia="方正书宋_GBK" w:cs="Times New Roman"/>
              </w:rPr>
            </w:pPr>
          </w:p>
        </w:tc>
        <w:tc>
          <w:tcPr>
            <w:tcW w:w="709" w:type="dxa"/>
            <w:vAlign w:val="center"/>
          </w:tcPr>
          <w:p>
            <w:pPr>
              <w:spacing w:line="300" w:lineRule="exact"/>
              <w:jc w:val="center"/>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907"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c>
          <w:tcPr>
            <w:tcW w:w="1134" w:type="dxa"/>
            <w:vAlign w:val="center"/>
          </w:tcPr>
          <w:p>
            <w:pPr>
              <w:spacing w:line="300" w:lineRule="exact"/>
              <w:jc w:val="right"/>
              <w:rPr>
                <w:rFonts w:ascii="方正书宋_GBK" w:eastAsia="方正书宋_GBK" w:cs="Times New Roman"/>
              </w:rPr>
            </w:pPr>
          </w:p>
        </w:tc>
      </w:tr>
    </w:tbl>
    <w:p>
      <w:pPr>
        <w:spacing w:line="584" w:lineRule="exact"/>
        <w:jc w:val="left"/>
        <w:outlineLvl w:val="0"/>
        <w:rPr>
          <w:rFonts w:ascii="Times New Roman" w:hAnsi="Times New Roman" w:eastAsia="仿宋_GB2312" w:cs="Times New Roman"/>
        </w:rPr>
        <w:sectPr>
          <w:footerReference r:id="rId3" w:type="default"/>
          <w:pgSz w:w="16839" w:h="11907" w:orient="landscape"/>
          <w:pgMar w:top="1361" w:right="1020" w:bottom="1361" w:left="1020" w:header="851" w:footer="992" w:gutter="0"/>
          <w:cols w:space="720" w:num="1"/>
          <w:docGrid w:type="lines" w:linePitch="312" w:charSpace="0"/>
        </w:sectPr>
      </w:pP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黑体"/>
          <w:sz w:val="32"/>
          <w:szCs w:val="32"/>
        </w:rPr>
        <w:t>七、国有资产信息</w:t>
      </w:r>
    </w:p>
    <w:p>
      <w:pPr>
        <w:spacing w:line="584" w:lineRule="exact"/>
        <w:ind w:firstLine="64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廊坊市广阳区</w:t>
      </w:r>
      <w:r>
        <w:rPr>
          <w:rFonts w:hint="eastAsia" w:ascii="Times New Roman" w:hAnsi="Times New Roman" w:eastAsia="仿宋_GB2312" w:cs="Times New Roman"/>
          <w:sz w:val="32"/>
          <w:szCs w:val="32"/>
          <w:lang w:eastAsia="zh-CN"/>
        </w:rPr>
        <w:t>北旺乡人民政府</w:t>
      </w:r>
      <w:r>
        <w:rPr>
          <w:rFonts w:hint="eastAsia" w:ascii="Times New Roman" w:hAnsi="Times New Roman" w:eastAsia="仿宋_GB2312" w:cs="仿宋_GB2312"/>
          <w:sz w:val="32"/>
          <w:szCs w:val="32"/>
        </w:rPr>
        <w:t>（含所属单位）上年末固定资产金额为</w:t>
      </w:r>
      <w:r>
        <w:rPr>
          <w:rFonts w:ascii="Times New Roman" w:hAnsi="Times New Roman" w:eastAsia="仿宋_GB2312" w:cs="Times New Roman"/>
          <w:sz w:val="32"/>
          <w:szCs w:val="32"/>
        </w:rPr>
        <w:t>805.67</w:t>
      </w:r>
      <w:r>
        <w:rPr>
          <w:rFonts w:hint="eastAsia" w:ascii="Times New Roman" w:hAnsi="Times New Roman" w:eastAsia="仿宋_GB2312" w:cs="仿宋_GB2312"/>
          <w:sz w:val="32"/>
          <w:szCs w:val="32"/>
        </w:rPr>
        <w:t>万元（详见下表），本年度我部门拟购置固定资产总额为</w:t>
      </w:r>
      <w:r>
        <w:rPr>
          <w:rFonts w:ascii="Times New Roman" w:hAnsi="Times New Roman" w:eastAsia="仿宋_GB2312" w:cs="Times New Roman"/>
          <w:sz w:val="32"/>
          <w:szCs w:val="32"/>
        </w:rPr>
        <w:t>5.8</w:t>
      </w:r>
      <w:r>
        <w:rPr>
          <w:rFonts w:hint="eastAsia" w:ascii="Times New Roman" w:hAnsi="Times New Roman" w:eastAsia="仿宋_GB2312" w:cs="仿宋_GB2312"/>
          <w:sz w:val="32"/>
          <w:szCs w:val="32"/>
        </w:rPr>
        <w:t>万元，主要为（计算机设备、打印设备、空调、办公家具）等，已列入政府采购预算，详见政府采购预算表。</w:t>
      </w:r>
    </w:p>
    <w:p>
      <w:pPr>
        <w:spacing w:line="584" w:lineRule="exact"/>
        <w:ind w:firstLine="640"/>
        <w:rPr>
          <w:rFonts w:ascii="Times New Roman" w:hAnsi="Times New Roman" w:eastAsia="仿宋_GB2312" w:cs="Times New Roman"/>
          <w:sz w:val="32"/>
          <w:szCs w:val="32"/>
        </w:rPr>
      </w:pPr>
    </w:p>
    <w:tbl>
      <w:tblPr>
        <w:tblStyle w:val="8"/>
        <w:tblW w:w="13482" w:type="dxa"/>
        <w:tblInd w:w="-106" w:type="dxa"/>
        <w:tblLayout w:type="fixed"/>
        <w:tblCellMar>
          <w:top w:w="0" w:type="dxa"/>
          <w:left w:w="108" w:type="dxa"/>
          <w:bottom w:w="0" w:type="dxa"/>
          <w:right w:w="108" w:type="dxa"/>
        </w:tblCellMar>
      </w:tblPr>
      <w:tblGrid>
        <w:gridCol w:w="5224"/>
        <w:gridCol w:w="3155"/>
        <w:gridCol w:w="5103"/>
      </w:tblGrid>
      <w:tr>
        <w:tblPrEx>
          <w:tblCellMar>
            <w:top w:w="0" w:type="dxa"/>
            <w:left w:w="108" w:type="dxa"/>
            <w:bottom w:w="0" w:type="dxa"/>
            <w:right w:w="108" w:type="dxa"/>
          </w:tblCellMar>
        </w:tblPrEx>
        <w:trPr>
          <w:trHeight w:val="705" w:hRule="atLeast"/>
        </w:trPr>
        <w:tc>
          <w:tcPr>
            <w:tcW w:w="13482" w:type="dxa"/>
            <w:gridSpan w:val="3"/>
            <w:tcBorders>
              <w:top w:val="nil"/>
              <w:left w:val="nil"/>
              <w:bottom w:val="nil"/>
              <w:right w:val="nil"/>
            </w:tcBorders>
            <w:vAlign w:val="center"/>
          </w:tcPr>
          <w:p>
            <w:pPr>
              <w:widowControl/>
              <w:spacing w:line="584" w:lineRule="exact"/>
              <w:jc w:val="center"/>
              <w:rPr>
                <w:rFonts w:ascii="Times New Roman" w:hAnsi="Times New Roman" w:eastAsia="仿宋_GB2312" w:cs="Times New Roman"/>
                <w:b/>
                <w:bCs/>
                <w:kern w:val="0"/>
                <w:sz w:val="32"/>
                <w:szCs w:val="32"/>
              </w:rPr>
            </w:pPr>
            <w:r>
              <w:rPr>
                <w:rFonts w:hint="eastAsia" w:ascii="Times New Roman" w:hAnsi="Times New Roman" w:eastAsia="仿宋_GB2312" w:cs="仿宋_GB2312"/>
                <w:b/>
                <w:bCs/>
                <w:kern w:val="0"/>
                <w:sz w:val="32"/>
                <w:szCs w:val="32"/>
              </w:rPr>
              <w:t>廊坊市广阳区</w:t>
            </w:r>
            <w:r>
              <w:rPr>
                <w:rFonts w:hint="eastAsia" w:ascii="Times New Roman" w:hAnsi="Times New Roman" w:eastAsia="仿宋_GB2312" w:cs="Times New Roman"/>
                <w:b/>
                <w:bCs/>
                <w:kern w:val="0"/>
                <w:sz w:val="32"/>
                <w:szCs w:val="32"/>
                <w:lang w:eastAsia="zh-CN"/>
              </w:rPr>
              <w:t>北旺乡人民政府</w:t>
            </w:r>
            <w:r>
              <w:rPr>
                <w:rFonts w:hint="eastAsia" w:ascii="Times New Roman" w:hAnsi="Times New Roman" w:eastAsia="仿宋_GB2312" w:cs="仿宋_GB2312"/>
                <w:b/>
                <w:bCs/>
                <w:kern w:val="0"/>
                <w:sz w:val="32"/>
                <w:szCs w:val="32"/>
              </w:rPr>
              <w:t>部门固定资产占用情况表</w:t>
            </w:r>
          </w:p>
        </w:tc>
      </w:tr>
      <w:tr>
        <w:tblPrEx>
          <w:tblCellMar>
            <w:top w:w="0" w:type="dxa"/>
            <w:left w:w="108" w:type="dxa"/>
            <w:bottom w:w="0" w:type="dxa"/>
            <w:right w:w="108" w:type="dxa"/>
          </w:tblCellMar>
        </w:tblPrEx>
        <w:trPr>
          <w:trHeight w:val="510" w:hRule="atLeast"/>
        </w:trPr>
        <w:tc>
          <w:tcPr>
            <w:tcW w:w="8379" w:type="dxa"/>
            <w:gridSpan w:val="2"/>
            <w:tcBorders>
              <w:top w:val="nil"/>
              <w:left w:val="nil"/>
              <w:bottom w:val="nil"/>
              <w:right w:val="nil"/>
            </w:tcBorders>
            <w:vAlign w:val="center"/>
          </w:tcPr>
          <w:p>
            <w:pPr>
              <w:widowControl/>
              <w:spacing w:line="584" w:lineRule="exact"/>
              <w:jc w:val="left"/>
              <w:rPr>
                <w:rFonts w:hint="eastAsia" w:ascii="Times New Roman" w:hAnsi="Times New Roman" w:eastAsia="仿宋_GB2312" w:cs="Times New Roman"/>
                <w:kern w:val="0"/>
                <w:sz w:val="22"/>
                <w:szCs w:val="22"/>
                <w:lang w:eastAsia="zh-CN"/>
              </w:rPr>
            </w:pPr>
            <w:r>
              <w:rPr>
                <w:rFonts w:hint="eastAsia" w:ascii="Times New Roman" w:hAnsi="Times New Roman" w:eastAsia="仿宋_GB2312" w:cs="仿宋_GB2312"/>
                <w:kern w:val="0"/>
                <w:sz w:val="22"/>
                <w:szCs w:val="22"/>
              </w:rPr>
              <w:t>编制部门：廊坊市</w:t>
            </w:r>
            <w:r>
              <w:rPr>
                <w:rFonts w:hint="eastAsia" w:ascii="Times New Roman" w:hAnsi="Times New Roman" w:eastAsia="仿宋_GB2312" w:cs="仿宋_GB2312"/>
                <w:kern w:val="0"/>
                <w:sz w:val="22"/>
                <w:szCs w:val="22"/>
                <w:lang w:eastAsia="zh-CN"/>
              </w:rPr>
              <w:t>广阳区北旺乡人民政府</w:t>
            </w:r>
          </w:p>
        </w:tc>
        <w:tc>
          <w:tcPr>
            <w:tcW w:w="5103" w:type="dxa"/>
            <w:tcBorders>
              <w:top w:val="nil"/>
              <w:left w:val="nil"/>
              <w:bottom w:val="nil"/>
              <w:right w:val="nil"/>
            </w:tcBorders>
            <w:vAlign w:val="center"/>
          </w:tcPr>
          <w:p>
            <w:pPr>
              <w:widowControl/>
              <w:spacing w:line="584" w:lineRule="exact"/>
              <w:jc w:val="left"/>
              <w:rPr>
                <w:rFonts w:ascii="Times New Roman" w:hAnsi="Times New Roman" w:eastAsia="仿宋_GB2312" w:cs="Times New Roman"/>
                <w:kern w:val="0"/>
                <w:sz w:val="22"/>
                <w:szCs w:val="22"/>
              </w:rPr>
            </w:pPr>
            <w:r>
              <w:rPr>
                <w:rFonts w:hint="eastAsia" w:ascii="Times New Roman" w:hAnsi="Times New Roman" w:eastAsia="仿宋_GB2312" w:cs="仿宋_GB2312"/>
                <w:kern w:val="0"/>
                <w:sz w:val="22"/>
                <w:szCs w:val="22"/>
              </w:rPr>
              <w:t>截止时间：</w:t>
            </w:r>
            <w:r>
              <w:rPr>
                <w:rFonts w:ascii="Times New Roman" w:hAnsi="Times New Roman" w:eastAsia="仿宋_GB2312" w:cs="Times New Roman"/>
                <w:kern w:val="0"/>
                <w:sz w:val="22"/>
                <w:szCs w:val="22"/>
              </w:rPr>
              <w:t>2020</w:t>
            </w:r>
            <w:r>
              <w:rPr>
                <w:rFonts w:hint="eastAsia" w:ascii="Times New Roman" w:hAnsi="Times New Roman" w:eastAsia="仿宋_GB2312" w:cs="仿宋_GB2312"/>
                <w:kern w:val="0"/>
                <w:sz w:val="22"/>
                <w:szCs w:val="22"/>
              </w:rPr>
              <w:t>年</w:t>
            </w:r>
            <w:r>
              <w:rPr>
                <w:rFonts w:ascii="Times New Roman" w:hAnsi="Times New Roman" w:eastAsia="仿宋_GB2312" w:cs="Times New Roman"/>
                <w:kern w:val="0"/>
                <w:sz w:val="22"/>
                <w:szCs w:val="22"/>
              </w:rPr>
              <w:t>12</w:t>
            </w:r>
            <w:r>
              <w:rPr>
                <w:rFonts w:hint="eastAsia" w:ascii="Times New Roman" w:hAnsi="Times New Roman" w:eastAsia="仿宋_GB2312" w:cs="仿宋_GB2312"/>
                <w:kern w:val="0"/>
                <w:sz w:val="22"/>
                <w:szCs w:val="22"/>
              </w:rPr>
              <w:t>月</w:t>
            </w:r>
            <w:r>
              <w:rPr>
                <w:rFonts w:ascii="Times New Roman" w:hAnsi="Times New Roman" w:eastAsia="仿宋_GB2312" w:cs="Times New Roman"/>
                <w:kern w:val="0"/>
                <w:sz w:val="22"/>
                <w:szCs w:val="22"/>
              </w:rPr>
              <w:t>31</w:t>
            </w:r>
            <w:r>
              <w:rPr>
                <w:rFonts w:hint="eastAsia" w:ascii="Times New Roman" w:hAnsi="Times New Roman" w:eastAsia="仿宋_GB2312" w:cs="仿宋_GB2312"/>
                <w:kern w:val="0"/>
                <w:sz w:val="22"/>
                <w:szCs w:val="22"/>
              </w:rPr>
              <w:t>日</w:t>
            </w:r>
            <w:r>
              <w:rPr>
                <w:rFonts w:ascii="Times New Roman" w:hAnsi="Times New Roman" w:eastAsia="仿宋_GB2312" w:cs="Times New Roman"/>
                <w:kern w:val="0"/>
                <w:sz w:val="22"/>
                <w:szCs w:val="22"/>
              </w:rPr>
              <w:t xml:space="preserve">  </w:t>
            </w:r>
          </w:p>
        </w:tc>
      </w:tr>
      <w:tr>
        <w:tblPrEx>
          <w:tblCellMar>
            <w:top w:w="0" w:type="dxa"/>
            <w:left w:w="108" w:type="dxa"/>
            <w:bottom w:w="0" w:type="dxa"/>
            <w:right w:w="108" w:type="dxa"/>
          </w:tblCellMar>
        </w:tblPrEx>
        <w:trPr>
          <w:trHeight w:val="567" w:hRule="exact"/>
        </w:trPr>
        <w:tc>
          <w:tcPr>
            <w:tcW w:w="5224" w:type="dxa"/>
            <w:tcBorders>
              <w:top w:val="single" w:color="auto" w:sz="4" w:space="0"/>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szCs w:val="22"/>
              </w:rPr>
            </w:pPr>
            <w:r>
              <w:rPr>
                <w:rFonts w:hint="eastAsia" w:ascii="Times New Roman" w:hAnsi="Times New Roman" w:eastAsia="仿宋_GB2312" w:cs="仿宋_GB2312"/>
                <w:b/>
                <w:bCs/>
                <w:kern w:val="0"/>
                <w:sz w:val="22"/>
                <w:szCs w:val="22"/>
              </w:rPr>
              <w:t>项</w:t>
            </w:r>
            <w:r>
              <w:rPr>
                <w:rFonts w:ascii="Times New Roman" w:hAnsi="Times New Roman" w:eastAsia="仿宋_GB2312" w:cs="Times New Roman"/>
                <w:b/>
                <w:bCs/>
                <w:kern w:val="0"/>
                <w:sz w:val="22"/>
                <w:szCs w:val="22"/>
              </w:rPr>
              <w:t xml:space="preserve">   </w:t>
            </w:r>
            <w:r>
              <w:rPr>
                <w:rFonts w:hint="eastAsia" w:ascii="Times New Roman" w:hAnsi="Times New Roman" w:eastAsia="仿宋_GB2312" w:cs="仿宋_GB2312"/>
                <w:b/>
                <w:bCs/>
                <w:kern w:val="0"/>
                <w:sz w:val="22"/>
                <w:szCs w:val="22"/>
              </w:rPr>
              <w:t>目</w:t>
            </w:r>
          </w:p>
        </w:tc>
        <w:tc>
          <w:tcPr>
            <w:tcW w:w="3155"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szCs w:val="22"/>
              </w:rPr>
            </w:pPr>
            <w:r>
              <w:rPr>
                <w:rFonts w:hint="eastAsia" w:ascii="Times New Roman" w:hAnsi="Times New Roman" w:eastAsia="仿宋_GB2312" w:cs="仿宋_GB2312"/>
                <w:b/>
                <w:bCs/>
                <w:kern w:val="0"/>
                <w:sz w:val="22"/>
                <w:szCs w:val="22"/>
              </w:rPr>
              <w:t>数量</w:t>
            </w:r>
          </w:p>
        </w:tc>
        <w:tc>
          <w:tcPr>
            <w:tcW w:w="5103" w:type="dxa"/>
            <w:tcBorders>
              <w:top w:val="single" w:color="auto" w:sz="4" w:space="0"/>
              <w:left w:val="nil"/>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b/>
                <w:bCs/>
                <w:kern w:val="0"/>
                <w:sz w:val="22"/>
                <w:szCs w:val="22"/>
              </w:rPr>
            </w:pPr>
            <w:r>
              <w:rPr>
                <w:rFonts w:hint="eastAsia" w:ascii="Times New Roman" w:hAnsi="Times New Roman" w:eastAsia="仿宋_GB2312" w:cs="仿宋_GB2312"/>
                <w:b/>
                <w:bCs/>
                <w:kern w:val="0"/>
                <w:sz w:val="22"/>
                <w:szCs w:val="22"/>
              </w:rPr>
              <w:t>价值（金额单位：万元）</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szCs w:val="22"/>
              </w:rPr>
            </w:pPr>
            <w:r>
              <w:rPr>
                <w:rFonts w:hint="eastAsia" w:ascii="Times New Roman" w:hAnsi="Times New Roman" w:eastAsia="仿宋_GB2312" w:cs="仿宋_GB2312"/>
                <w:kern w:val="0"/>
                <w:sz w:val="22"/>
                <w:szCs w:val="22"/>
              </w:rPr>
              <w:t>资产总额</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w:t>
            </w:r>
          </w:p>
        </w:tc>
        <w:tc>
          <w:tcPr>
            <w:tcW w:w="5103" w:type="dxa"/>
            <w:tcBorders>
              <w:top w:val="nil"/>
              <w:left w:val="nil"/>
              <w:bottom w:val="single" w:color="auto" w:sz="4" w:space="0"/>
              <w:right w:val="single" w:color="auto" w:sz="4" w:space="0"/>
            </w:tcBorders>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805.67</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1</w:t>
            </w:r>
            <w:r>
              <w:rPr>
                <w:rFonts w:hint="eastAsia" w:ascii="Times New Roman" w:hAnsi="Times New Roman" w:eastAsia="仿宋_GB2312" w:cs="仿宋_GB2312"/>
                <w:kern w:val="0"/>
                <w:sz w:val="22"/>
                <w:szCs w:val="22"/>
              </w:rPr>
              <w:t>、房屋（平方米）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11317</w:t>
            </w:r>
          </w:p>
        </w:tc>
        <w:tc>
          <w:tcPr>
            <w:tcW w:w="5103" w:type="dxa"/>
            <w:tcBorders>
              <w:top w:val="nil"/>
              <w:left w:val="nil"/>
              <w:bottom w:val="single" w:color="auto" w:sz="4" w:space="0"/>
              <w:right w:val="single" w:color="auto" w:sz="4" w:space="0"/>
            </w:tcBorders>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564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szCs w:val="22"/>
              </w:rPr>
            </w:pPr>
            <w:r>
              <w:rPr>
                <w:rFonts w:hint="eastAsia" w:ascii="Times New Roman" w:hAnsi="Times New Roman" w:eastAsia="仿宋_GB2312" w:cs="仿宋_GB2312"/>
                <w:kern w:val="0"/>
                <w:sz w:val="22"/>
                <w:szCs w:val="22"/>
              </w:rPr>
              <w:t>其中：办公用房（平方米）</w:t>
            </w:r>
          </w:p>
        </w:tc>
        <w:tc>
          <w:tcPr>
            <w:tcW w:w="3155" w:type="dxa"/>
            <w:tcBorders>
              <w:top w:val="nil"/>
              <w:left w:val="nil"/>
              <w:bottom w:val="single" w:color="auto" w:sz="4" w:space="0"/>
              <w:right w:val="single" w:color="auto" w:sz="4" w:space="0"/>
            </w:tcBorders>
            <w:vAlign w:val="center"/>
          </w:tcPr>
          <w:p>
            <w:pPr>
              <w:spacing w:line="584" w:lineRule="exact"/>
              <w:jc w:val="center"/>
              <w:rPr>
                <w:rFonts w:ascii="Times New Roman" w:hAnsi="Times New Roman" w:eastAsia="仿宋_GB2312" w:cs="Times New Roman"/>
                <w:sz w:val="22"/>
                <w:szCs w:val="22"/>
              </w:rPr>
            </w:pPr>
            <w:r>
              <w:rPr>
                <w:rFonts w:ascii="Times New Roman" w:hAnsi="Times New Roman" w:eastAsia="仿宋_GB2312" w:cs="Times New Roman"/>
                <w:sz w:val="22"/>
                <w:szCs w:val="22"/>
              </w:rPr>
              <w:t>11317</w:t>
            </w:r>
          </w:p>
        </w:tc>
        <w:tc>
          <w:tcPr>
            <w:tcW w:w="5103" w:type="dxa"/>
            <w:tcBorders>
              <w:top w:val="nil"/>
              <w:left w:val="nil"/>
              <w:bottom w:val="single" w:color="auto" w:sz="4" w:space="0"/>
              <w:right w:val="single" w:color="auto" w:sz="4" w:space="0"/>
            </w:tcBorders>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564</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2</w:t>
            </w:r>
            <w:r>
              <w:rPr>
                <w:rFonts w:hint="eastAsia" w:ascii="Times New Roman" w:hAnsi="Times New Roman" w:eastAsia="仿宋_GB2312" w:cs="仿宋_GB2312"/>
                <w:kern w:val="0"/>
                <w:sz w:val="22"/>
                <w:szCs w:val="22"/>
              </w:rPr>
              <w:t>、车辆（台、辆）</w:t>
            </w:r>
          </w:p>
        </w:tc>
        <w:tc>
          <w:tcPr>
            <w:tcW w:w="3155" w:type="dxa"/>
            <w:tcBorders>
              <w:top w:val="nil"/>
              <w:left w:val="nil"/>
              <w:bottom w:val="single" w:color="auto" w:sz="4" w:space="0"/>
              <w:right w:val="single" w:color="auto" w:sz="4" w:space="0"/>
            </w:tcBorders>
            <w:vAlign w:val="center"/>
          </w:tcPr>
          <w:p>
            <w:pPr>
              <w:spacing w:line="300" w:lineRule="exact"/>
              <w:jc w:val="right"/>
              <w:rPr>
                <w:rFonts w:ascii="方正书宋_GBK" w:eastAsia="方正书宋_GBK" w:cs="方正书宋_GBK"/>
                <w:b/>
                <w:bCs/>
              </w:rPr>
            </w:pPr>
            <w:r>
              <w:rPr>
                <w:rFonts w:ascii="方正书宋_GBK" w:eastAsia="方正书宋_GBK" w:cs="方正书宋_GBK"/>
                <w:b/>
                <w:bCs/>
              </w:rPr>
              <w:t>2</w:t>
            </w:r>
          </w:p>
        </w:tc>
        <w:tc>
          <w:tcPr>
            <w:tcW w:w="5103" w:type="dxa"/>
            <w:tcBorders>
              <w:top w:val="nil"/>
              <w:left w:val="nil"/>
              <w:bottom w:val="single" w:color="auto" w:sz="4" w:space="0"/>
              <w:right w:val="single" w:color="auto" w:sz="4" w:space="0"/>
            </w:tcBorders>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38.56</w:t>
            </w: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3</w:t>
            </w:r>
            <w:r>
              <w:rPr>
                <w:rFonts w:hint="eastAsia" w:ascii="Times New Roman" w:hAnsi="Times New Roman" w:eastAsia="仿宋_GB2312" w:cs="仿宋_GB2312"/>
                <w:kern w:val="0"/>
                <w:sz w:val="22"/>
                <w:szCs w:val="22"/>
              </w:rPr>
              <w:t>、单价在</w:t>
            </w:r>
            <w:r>
              <w:rPr>
                <w:rFonts w:ascii="Times New Roman" w:hAnsi="Times New Roman" w:eastAsia="仿宋_GB2312" w:cs="Times New Roman"/>
                <w:kern w:val="0"/>
                <w:sz w:val="22"/>
                <w:szCs w:val="22"/>
              </w:rPr>
              <w:t>20</w:t>
            </w:r>
            <w:r>
              <w:rPr>
                <w:rFonts w:hint="eastAsia" w:ascii="Times New Roman" w:hAnsi="Times New Roman" w:eastAsia="仿宋_GB2312" w:cs="仿宋_GB2312"/>
                <w:kern w:val="0"/>
                <w:sz w:val="22"/>
                <w:szCs w:val="22"/>
              </w:rPr>
              <w:t>万元以上的设备</w:t>
            </w:r>
          </w:p>
        </w:tc>
        <w:tc>
          <w:tcPr>
            <w:tcW w:w="3155" w:type="dxa"/>
            <w:tcBorders>
              <w:top w:val="nil"/>
              <w:left w:val="nil"/>
              <w:bottom w:val="single" w:color="auto" w:sz="4" w:space="0"/>
              <w:right w:val="single" w:color="auto" w:sz="4" w:space="0"/>
            </w:tcBorders>
            <w:vAlign w:val="center"/>
          </w:tcPr>
          <w:p>
            <w:pPr>
              <w:spacing w:line="300" w:lineRule="exact"/>
              <w:jc w:val="right"/>
              <w:rPr>
                <w:rFonts w:ascii="方正书宋_GBK" w:eastAsia="方正书宋_GBK" w:cs="Times New Roman"/>
                <w:b/>
                <w:bCs/>
              </w:rPr>
            </w:pPr>
          </w:p>
        </w:tc>
        <w:tc>
          <w:tcPr>
            <w:tcW w:w="5103" w:type="dxa"/>
            <w:tcBorders>
              <w:top w:val="nil"/>
              <w:left w:val="nil"/>
              <w:bottom w:val="single" w:color="auto" w:sz="4" w:space="0"/>
              <w:right w:val="single" w:color="auto" w:sz="4" w:space="0"/>
            </w:tcBorders>
            <w:vAlign w:val="center"/>
          </w:tcPr>
          <w:p>
            <w:pPr>
              <w:spacing w:line="300" w:lineRule="exact"/>
              <w:jc w:val="right"/>
              <w:rPr>
                <w:rFonts w:ascii="方正书宋_GBK" w:eastAsia="方正书宋_GBK" w:cs="Times New Roman"/>
                <w:b/>
                <w:bCs/>
              </w:rPr>
            </w:pPr>
          </w:p>
        </w:tc>
      </w:tr>
      <w:tr>
        <w:tblPrEx>
          <w:tblCellMar>
            <w:top w:w="0" w:type="dxa"/>
            <w:left w:w="108" w:type="dxa"/>
            <w:bottom w:w="0" w:type="dxa"/>
            <w:right w:w="108" w:type="dxa"/>
          </w:tblCellMar>
        </w:tblPrEx>
        <w:trPr>
          <w:trHeight w:val="567" w:hRule="exact"/>
        </w:trPr>
        <w:tc>
          <w:tcPr>
            <w:tcW w:w="5224" w:type="dxa"/>
            <w:tcBorders>
              <w:top w:val="nil"/>
              <w:left w:val="single" w:color="auto" w:sz="4" w:space="0"/>
              <w:bottom w:val="single" w:color="auto" w:sz="4" w:space="0"/>
              <w:right w:val="single" w:color="auto" w:sz="4" w:space="0"/>
            </w:tcBorders>
            <w:vAlign w:val="center"/>
          </w:tcPr>
          <w:p>
            <w:pPr>
              <w:widowControl/>
              <w:spacing w:line="584" w:lineRule="exact"/>
              <w:jc w:val="center"/>
              <w:rPr>
                <w:rFonts w:ascii="Times New Roman" w:hAnsi="Times New Roman" w:eastAsia="仿宋_GB2312" w:cs="Times New Roman"/>
                <w:kern w:val="0"/>
                <w:sz w:val="22"/>
                <w:szCs w:val="22"/>
              </w:rPr>
            </w:pPr>
            <w:r>
              <w:rPr>
                <w:rFonts w:ascii="Times New Roman" w:hAnsi="Times New Roman" w:eastAsia="仿宋_GB2312" w:cs="Times New Roman"/>
                <w:kern w:val="0"/>
                <w:sz w:val="22"/>
                <w:szCs w:val="22"/>
              </w:rPr>
              <w:t>4</w:t>
            </w:r>
            <w:r>
              <w:rPr>
                <w:rFonts w:hint="eastAsia" w:ascii="Times New Roman" w:hAnsi="Times New Roman" w:eastAsia="仿宋_GB2312" w:cs="仿宋_GB2312"/>
                <w:kern w:val="0"/>
                <w:sz w:val="22"/>
                <w:szCs w:val="22"/>
              </w:rPr>
              <w:t>、其他固定资产</w:t>
            </w:r>
          </w:p>
        </w:tc>
        <w:tc>
          <w:tcPr>
            <w:tcW w:w="3155" w:type="dxa"/>
            <w:tcBorders>
              <w:top w:val="nil"/>
              <w:left w:val="nil"/>
              <w:bottom w:val="single" w:color="auto" w:sz="4" w:space="0"/>
              <w:right w:val="single" w:color="auto" w:sz="4" w:space="0"/>
            </w:tcBorders>
            <w:vAlign w:val="center"/>
          </w:tcPr>
          <w:p>
            <w:pPr>
              <w:spacing w:line="300" w:lineRule="exact"/>
              <w:jc w:val="right"/>
              <w:rPr>
                <w:rFonts w:ascii="方正书宋_GBK" w:eastAsia="方正书宋_GBK" w:cs="Times New Roman"/>
                <w:b/>
                <w:bCs/>
              </w:rPr>
            </w:pPr>
          </w:p>
        </w:tc>
        <w:tc>
          <w:tcPr>
            <w:tcW w:w="5103" w:type="dxa"/>
            <w:tcBorders>
              <w:top w:val="nil"/>
              <w:left w:val="nil"/>
              <w:bottom w:val="single" w:color="auto" w:sz="4" w:space="0"/>
              <w:right w:val="single" w:color="auto" w:sz="4" w:space="0"/>
            </w:tcBorders>
            <w:vAlign w:val="center"/>
          </w:tcPr>
          <w:p>
            <w:pPr>
              <w:spacing w:line="300" w:lineRule="exact"/>
              <w:jc w:val="right"/>
              <w:rPr>
                <w:rFonts w:ascii="方正书宋_GBK" w:eastAsia="方正书宋_GBK" w:cs="Times New Roman"/>
                <w:b/>
                <w:bCs/>
              </w:rPr>
            </w:pPr>
            <w:r>
              <w:rPr>
                <w:rFonts w:ascii="方正书宋_GBK" w:eastAsia="方正书宋_GBK" w:cs="方正书宋_GBK"/>
                <w:b/>
                <w:bCs/>
              </w:rPr>
              <w:t>203.11</w:t>
            </w:r>
          </w:p>
        </w:tc>
      </w:tr>
    </w:tbl>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黑体"/>
          <w:sz w:val="32"/>
          <w:szCs w:val="32"/>
        </w:rPr>
        <w:t>八、名词解释</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w:t>
      </w:r>
      <w:r>
        <w:rPr>
          <w:rFonts w:hint="eastAsia" w:ascii="Times New Roman" w:hAnsi="Times New Roman" w:eastAsia="仿宋_GB2312" w:cs="仿宋_GB2312"/>
          <w:b/>
          <w:bCs/>
          <w:sz w:val="32"/>
          <w:szCs w:val="32"/>
        </w:rPr>
        <w:t>、一般公共预算拨款收入：</w:t>
      </w:r>
      <w:r>
        <w:rPr>
          <w:rFonts w:hint="eastAsia" w:ascii="Times New Roman" w:hAnsi="Times New Roman" w:eastAsia="仿宋_GB2312" w:cs="仿宋_GB2312"/>
          <w:sz w:val="32"/>
          <w:szCs w:val="32"/>
        </w:rPr>
        <w:t>指</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级财政当年拨付的资金。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2</w:t>
      </w:r>
      <w:r>
        <w:rPr>
          <w:rFonts w:hint="eastAsia" w:ascii="Times New Roman" w:hAnsi="Times New Roman" w:eastAsia="仿宋_GB2312" w:cs="仿宋_GB2312"/>
          <w:b/>
          <w:bCs/>
          <w:sz w:val="32"/>
          <w:szCs w:val="32"/>
        </w:rPr>
        <w:t>、事业收入：</w:t>
      </w:r>
      <w:r>
        <w:rPr>
          <w:rFonts w:hint="eastAsia" w:ascii="Times New Roman" w:hAnsi="Times New Roman" w:eastAsia="仿宋_GB2312" w:cs="仿宋_GB2312"/>
          <w:sz w:val="32"/>
          <w:szCs w:val="32"/>
        </w:rPr>
        <w:t>指事业单位开展专业业务活动及辅助活动所取得的收入。</w:t>
      </w:r>
    </w:p>
    <w:p>
      <w:pPr>
        <w:tabs>
          <w:tab w:val="left" w:pos="11490"/>
        </w:tabs>
        <w:spacing w:line="584" w:lineRule="exact"/>
        <w:ind w:firstLine="643" w:firstLineChars="200"/>
        <w:rPr>
          <w:rFonts w:ascii="Times New Roman" w:hAnsi="Times New Roman" w:eastAsia="仿宋_GB2312" w:cs="Times New Roman"/>
          <w:b/>
          <w:bCs/>
          <w:sz w:val="32"/>
          <w:szCs w:val="32"/>
        </w:rPr>
      </w:pPr>
      <w:r>
        <w:rPr>
          <w:rFonts w:ascii="Times New Roman" w:hAnsi="Times New Roman" w:eastAsia="仿宋_GB2312" w:cs="Times New Roman"/>
          <w:b/>
          <w:bCs/>
          <w:sz w:val="32"/>
          <w:szCs w:val="32"/>
        </w:rPr>
        <w:t>3</w:t>
      </w:r>
      <w:r>
        <w:rPr>
          <w:rFonts w:hint="eastAsia" w:ascii="Times New Roman" w:hAnsi="Times New Roman" w:eastAsia="仿宋_GB2312" w:cs="仿宋_GB2312"/>
          <w:b/>
          <w:bCs/>
          <w:sz w:val="32"/>
          <w:szCs w:val="32"/>
        </w:rPr>
        <w:t>、其他收入：</w:t>
      </w:r>
      <w:r>
        <w:rPr>
          <w:rFonts w:hint="eastAsia" w:ascii="Times New Roman" w:hAnsi="Times New Roman" w:eastAsia="仿宋_GB2312" w:cs="仿宋_GB2312"/>
          <w:sz w:val="32"/>
          <w:szCs w:val="32"/>
        </w:rPr>
        <w:t>指除</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一般公共预算拨款收入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事业收入</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等以外的收入。主要是按规定动用的租房收入、存款利息收入等。</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4</w:t>
      </w:r>
      <w:r>
        <w:rPr>
          <w:rFonts w:hint="eastAsia" w:ascii="Times New Roman" w:hAnsi="Times New Roman" w:eastAsia="仿宋_GB2312" w:cs="仿宋_GB2312"/>
          <w:b/>
          <w:bCs/>
          <w:sz w:val="32"/>
          <w:szCs w:val="32"/>
        </w:rPr>
        <w:t>、基本支出：</w:t>
      </w:r>
      <w:r>
        <w:rPr>
          <w:rFonts w:hint="eastAsia" w:ascii="Times New Roman" w:hAnsi="Times New Roman" w:eastAsia="仿宋_GB2312" w:cs="仿宋_GB2312"/>
          <w:sz w:val="32"/>
          <w:szCs w:val="32"/>
        </w:rPr>
        <w:t>指为保障机构正常运转、完成日常工作任务而发生的人员支出和公用支出。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5</w:t>
      </w:r>
      <w:r>
        <w:rPr>
          <w:rFonts w:hint="eastAsia" w:ascii="Times New Roman" w:hAnsi="Times New Roman" w:eastAsia="仿宋_GB2312" w:cs="仿宋_GB2312"/>
          <w:b/>
          <w:bCs/>
          <w:sz w:val="32"/>
          <w:szCs w:val="32"/>
        </w:rPr>
        <w:t>、项目支出：</w:t>
      </w:r>
      <w:r>
        <w:rPr>
          <w:rFonts w:hint="eastAsia" w:ascii="Times New Roman" w:hAnsi="Times New Roman" w:eastAsia="仿宋_GB2312" w:cs="仿宋_GB2312"/>
          <w:sz w:val="32"/>
          <w:szCs w:val="32"/>
        </w:rPr>
        <w:t>指在基本支出之外为完成特定行政任务和事业发展目标所发生的支出。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6</w:t>
      </w:r>
      <w:r>
        <w:rPr>
          <w:rFonts w:hint="eastAsia" w:ascii="Times New Roman" w:hAnsi="Times New Roman" w:eastAsia="仿宋_GB2312" w:cs="仿宋_GB2312"/>
          <w:b/>
          <w:bCs/>
          <w:sz w:val="32"/>
          <w:szCs w:val="32"/>
        </w:rPr>
        <w:t>、上缴上级支出：</w:t>
      </w:r>
      <w:r>
        <w:rPr>
          <w:rFonts w:hint="eastAsia" w:ascii="Times New Roman" w:hAnsi="Times New Roman" w:eastAsia="仿宋_GB2312" w:cs="仿宋_GB2312"/>
          <w:sz w:val="32"/>
          <w:szCs w:val="32"/>
        </w:rPr>
        <w:t>指下级单位上缴上级的支出。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7</w:t>
      </w:r>
      <w:r>
        <w:rPr>
          <w:rFonts w:hint="eastAsia" w:ascii="Times New Roman" w:hAnsi="Times New Roman" w:eastAsia="仿宋_GB2312" w:cs="仿宋_GB2312"/>
          <w:b/>
          <w:bCs/>
          <w:sz w:val="32"/>
          <w:szCs w:val="32"/>
        </w:rPr>
        <w:t>、</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三公</w:t>
      </w:r>
      <w:r>
        <w:rPr>
          <w:rFonts w:ascii="Times New Roman" w:hAnsi="Times New Roman" w:eastAsia="仿宋_GB2312" w:cs="Times New Roman"/>
          <w:b/>
          <w:bCs/>
          <w:sz w:val="32"/>
          <w:szCs w:val="32"/>
        </w:rPr>
        <w:t>”</w:t>
      </w:r>
      <w:r>
        <w:rPr>
          <w:rFonts w:hint="eastAsia" w:ascii="Times New Roman" w:hAnsi="Times New Roman" w:eastAsia="仿宋_GB2312" w:cs="仿宋_GB2312"/>
          <w:b/>
          <w:bCs/>
          <w:sz w:val="32"/>
          <w:szCs w:val="32"/>
        </w:rPr>
        <w:t>经费：</w:t>
      </w:r>
      <w:r>
        <w:rPr>
          <w:rFonts w:hint="eastAsia" w:ascii="Times New Roman" w:hAnsi="Times New Roman" w:eastAsia="仿宋_GB2312" w:cs="仿宋_GB2312"/>
          <w:sz w:val="32"/>
          <w:szCs w:val="32"/>
        </w:rPr>
        <w:t>纳入</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级财政预算管理的</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三公</w:t>
      </w:r>
      <w:r>
        <w:rPr>
          <w:rFonts w:ascii="Times New Roman" w:hAnsi="Times New Roman" w:eastAsia="仿宋_GB2312" w:cs="Times New Roman"/>
          <w:sz w:val="32"/>
          <w:szCs w:val="32"/>
        </w:rPr>
        <w:t>”</w:t>
      </w:r>
      <w:r>
        <w:rPr>
          <w:rFonts w:hint="eastAsia" w:ascii="Times New Roman" w:hAnsi="Times New Roman" w:eastAsia="仿宋_GB2312" w:cs="仿宋_GB2312"/>
          <w:sz w:val="32"/>
          <w:szCs w:val="32"/>
        </w:rPr>
        <w:t>经费，是指</w:t>
      </w:r>
      <w:r>
        <w:rPr>
          <w:rFonts w:hint="eastAsia" w:ascii="Times New Roman" w:hAnsi="Times New Roman" w:eastAsia="仿宋_GB2312" w:cs="仿宋_GB2312"/>
          <w:sz w:val="32"/>
          <w:szCs w:val="32"/>
          <w:lang w:eastAsia="zh-CN"/>
        </w:rPr>
        <w:t>区</w:t>
      </w:r>
      <w:r>
        <w:rPr>
          <w:rFonts w:hint="eastAsia" w:ascii="Times New Roman" w:hAnsi="Times New Roman" w:eastAsia="仿宋_GB2312" w:cs="仿宋_GB2312"/>
          <w:sz w:val="32"/>
          <w:szCs w:val="32"/>
        </w:rPr>
        <w:t>级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8</w:t>
      </w:r>
      <w:r>
        <w:rPr>
          <w:rFonts w:hint="eastAsia" w:ascii="Times New Roman" w:hAnsi="Times New Roman" w:eastAsia="仿宋_GB2312" w:cs="仿宋_GB2312"/>
          <w:b/>
          <w:bCs/>
          <w:sz w:val="32"/>
          <w:szCs w:val="32"/>
        </w:rPr>
        <w:t>、机关运行费：</w:t>
      </w:r>
      <w:r>
        <w:rPr>
          <w:rFonts w:hint="eastAsia" w:ascii="Times New Roman" w:hAnsi="Times New Roman" w:eastAsia="仿宋_GB2312" w:cs="仿宋_GB2312"/>
          <w:sz w:val="32"/>
          <w:szCs w:val="32"/>
        </w:rPr>
        <w:t>为保障全部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9</w:t>
      </w:r>
      <w:r>
        <w:rPr>
          <w:rFonts w:hint="eastAsia" w:ascii="Times New Roman" w:hAnsi="Times New Roman" w:eastAsia="仿宋_GB2312" w:cs="仿宋_GB2312"/>
          <w:b/>
          <w:bCs/>
          <w:sz w:val="32"/>
          <w:szCs w:val="32"/>
        </w:rPr>
        <w:t>、上年结转：</w:t>
      </w:r>
      <w:r>
        <w:rPr>
          <w:rFonts w:hint="eastAsia" w:ascii="Times New Roman" w:hAnsi="Times New Roman" w:eastAsia="仿宋_GB2312" w:cs="仿宋_GB2312"/>
          <w:sz w:val="32"/>
          <w:szCs w:val="32"/>
        </w:rPr>
        <w:t>指以前年度尚未完成、结转到本年仍按原规定用途继续使用的资金。</w:t>
      </w:r>
    </w:p>
    <w:p>
      <w:pPr>
        <w:tabs>
          <w:tab w:val="left" w:pos="11490"/>
        </w:tabs>
        <w:spacing w:line="584" w:lineRule="exact"/>
        <w:ind w:firstLine="643" w:firstLineChars="200"/>
        <w:rPr>
          <w:rFonts w:ascii="Times New Roman" w:hAnsi="Times New Roman" w:eastAsia="仿宋_GB2312" w:cs="Times New Roman"/>
          <w:sz w:val="32"/>
          <w:szCs w:val="32"/>
        </w:rPr>
      </w:pPr>
      <w:r>
        <w:rPr>
          <w:rFonts w:ascii="Times New Roman" w:hAnsi="Times New Roman" w:eastAsia="仿宋_GB2312" w:cs="Times New Roman"/>
          <w:b/>
          <w:bCs/>
          <w:sz w:val="32"/>
          <w:szCs w:val="32"/>
        </w:rPr>
        <w:t>10</w:t>
      </w:r>
      <w:r>
        <w:rPr>
          <w:rFonts w:hint="eastAsia" w:ascii="Times New Roman" w:hAnsi="Times New Roman" w:eastAsia="仿宋_GB2312" w:cs="仿宋_GB2312"/>
          <w:b/>
          <w:bCs/>
          <w:sz w:val="32"/>
          <w:szCs w:val="32"/>
        </w:rPr>
        <w:t>、事业单位经营支出：</w:t>
      </w:r>
      <w:r>
        <w:rPr>
          <w:rFonts w:hint="eastAsia" w:ascii="Times New Roman" w:hAnsi="Times New Roman" w:eastAsia="仿宋_GB2312" w:cs="仿宋_GB2312"/>
          <w:sz w:val="32"/>
          <w:szCs w:val="32"/>
        </w:rPr>
        <w:t>指事业单位在专业业务活动及其辅助活动之外开展非独立核算经营活动发生的支出。</w:t>
      </w:r>
    </w:p>
    <w:p>
      <w:pPr>
        <w:autoSpaceDE w:val="0"/>
        <w:autoSpaceDN w:val="0"/>
        <w:adjustRightInd w:val="0"/>
        <w:spacing w:line="584" w:lineRule="exact"/>
        <w:ind w:firstLine="640" w:firstLineChars="200"/>
        <w:jc w:val="left"/>
        <w:rPr>
          <w:rFonts w:ascii="Times New Roman" w:hAnsi="Times New Roman" w:eastAsia="黑体" w:cs="Times New Roman"/>
          <w:sz w:val="32"/>
          <w:szCs w:val="32"/>
        </w:rPr>
      </w:pPr>
      <w:r>
        <w:rPr>
          <w:rFonts w:hint="eastAsia" w:ascii="Times New Roman" w:hAnsi="Times New Roman" w:eastAsia="黑体" w:cs="黑体"/>
          <w:sz w:val="32"/>
          <w:szCs w:val="32"/>
        </w:rPr>
        <w:t>九、其他需要说明的事项</w:t>
      </w:r>
    </w:p>
    <w:p>
      <w:pPr>
        <w:spacing w:line="584" w:lineRule="exact"/>
        <w:ind w:firstLine="640" w:firstLineChars="200"/>
        <w:rPr>
          <w:rFonts w:ascii="Times New Roman" w:hAnsi="Times New Roman" w:eastAsia="仿宋_GB2312" w:cs="Times New Roman"/>
          <w:sz w:val="32"/>
          <w:szCs w:val="32"/>
        </w:rPr>
      </w:pPr>
      <w:r>
        <w:rPr>
          <w:rFonts w:hint="eastAsia" w:ascii="Times New Roman" w:hAnsi="Times New Roman" w:eastAsia="仿宋_GB2312" w:cs="仿宋_GB2312"/>
          <w:sz w:val="32"/>
          <w:szCs w:val="32"/>
        </w:rPr>
        <w:t>我部门无其他需要说明的事项。</w:t>
      </w:r>
    </w:p>
    <w:sectPr>
      <w:pgSz w:w="16838" w:h="11906" w:orient="landscape"/>
      <w:pgMar w:top="1800" w:right="1440" w:bottom="1800" w:left="144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方正书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0000000000000000000"/>
    <w:charset w:val="86"/>
    <w:family w:val="script"/>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jc w:val="center"/>
    </w:pPr>
    <w:r>
      <w:t>-</w:t>
    </w:r>
    <w:r>
      <w:fldChar w:fldCharType="begin"/>
    </w:r>
    <w:r>
      <w:instrText xml:space="preserve">PAGE   \* MERGEFORMAT</w:instrText>
    </w:r>
    <w:r>
      <w:fldChar w:fldCharType="separate"/>
    </w:r>
    <w:r>
      <w:rPr>
        <w:lang w:val="zh-CN"/>
      </w:rPr>
      <w:t>19</w:t>
    </w:r>
    <w:r>
      <w:rPr>
        <w:lang w:val="zh-CN"/>
      </w:rPr>
      <w:fldChar w:fldCharType="end"/>
    </w:r>
    <w:r>
      <w:t>-</w:t>
    </w:r>
  </w:p>
  <w:p>
    <w:pPr>
      <w:pStyle w:val="3"/>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1B6DB95"/>
    <w:multiLevelType w:val="singleLevel"/>
    <w:tmpl w:val="91B6DB9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embedSystemFonts/>
  <w:bordersDoNotSurroundHeader w:val="1"/>
  <w:bordersDoNotSurroundFooter w:val="1"/>
  <w:documentProtection w:enforcement="0"/>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ulTrailSpace/>
    <w:doNotExpandShiftReturn/>
    <w:adjustLineHeightInTable/>
    <w:useFELayout/>
    <w:underlineTabInNumLis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47CC"/>
    <w:rsid w:val="001B4B4D"/>
    <w:rsid w:val="00275996"/>
    <w:rsid w:val="00301F9F"/>
    <w:rsid w:val="003100F1"/>
    <w:rsid w:val="0034316D"/>
    <w:rsid w:val="00356683"/>
    <w:rsid w:val="004A54AA"/>
    <w:rsid w:val="004A68A8"/>
    <w:rsid w:val="004F51D9"/>
    <w:rsid w:val="0054437F"/>
    <w:rsid w:val="006603F3"/>
    <w:rsid w:val="00807A76"/>
    <w:rsid w:val="0089723B"/>
    <w:rsid w:val="008F0EB4"/>
    <w:rsid w:val="00967637"/>
    <w:rsid w:val="009C1FD8"/>
    <w:rsid w:val="009F1729"/>
    <w:rsid w:val="00A00463"/>
    <w:rsid w:val="00A218C6"/>
    <w:rsid w:val="00A53811"/>
    <w:rsid w:val="00A62809"/>
    <w:rsid w:val="00B17B32"/>
    <w:rsid w:val="00B80935"/>
    <w:rsid w:val="00C77425"/>
    <w:rsid w:val="00D347CC"/>
    <w:rsid w:val="00D773BD"/>
    <w:rsid w:val="00E27CE3"/>
    <w:rsid w:val="00E32C9D"/>
    <w:rsid w:val="00E968A5"/>
    <w:rsid w:val="00EC795A"/>
    <w:rsid w:val="00F86626"/>
    <w:rsid w:val="01D96C49"/>
    <w:rsid w:val="18A7644D"/>
    <w:rsid w:val="1A8325FC"/>
    <w:rsid w:val="1D8822D5"/>
    <w:rsid w:val="2F8F5A25"/>
    <w:rsid w:val="32D87BB6"/>
    <w:rsid w:val="3C882F35"/>
    <w:rsid w:val="5C491F04"/>
    <w:rsid w:val="69C4406E"/>
    <w:rsid w:val="6A5022EE"/>
    <w:rsid w:val="6BBA0183"/>
    <w:rsid w:val="7CC957EB"/>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99" w:name="toc 1"/>
    <w:lsdException w:qFormat="1" w:unhideWhenUsed="0" w:uiPriority="99" w:name="toc 2"/>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qFormat="1" w:unhideWhenUsed="0"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qFormat="1" w:unhideWhenUsed="0"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nhideWhenUsed="0" w:uiPriority="99"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Calibri"/>
      <w:kern w:val="2"/>
      <w:sz w:val="21"/>
      <w:szCs w:val="21"/>
      <w:lang w:val="en-US" w:eastAsia="zh-CN" w:bidi="ar-SA"/>
    </w:rPr>
  </w:style>
  <w:style w:type="character" w:default="1" w:styleId="9">
    <w:name w:val="Default Paragraph Font"/>
    <w:semiHidden/>
    <w:qFormat/>
    <w:uiPriority w:val="99"/>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3"/>
    <w:semiHidden/>
    <w:qFormat/>
    <w:uiPriority w:val="99"/>
    <w:rPr>
      <w:sz w:val="18"/>
      <w:szCs w:val="18"/>
    </w:rPr>
  </w:style>
  <w:style w:type="paragraph" w:styleId="3">
    <w:name w:val="footer"/>
    <w:basedOn w:val="1"/>
    <w:link w:val="12"/>
    <w:qFormat/>
    <w:uiPriority w:val="99"/>
    <w:pPr>
      <w:tabs>
        <w:tab w:val="center" w:pos="4153"/>
        <w:tab w:val="right" w:pos="8306"/>
      </w:tabs>
      <w:snapToGrid w:val="0"/>
      <w:jc w:val="left"/>
    </w:pPr>
    <w:rPr>
      <w:rFonts w:ascii="Times New Roman" w:hAnsi="Times New Roman" w:cs="Times New Roman"/>
      <w:sz w:val="18"/>
      <w:szCs w:val="18"/>
    </w:rPr>
  </w:style>
  <w:style w:type="paragraph" w:styleId="4">
    <w:name w:val="header"/>
    <w:basedOn w:val="1"/>
    <w:link w:val="11"/>
    <w:qFormat/>
    <w:uiPriority w:val="99"/>
    <w:pPr>
      <w:pBdr>
        <w:bottom w:val="single" w:color="auto" w:sz="6" w:space="1"/>
      </w:pBdr>
      <w:tabs>
        <w:tab w:val="center" w:pos="4153"/>
        <w:tab w:val="right" w:pos="8306"/>
      </w:tabs>
      <w:snapToGrid w:val="0"/>
      <w:jc w:val="center"/>
    </w:pPr>
    <w:rPr>
      <w:rFonts w:ascii="Times New Roman" w:hAnsi="Times New Roman" w:cs="Times New Roman"/>
      <w:sz w:val="18"/>
      <w:szCs w:val="18"/>
    </w:rPr>
  </w:style>
  <w:style w:type="paragraph" w:styleId="5">
    <w:name w:val="toc 1"/>
    <w:basedOn w:val="1"/>
    <w:next w:val="1"/>
    <w:semiHidden/>
    <w:qFormat/>
    <w:uiPriority w:val="99"/>
    <w:rPr>
      <w:rFonts w:ascii="Times New Roman" w:hAnsi="Times New Roman" w:cs="Times New Roman"/>
    </w:rPr>
  </w:style>
  <w:style w:type="paragraph" w:styleId="6">
    <w:name w:val="footnote text"/>
    <w:basedOn w:val="1"/>
    <w:link w:val="15"/>
    <w:semiHidden/>
    <w:qFormat/>
    <w:uiPriority w:val="99"/>
    <w:pPr>
      <w:snapToGrid w:val="0"/>
      <w:jc w:val="left"/>
    </w:pPr>
    <w:rPr>
      <w:sz w:val="18"/>
      <w:szCs w:val="18"/>
    </w:rPr>
  </w:style>
  <w:style w:type="paragraph" w:styleId="7">
    <w:name w:val="toc 2"/>
    <w:basedOn w:val="1"/>
    <w:next w:val="1"/>
    <w:semiHidden/>
    <w:qFormat/>
    <w:uiPriority w:val="99"/>
    <w:pPr>
      <w:ind w:left="200" w:leftChars="200"/>
    </w:pPr>
    <w:rPr>
      <w:rFonts w:ascii="Times New Roman" w:hAnsi="Times New Roman" w:cs="Times New Roman"/>
    </w:rPr>
  </w:style>
  <w:style w:type="character" w:styleId="10">
    <w:name w:val="footnote reference"/>
    <w:basedOn w:val="9"/>
    <w:semiHidden/>
    <w:qFormat/>
    <w:uiPriority w:val="99"/>
    <w:rPr>
      <w:vertAlign w:val="superscript"/>
    </w:rPr>
  </w:style>
  <w:style w:type="character" w:customStyle="1" w:styleId="11">
    <w:name w:val="Header Char"/>
    <w:basedOn w:val="9"/>
    <w:link w:val="4"/>
    <w:semiHidden/>
    <w:qFormat/>
    <w:uiPriority w:val="99"/>
    <w:rPr>
      <w:rFonts w:ascii="Calibri" w:hAnsi="Calibri" w:cs="Calibri"/>
      <w:sz w:val="18"/>
      <w:szCs w:val="18"/>
    </w:rPr>
  </w:style>
  <w:style w:type="character" w:customStyle="1" w:styleId="12">
    <w:name w:val="Footer Char"/>
    <w:basedOn w:val="9"/>
    <w:link w:val="3"/>
    <w:semiHidden/>
    <w:qFormat/>
    <w:uiPriority w:val="99"/>
    <w:rPr>
      <w:rFonts w:ascii="Calibri" w:hAnsi="Calibri" w:cs="Calibri"/>
      <w:sz w:val="18"/>
      <w:szCs w:val="18"/>
    </w:rPr>
  </w:style>
  <w:style w:type="character" w:customStyle="1" w:styleId="13">
    <w:name w:val="Balloon Text Char"/>
    <w:basedOn w:val="9"/>
    <w:link w:val="2"/>
    <w:semiHidden/>
    <w:qFormat/>
    <w:uiPriority w:val="99"/>
    <w:rPr>
      <w:rFonts w:ascii="Calibri" w:hAnsi="Calibri" w:cs="Calibri"/>
      <w:sz w:val="0"/>
      <w:szCs w:val="0"/>
    </w:rPr>
  </w:style>
  <w:style w:type="paragraph" w:customStyle="1" w:styleId="14">
    <w:name w:val="Default"/>
    <w:qFormat/>
    <w:uiPriority w:val="99"/>
    <w:pPr>
      <w:widowControl w:val="0"/>
      <w:autoSpaceDE w:val="0"/>
      <w:autoSpaceDN w:val="0"/>
      <w:adjustRightInd w:val="0"/>
    </w:pPr>
    <w:rPr>
      <w:rFonts w:ascii="Times New Roman" w:hAnsi="Times New Roman" w:eastAsia="宋体" w:cs="Times New Roman"/>
      <w:color w:val="000000"/>
      <w:kern w:val="0"/>
      <w:sz w:val="24"/>
      <w:szCs w:val="24"/>
      <w:lang w:val="en-US" w:eastAsia="zh-CN" w:bidi="ar-SA"/>
    </w:rPr>
  </w:style>
  <w:style w:type="character" w:customStyle="1" w:styleId="15">
    <w:name w:val="Footnote Text Char"/>
    <w:basedOn w:val="9"/>
    <w:link w:val="6"/>
    <w:semiHidden/>
    <w:qFormat/>
    <w:uiPriority w:val="99"/>
    <w:rPr>
      <w:rFonts w:ascii="Calibri" w:hAnsi="Calibri" w:cs="Calibri"/>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Normal_Wordconv.dotm</Template>
  <Company>Microsoft</Company>
  <Pages>19</Pages>
  <Words>1830</Words>
  <Characters>10437</Characters>
  <Lines>0</Lines>
  <Paragraphs>0</Paragraphs>
  <TotalTime>1</TotalTime>
  <ScaleCrop>false</ScaleCrop>
  <LinksUpToDate>false</LinksUpToDate>
  <CharactersWithSpaces>0</CharactersWithSpaces>
  <Application>WPS Office_11.8.2.10972_F1E327BC-269C-435d-A152-05C5408002CA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2021-03-24T08:51:00Z</dcterms:created>
  <dc:creator>guest</dc:creator>
  <cp:lastModifiedBy>111</cp:lastModifiedBy>
  <cp:lastPrinted>2018-01-30T06:12:00Z</cp:lastPrinted>
  <dcterms:modified xsi:type="dcterms:W3CDTF">2024-07-22T00:58:20Z</dcterms:modified>
  <dc:title>廊坊市广阳区北旺乡人民政府2021年部门预算信息公开情况说明</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2052-11.8.2.10972</vt:lpwstr>
  </property>
  <property fmtid="{D5CDD505-2E9C-101B-9397-08002B2CF9AE}" pid="3" name="ICV">
    <vt:lpwstr>1573058F8B994D9BACCF5E52C0F28AFB</vt:lpwstr>
  </property>
</Properties>
</file>