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w:t>
      </w:r>
      <w:r>
        <w:rPr>
          <w:rFonts w:hint="eastAsia" w:ascii="Times New Roman" w:hAnsi="Times New Roman" w:eastAsia="方正小标宋简体"/>
          <w:sz w:val="44"/>
          <w:szCs w:val="44"/>
        </w:rPr>
        <w:t>万庄镇人民政府</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按照《中华人民共和国预算法》、《中华人民共和国预算法实施条例》、《地方预决算公开操作规程》和《河北省省级预算公开办法》规定，现将廊坊市广阳区万庄镇人民政府</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bookmarkStart w:id="3" w:name="_GoBack"/>
      <w:bookmarkEnd w:id="3"/>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napToGrid w:val="0"/>
        <w:spacing w:line="520" w:lineRule="exact"/>
        <w:ind w:left="315" w:leftChars="150" w:firstLine="534" w:firstLineChars="167"/>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宣传贯彻执行党的路线方针政策和党中央、上级党组织及镇党员代表大会（党员大会）的决议；贯彻执行法律、法规、规章和上级人民代表大会及其常务委员会决议及上级政府的决定、命令，执行本级人民代表大会的决议。</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）、讨论和决定镇经济建设、政治建设、文化建设、社会建设、生态文明建设和党的建设以及乡村振兴中的重大问题。</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）、组织召开本级人民代表大会，充分行使重大事项决定权、监督权和任免权，做好人大代表工作，联系选民、反映群众意见和要求。</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执行本行政区域内的经济和社会发展计划、预算，管理本行政区域内的经济、教育、科学、文化、卫生健康、体育事业和财政、统计、民政、司法行政等行政工作；落实本行政区域内发展规划、专项规划、区域规划、国土空间规划。</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镇党委领导本镇政权机关、群团组织和其他各类组织，加强指导和规范，支持和保证这些机关和组织依照国家法律法规以及各自章程履行职责；坚持党管武装的根本原则和制度，协调各方力量，对镇人民武装工作实行统一领导。</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6</w:t>
      </w:r>
      <w:r>
        <w:rPr>
          <w:rFonts w:hint="eastAsia" w:ascii="仿宋_GB2312" w:eastAsia="仿宋_GB2312"/>
          <w:sz w:val="32"/>
          <w:szCs w:val="32"/>
        </w:rPr>
        <w:t>）、加强镇党委自身建设和村党组织建设，以及其他隶属镇党委的党组织建设，抓好发展党员工作，加强党员队伍建设，维护和执行党的纪律，监督党员干部和其他任何工作人员严格遵守国家法律法规。</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）、按照干部管理权限，负责对干部的教育、培训、选拔、考核和监督工作；协助管理上级有关部门驻镇单位的干部。做好人才服务工作。</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领导本镇的基础治理，加强社会主义民主法治建设和精神文明建设，加强社会治安综合治理，做好应急管理、生态环保、乡村振兴、民生保障、脱贫致富、民族宗教、防范邪教等工作；承担民兵预备役、征兵、退役军人服务、拥军优属等工作。</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保护社会主义的全民所有的财产和劳动群众集体所有的财产，保护公民私人所有的合法财产，维护社会秩序，保障公民的人民权利、民主权利和其他权利；保护各种经济组织的合法权益；保障各少数民族的合法权利和利益，尊重少数民族的风俗习惯；保障宪法和法律赋予妇女的男女平等、同工同酬和婚姻自由等各项权利。</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10</w:t>
      </w:r>
      <w:r>
        <w:rPr>
          <w:rFonts w:hint="eastAsia" w:ascii="仿宋_GB2312" w:eastAsia="仿宋_GB2312"/>
          <w:sz w:val="32"/>
          <w:szCs w:val="32"/>
        </w:rPr>
        <w:t>）、指导居民委员会等</w:t>
      </w:r>
      <w:r>
        <w:rPr>
          <w:rFonts w:hint="eastAsia" w:ascii="仿宋_GB2312" w:eastAsia="仿宋_GB2312"/>
          <w:sz w:val="32"/>
          <w:szCs w:val="32"/>
          <w:lang w:eastAsia="zh-CN"/>
        </w:rPr>
        <w:t>基层群众</w:t>
      </w:r>
      <w:r>
        <w:rPr>
          <w:rFonts w:hint="eastAsia" w:ascii="仿宋_GB2312" w:eastAsia="仿宋_GB2312"/>
          <w:sz w:val="32"/>
          <w:szCs w:val="32"/>
        </w:rPr>
        <w:t>行自治组织建设，健全自治平台。组织动员社区居民、单位和社会力量参与社区治理，整合辖区内社会力量，形成社区共治合力，为社区发展服务。对社区工作者队伍进行教育管理。承担物业管理的监督指导工作。</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11</w:t>
      </w:r>
      <w:r>
        <w:rPr>
          <w:rFonts w:hint="eastAsia" w:ascii="仿宋_GB2312" w:eastAsia="仿宋_GB2312"/>
          <w:sz w:val="32"/>
          <w:szCs w:val="32"/>
        </w:rPr>
        <w:t>）、承办上级党委、人大、政府交办的其他事项。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廊坊市广阳区万庄镇人民政府</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应急管理办公室</w:t>
            </w:r>
          </w:p>
        </w:tc>
        <w:tc>
          <w:tcPr>
            <w:tcW w:w="1134"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p>
        </w:tc>
        <w:tc>
          <w:tcPr>
            <w:tcW w:w="2902"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自然资源和生态环境办公室</w:t>
            </w:r>
          </w:p>
        </w:tc>
        <w:tc>
          <w:tcPr>
            <w:tcW w:w="1134"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p>
        </w:tc>
        <w:tc>
          <w:tcPr>
            <w:tcW w:w="2902"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综合文化服务站</w:t>
            </w:r>
          </w:p>
        </w:tc>
        <w:tc>
          <w:tcPr>
            <w:tcW w:w="1134"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行政</w:t>
            </w:r>
          </w:p>
        </w:tc>
        <w:tc>
          <w:tcPr>
            <w:tcW w:w="1276" w:type="dxa"/>
            <w:vAlign w:val="center"/>
          </w:tcPr>
          <w:p>
            <w:pPr>
              <w:spacing w:line="584" w:lineRule="exact"/>
              <w:jc w:val="center"/>
              <w:rPr>
                <w:rFonts w:ascii="Times New Roman" w:hAnsi="Times New Roman" w:eastAsia="仿宋_GB2312" w:cs="Times New Roman"/>
                <w:b/>
              </w:rPr>
            </w:pPr>
          </w:p>
        </w:tc>
        <w:tc>
          <w:tcPr>
            <w:tcW w:w="2902"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万庄镇中心小学</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vAlign w:val="center"/>
          </w:tcPr>
          <w:p>
            <w:pPr>
              <w:spacing w:line="584" w:lineRule="exact"/>
              <w:jc w:val="center"/>
              <w:rPr>
                <w:rFonts w:ascii="Times New Roman" w:hAnsi="Times New Roman" w:eastAsia="仿宋_GB2312" w:cs="Times New Roman"/>
                <w:b/>
              </w:rPr>
            </w:pPr>
          </w:p>
        </w:tc>
        <w:tc>
          <w:tcPr>
            <w:tcW w:w="2902"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万庄镇其他教育</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vAlign w:val="center"/>
          </w:tcPr>
          <w:p>
            <w:pPr>
              <w:spacing w:line="584" w:lineRule="exact"/>
              <w:jc w:val="center"/>
              <w:rPr>
                <w:rFonts w:ascii="Times New Roman" w:hAnsi="Times New Roman" w:eastAsia="仿宋_GB2312" w:cs="Times New Roman"/>
                <w:b/>
              </w:rPr>
            </w:pPr>
          </w:p>
        </w:tc>
        <w:tc>
          <w:tcPr>
            <w:tcW w:w="2902" w:type="dxa"/>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财政拨款（事业）</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按照预算管理有关规定，目前我区部门预算的编制实行综合预算制度，即全部收入和支出都反映在预算中。廊坊市广阳区万庄镇人民政府机关及所属事业单位的收支包含在部门预算中。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6663.88</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6663.88</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收支预算总表支出栏、基本支出表、项目支出表按经济分类和支出功能分类科目编制，反映廊坊市广阳区万庄镇人民政府年度部门预算中支出预算的总体情况。</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6663.88</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6157.86</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5989.75</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168.11</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506.02</w:t>
      </w:r>
      <w:r>
        <w:rPr>
          <w:rFonts w:hint="eastAsia" w:ascii="Times New Roman" w:hAnsi="Times New Roman" w:eastAsia="仿宋_GB2312" w:cs="Times New Roman"/>
          <w:sz w:val="32"/>
          <w:szCs w:val="32"/>
        </w:rPr>
        <w:t>万元，包括本级支出，主要为社区招聘人员经费、一事一议项目资金等。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6663.88</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年预算减少</w:t>
      </w:r>
      <w:r>
        <w:rPr>
          <w:rFonts w:ascii="Times New Roman" w:hAnsi="Times New Roman" w:eastAsia="仿宋_GB2312" w:cs="Times New Roman"/>
          <w:sz w:val="32"/>
          <w:szCs w:val="32"/>
        </w:rPr>
        <w:t>514.2</w:t>
      </w:r>
      <w:r>
        <w:rPr>
          <w:rFonts w:hint="eastAsia" w:ascii="Times New Roman" w:hAnsi="Times New Roman" w:eastAsia="仿宋_GB2312" w:cs="Times New Roman"/>
          <w:sz w:val="32"/>
          <w:szCs w:val="32"/>
        </w:rPr>
        <w:t>万元，其中：基本支出增加</w:t>
      </w:r>
      <w:r>
        <w:rPr>
          <w:rFonts w:ascii="Times New Roman" w:hAnsi="Times New Roman" w:eastAsia="仿宋_GB2312" w:cs="Times New Roman"/>
          <w:sz w:val="32"/>
          <w:szCs w:val="32"/>
        </w:rPr>
        <w:t>52.47</w:t>
      </w:r>
      <w:r>
        <w:rPr>
          <w:rFonts w:hint="eastAsia" w:ascii="Times New Roman" w:hAnsi="Times New Roman" w:eastAsia="仿宋_GB2312" w:cs="Times New Roman"/>
          <w:sz w:val="32"/>
          <w:szCs w:val="32"/>
        </w:rPr>
        <w:t>万元，主要为</w:t>
      </w:r>
      <w:r>
        <w:rPr>
          <w:rFonts w:hint="eastAsia" w:ascii="Times New Roman" w:hAnsi="Times New Roman" w:eastAsia="仿宋_GB2312"/>
          <w:sz w:val="32"/>
          <w:szCs w:val="32"/>
        </w:rPr>
        <w:t>增加人员经费</w:t>
      </w:r>
      <w:r>
        <w:rPr>
          <w:rFonts w:hint="eastAsia" w:ascii="Times New Roman" w:hAnsi="Times New Roman" w:eastAsia="仿宋_GB2312" w:cs="Times New Roman"/>
          <w:sz w:val="32"/>
          <w:szCs w:val="32"/>
        </w:rPr>
        <w:t>支出；项目支出减少</w:t>
      </w:r>
      <w:r>
        <w:rPr>
          <w:rFonts w:ascii="Times New Roman" w:hAnsi="Times New Roman" w:eastAsia="仿宋_GB2312" w:cs="Times New Roman"/>
          <w:sz w:val="32"/>
          <w:szCs w:val="32"/>
        </w:rPr>
        <w:t>566.67</w:t>
      </w:r>
      <w:r>
        <w:rPr>
          <w:rFonts w:hint="eastAsia" w:ascii="Times New Roman" w:hAnsi="Times New Roman" w:eastAsia="仿宋_GB2312" w:cs="Times New Roman"/>
          <w:sz w:val="32"/>
          <w:szCs w:val="32"/>
        </w:rPr>
        <w:t>万元，主要为减少村级组织运转项目支出。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年，我单位机关运行经费共计安排</w:t>
      </w:r>
      <w:r>
        <w:rPr>
          <w:rFonts w:ascii="Times New Roman" w:hAnsi="Times New Roman" w:eastAsia="仿宋_GB2312" w:cs="Times New Roman"/>
          <w:sz w:val="32"/>
          <w:szCs w:val="32"/>
        </w:rPr>
        <w:t>168.1</w:t>
      </w:r>
      <w:r>
        <w:rPr>
          <w:rFonts w:hint="eastAsia" w:ascii="Times New Roman" w:hAnsi="Times New Roman" w:eastAsia="仿宋_GB2312" w:cs="Times New Roman"/>
          <w:sz w:val="32"/>
          <w:szCs w:val="32"/>
        </w:rPr>
        <w:t>1万元，主要用于万庄镇人民政府机关及所属事业单位办公区的日常维修、办公用房水电费、办公用房取暖费、办公用房物业管理费等日常运行支出。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年，我部门财政拨款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4.38</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4.38</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4.38</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left="210" w:leftChars="100" w:firstLine="640" w:firstLineChars="200"/>
        <w:jc w:val="left"/>
        <w:rPr>
          <w:rFonts w:ascii="仿宋_GB2312" w:hAnsi="Times New Roman" w:eastAsia="仿宋_GB2312"/>
          <w:sz w:val="32"/>
          <w:szCs w:val="32"/>
        </w:rPr>
      </w:pPr>
      <w:r>
        <w:rPr>
          <w:rFonts w:hint="eastAsia" w:ascii="仿宋_GB2312" w:hAnsi="Times New Roman" w:eastAsia="仿宋_GB2312"/>
          <w:sz w:val="32"/>
          <w:szCs w:val="32"/>
        </w:rPr>
        <w:t>以习近平新时代中国特色社会主义思想为指导，全面贯彻落实党的十九届二中、三中、四中全会会议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ascii="仿宋_GB2312" w:hAnsi="宋体" w:eastAsia="仿宋_GB2312" w:cs="宋体"/>
          <w:kern w:val="0"/>
          <w:sz w:val="32"/>
          <w:szCs w:val="32"/>
        </w:rPr>
        <w:t>1</w:t>
      </w:r>
      <w:r>
        <w:rPr>
          <w:rFonts w:hint="eastAsia" w:ascii="仿宋_GB2312" w:hAnsi="宋体" w:eastAsia="仿宋_GB2312" w:cs="宋体"/>
          <w:kern w:val="0"/>
          <w:sz w:val="32"/>
          <w:szCs w:val="32"/>
        </w:rPr>
        <w:t>、持续提升政务服务与管理工作水平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绩效指标：公文及时起草或办理，公文起草及办理的质量和效率满足《机关工作标准化流程》要求，拟办意见采纳率</w:t>
      </w:r>
      <w:r>
        <w:rPr>
          <w:rFonts w:ascii="仿宋_GB2312" w:hAnsi="Times New Roman" w:eastAsia="仿宋_GB2312" w:cs="Times New Roman"/>
          <w:kern w:val="0"/>
          <w:sz w:val="32"/>
          <w:szCs w:val="32"/>
        </w:rPr>
        <w:t>90%</w:t>
      </w:r>
      <w:r>
        <w:rPr>
          <w:rFonts w:hint="eastAsia" w:ascii="仿宋_GB2312" w:hAnsi="宋体" w:eastAsia="仿宋_GB2312" w:cs="宋体"/>
          <w:kern w:val="0"/>
          <w:sz w:val="32"/>
          <w:szCs w:val="32"/>
        </w:rPr>
        <w:t>以上；会议计划</w:t>
      </w:r>
      <w:r>
        <w:rPr>
          <w:rFonts w:ascii="仿宋_GB2312" w:hAnsi="Times New Roman" w:eastAsia="仿宋_GB2312" w:cs="Times New Roman"/>
          <w:kern w:val="0"/>
          <w:sz w:val="32"/>
          <w:szCs w:val="32"/>
        </w:rPr>
        <w:t>100%</w:t>
      </w:r>
      <w:r>
        <w:rPr>
          <w:rFonts w:hint="eastAsia" w:ascii="仿宋_GB2312" w:hAnsi="宋体" w:eastAsia="仿宋_GB2312" w:cs="宋体"/>
          <w:kern w:val="0"/>
          <w:sz w:val="32"/>
          <w:szCs w:val="32"/>
        </w:rPr>
        <w:t>执行，大型会议圆满完成率达到</w:t>
      </w:r>
      <w:r>
        <w:rPr>
          <w:rFonts w:ascii="仿宋_GB2312" w:hAnsi="Times New Roman" w:eastAsia="仿宋_GB2312" w:cs="Times New Roman"/>
          <w:kern w:val="0"/>
          <w:sz w:val="32"/>
          <w:szCs w:val="32"/>
        </w:rPr>
        <w:t>100%</w:t>
      </w:r>
      <w:r>
        <w:rPr>
          <w:rFonts w:hint="eastAsia" w:ascii="仿宋_GB2312" w:hAnsi="宋体" w:eastAsia="仿宋_GB2312" w:cs="宋体"/>
          <w:kern w:val="0"/>
          <w:sz w:val="32"/>
          <w:szCs w:val="32"/>
        </w:rPr>
        <w:t>；政务公开及村务公开的完成率达到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2</w:t>
      </w:r>
      <w:r>
        <w:rPr>
          <w:rFonts w:hint="eastAsia" w:ascii="仿宋_GB2312" w:hAnsi="宋体" w:eastAsia="仿宋_GB2312" w:cs="宋体"/>
          <w:kern w:val="0"/>
          <w:sz w:val="32"/>
          <w:szCs w:val="32"/>
        </w:rPr>
        <w:t>、持续提升政府电子政务管理水平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绩效指标：、政府电子政务网络对各个应用信息系统提供支撑的满足情况达到</w:t>
      </w:r>
      <w:r>
        <w:rPr>
          <w:rFonts w:ascii="仿宋_GB2312" w:hAnsi="Times New Roman" w:eastAsia="仿宋_GB2312" w:cs="Times New Roman"/>
          <w:kern w:val="0"/>
          <w:sz w:val="32"/>
          <w:szCs w:val="32"/>
        </w:rPr>
        <w:t>99%</w:t>
      </w:r>
      <w:r>
        <w:rPr>
          <w:rFonts w:hint="eastAsia" w:ascii="仿宋_GB2312" w:hAnsi="宋体" w:eastAsia="仿宋_GB2312" w:cs="宋体"/>
          <w:kern w:val="0"/>
          <w:sz w:val="32"/>
          <w:szCs w:val="32"/>
        </w:rPr>
        <w:t>以上；网络可用性：网络具有高可靠性，保证应用系统的正常运行，年电路可用率达到</w:t>
      </w:r>
      <w:r>
        <w:rPr>
          <w:rFonts w:ascii="仿宋_GB2312" w:hAnsi="Times New Roman" w:eastAsia="仿宋_GB2312" w:cs="Times New Roman"/>
          <w:kern w:val="0"/>
          <w:sz w:val="32"/>
          <w:szCs w:val="32"/>
        </w:rPr>
        <w:t>99%</w:t>
      </w:r>
      <w:r>
        <w:rPr>
          <w:rFonts w:hint="eastAsia" w:ascii="仿宋_GB2312" w:hAnsi="宋体" w:eastAsia="仿宋_GB2312" w:cs="宋体"/>
          <w:kern w:val="0"/>
          <w:sz w:val="32"/>
          <w:szCs w:val="32"/>
        </w:rPr>
        <w:t>；做好政府门户网站日常管理，保障门户网站符合国办相关要求，确保正常运行；异常报告及时率、异常漏报率符合标准，确保网络安全、可靠和稳定运行；用户满意度高于</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3</w:t>
      </w:r>
      <w:r>
        <w:rPr>
          <w:rFonts w:hint="eastAsia" w:ascii="仿宋_GB2312" w:hAnsi="宋体" w:eastAsia="仿宋_GB2312" w:cs="宋体"/>
          <w:kern w:val="0"/>
          <w:sz w:val="32"/>
          <w:szCs w:val="32"/>
        </w:rPr>
        <w:t>、提升应急管理水平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绩效目标</w:t>
      </w:r>
      <w:r>
        <w:rPr>
          <w:rFonts w:ascii="仿宋_GB2312" w:hAnsi="Times New Roman" w:eastAsia="仿宋_GB2312" w:cs="Times New Roman"/>
          <w:kern w:val="0"/>
          <w:sz w:val="32"/>
          <w:szCs w:val="32"/>
        </w:rPr>
        <w:t>:</w:t>
      </w:r>
      <w:r>
        <w:rPr>
          <w:rFonts w:hint="eastAsia" w:ascii="仿宋_GB2312" w:hAnsi="宋体" w:eastAsia="仿宋_GB2312" w:cs="宋体"/>
          <w:kern w:val="0"/>
          <w:sz w:val="32"/>
          <w:szCs w:val="32"/>
        </w:rPr>
        <w:t>建设运行维护好镇政府应急平台，实现各种实用功能，有效保证镇政府日常应急值守和突发事件应对处置工作；进一步加强应急宣传工作，拓宽宣教渠道、扩大受众面、增强工作实效；充分发做好指导、协调各部门应急工作，确保信息报送及时畅通，不出差错和问题。</w:t>
      </w:r>
      <w:r>
        <w:rPr>
          <w:rFonts w:ascii="仿宋_GB2312" w:hAnsi="Times New Roman" w:eastAsia="仿宋_GB2312" w:cs="Times New Roman"/>
          <w:kern w:val="0"/>
          <w:sz w:val="32"/>
          <w:szCs w:val="32"/>
        </w:rPr>
        <w:t xml:space="preserve">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绩效指标：保障日常应急值守和突发事件及时处理，处理率达到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；做好应急宣传工作，宣传覆盖面积达到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4</w:t>
      </w:r>
      <w:r>
        <w:rPr>
          <w:rFonts w:hint="eastAsia" w:ascii="仿宋_GB2312" w:hAnsi="宋体" w:eastAsia="仿宋_GB2312" w:cs="宋体"/>
          <w:kern w:val="0"/>
          <w:sz w:val="32"/>
          <w:szCs w:val="32"/>
        </w:rPr>
        <w:t>、持续提升综合业务事务管理水平</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Times New Roman" w:eastAsia="仿宋_GB2312" w:cs="Times New Roman"/>
          <w:kern w:val="0"/>
          <w:sz w:val="32"/>
          <w:szCs w:val="32"/>
        </w:rPr>
      </w:pPr>
      <w:r>
        <w:rPr>
          <w:rFonts w:hint="eastAsia" w:ascii="仿宋_GB2312" w:hAnsi="宋体" w:eastAsia="仿宋_GB2312" w:cs="宋体"/>
          <w:kern w:val="0"/>
          <w:sz w:val="32"/>
          <w:szCs w:val="32"/>
        </w:rPr>
        <w:t>绩效目标：做好辖区内散乱污、饭店油烟、</w:t>
      </w:r>
      <w:r>
        <w:rPr>
          <w:rFonts w:ascii="仿宋_GB2312" w:hAnsi="Times New Roman" w:eastAsia="仿宋_GB2312" w:cs="Times New Roman"/>
          <w:kern w:val="0"/>
          <w:sz w:val="32"/>
          <w:szCs w:val="32"/>
        </w:rPr>
        <w:t>VOC</w:t>
      </w:r>
      <w:r>
        <w:rPr>
          <w:rFonts w:hint="eastAsia" w:ascii="仿宋_GB2312" w:hAnsi="宋体" w:eastAsia="仿宋_GB2312" w:cs="宋体"/>
          <w:kern w:val="0"/>
          <w:sz w:val="32"/>
          <w:szCs w:val="32"/>
        </w:rPr>
        <w:t>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绩效指标：做好散乱污等治理工作，改善辖区内环境，优良天气增加；加强社区建设，更好为社区服务，使服务群众满意，满意度达到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及以上；做好村级公益事业建设一事一议财政奖补、扶持村集体经济试点等工作，使得村街环境等得到改善，群众满意度达到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及以上；做好村街党员发展、困难单元慰问，基层党组织建设，党组织活动开展及党员教育活动，使得党员素质得到提高，更好的为村级服务，群众满意度达到</w:t>
      </w:r>
      <w:r>
        <w:rPr>
          <w:rFonts w:ascii="仿宋_GB2312" w:hAnsi="Times New Roman" w:eastAsia="仿宋_GB2312" w:cs="Times New Roman"/>
          <w:kern w:val="0"/>
          <w:sz w:val="32"/>
          <w:szCs w:val="32"/>
        </w:rPr>
        <w:t>95%</w:t>
      </w:r>
      <w:r>
        <w:rPr>
          <w:rFonts w:hint="eastAsia" w:ascii="仿宋_GB2312" w:hAnsi="宋体" w:eastAsia="仿宋_GB2312" w:cs="宋体"/>
          <w:kern w:val="0"/>
          <w:sz w:val="32"/>
          <w:szCs w:val="32"/>
        </w:rPr>
        <w:t>及以上。</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line="500" w:lineRule="exact"/>
        <w:ind w:firstLine="560"/>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ind w:firstLine="645"/>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强化预算执行。将年度工作目标任务细化分解，落实到岗、落实到人。科学制定预算使用计划，加快履行政府采购程序，督促相关科室加快项目执行，根据需要召开调度会，及时协调解决工作中存在的困难和问题。</w:t>
      </w:r>
    </w:p>
    <w:p>
      <w:pPr>
        <w:ind w:firstLine="64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、加强内控建设。建立健全内部控制体系，认真执行财经法规和政策要求，对重大支出、资产处置及其他重要经济事项进行有效监督，并完善内部审计，配合做好审计、财政等外部检查，确保资金使用安全有效。</w:t>
      </w:r>
    </w:p>
    <w:p>
      <w:pPr>
        <w:ind w:firstLine="64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完善绩效管理。制定完善预算绩效管理制度，健全资金管理办法和工作保障机制，加大宣传培训力度，强化部门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发放人数</w:t>
            </w: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每少发一项扣</w:t>
            </w:r>
            <w:r>
              <w:rPr>
                <w:rFonts w:ascii="方正书宋_GBK" w:eastAsia="方正书宋_GBK"/>
              </w:rPr>
              <w:t>1</w:t>
            </w:r>
            <w:r>
              <w:rPr>
                <w:rFonts w:hint="eastAsia" w:ascii="方正书宋_GBK" w:eastAsia="方正书宋_GBK"/>
              </w:rPr>
              <w:t>分</w:t>
            </w:r>
          </w:p>
        </w:tc>
        <w:tc>
          <w:tcPr>
            <w:tcW w:w="1483"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享受此项待遇人员数</w:t>
            </w:r>
          </w:p>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40</w:t>
            </w:r>
          </w:p>
        </w:tc>
        <w:tc>
          <w:tcPr>
            <w:tcW w:w="573" w:type="dxa"/>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vAlign w:val="center"/>
          </w:tcPr>
          <w:p>
            <w:pPr>
              <w:widowControl/>
              <w:adjustRightInd w:val="0"/>
              <w:snapToGrid w:val="0"/>
              <w:rPr>
                <w:rFonts w:ascii="方正书宋_GBK" w:eastAsia="方正书宋_GBK"/>
              </w:rPr>
            </w:pPr>
            <w:r>
              <w:rPr>
                <w:rFonts w:hint="eastAsia" w:ascii="方正书宋_GBK" w:eastAsia="方正书宋_GBK"/>
              </w:rPr>
              <w:t>廊广组字</w:t>
            </w:r>
            <w:r>
              <w:rPr>
                <w:rFonts w:ascii="方正书宋_GBK" w:eastAsia="方正书宋_GBK"/>
              </w:rPr>
              <w:t>[2020]18</w:t>
            </w:r>
            <w:r>
              <w:rPr>
                <w:rFonts w:hint="eastAsia" w:ascii="方正书宋_GBK" w:eastAsia="方正书宋_GBK"/>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散乱污清理</w:t>
            </w: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每少</w:t>
            </w:r>
            <w:r>
              <w:rPr>
                <w:rFonts w:ascii="方正书宋_GBK" w:eastAsia="方正书宋_GBK"/>
              </w:rPr>
              <w:t>1%</w:t>
            </w:r>
            <w:r>
              <w:rPr>
                <w:rFonts w:hint="eastAsia" w:ascii="方正书宋_GBK" w:eastAsia="方正书宋_GBK"/>
              </w:rPr>
              <w:t>扣</w:t>
            </w:r>
            <w:r>
              <w:rPr>
                <w:rFonts w:ascii="方正书宋_GBK" w:eastAsia="方正书宋_GBK"/>
              </w:rPr>
              <w:t>1</w:t>
            </w:r>
            <w:r>
              <w:rPr>
                <w:rFonts w:hint="eastAsia" w:ascii="方正书宋_GBK" w:eastAsia="方正书宋_GBK"/>
              </w:rPr>
              <w:t>分</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检查验收合格</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75</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成本</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村级信访稳定</w:t>
            </w: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每增加一件扣</w:t>
            </w:r>
            <w:r>
              <w:rPr>
                <w:rFonts w:ascii="方正书宋_GBK" w:eastAsia="方正书宋_GBK"/>
              </w:rPr>
              <w:t>1</w:t>
            </w:r>
            <w:r>
              <w:rPr>
                <w:rFonts w:hint="eastAsia" w:ascii="方正书宋_GBK" w:eastAsia="方正书宋_GBK"/>
              </w:rPr>
              <w:t>份</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增强政府履职职能，减少信访</w:t>
            </w:r>
          </w:p>
        </w:tc>
        <w:tc>
          <w:tcPr>
            <w:tcW w:w="543" w:type="dxa"/>
            <w:vAlign w:val="center"/>
          </w:tcPr>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rPr>
                <w:rFonts w:ascii="方正书宋_GBK" w:eastAsia="方正书宋_GBK"/>
              </w:rPr>
            </w:pPr>
          </w:p>
        </w:tc>
        <w:tc>
          <w:tcPr>
            <w:tcW w:w="488" w:type="dxa"/>
            <w:vAlign w:val="center"/>
          </w:tcPr>
          <w:p>
            <w:pPr>
              <w:widowControl/>
              <w:adjustRightInd w:val="0"/>
              <w:snapToGrid w:val="0"/>
              <w:rPr>
                <w:rFonts w:ascii="方正书宋_GBK" w:eastAsia="方正书宋_GBK"/>
              </w:rPr>
            </w:pPr>
          </w:p>
        </w:tc>
        <w:tc>
          <w:tcPr>
            <w:tcW w:w="573" w:type="dxa"/>
            <w:vAlign w:val="center"/>
          </w:tcPr>
          <w:p>
            <w:pPr>
              <w:widowControl/>
              <w:adjustRightInd w:val="0"/>
              <w:snapToGrid w:val="0"/>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tc>
        <w:tc>
          <w:tcPr>
            <w:tcW w:w="825"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vAlign w:val="center"/>
          </w:tcPr>
          <w:p>
            <w:pPr>
              <w:widowControl/>
              <w:adjustRightInd w:val="0"/>
              <w:snapToGrid w:val="0"/>
              <w:rPr>
                <w:rFonts w:ascii="方正书宋_GBK" w:eastAsia="方正书宋_GBK"/>
              </w:rPr>
            </w:pPr>
          </w:p>
        </w:tc>
        <w:tc>
          <w:tcPr>
            <w:tcW w:w="2172" w:type="dxa"/>
            <w:vAlign w:val="center"/>
          </w:tcPr>
          <w:p>
            <w:pPr>
              <w:widowControl/>
              <w:adjustRightInd w:val="0"/>
              <w:snapToGrid w:val="0"/>
              <w:rPr>
                <w:rFonts w:ascii="方正书宋_GBK" w:eastAsia="方正书宋_GBK"/>
              </w:rPr>
            </w:pPr>
          </w:p>
        </w:tc>
        <w:tc>
          <w:tcPr>
            <w:tcW w:w="1483" w:type="dxa"/>
            <w:vAlign w:val="center"/>
          </w:tcPr>
          <w:p>
            <w:pPr>
              <w:widowControl/>
              <w:adjustRightInd w:val="0"/>
              <w:snapToGrid w:val="0"/>
              <w:rPr>
                <w:rFonts w:ascii="方正书宋_GBK" w:eastAsia="方正书宋_GBK"/>
              </w:rPr>
            </w:pPr>
          </w:p>
        </w:tc>
        <w:tc>
          <w:tcPr>
            <w:tcW w:w="543" w:type="dxa"/>
            <w:vAlign w:val="center"/>
          </w:tcPr>
          <w:p>
            <w:pPr>
              <w:widowControl/>
              <w:adjustRightInd w:val="0"/>
              <w:snapToGrid w:val="0"/>
              <w:jc w:val="center"/>
              <w:rPr>
                <w:rFonts w:ascii="方正书宋_GBK" w:eastAsia="方正书宋_GBK"/>
              </w:rPr>
            </w:pPr>
          </w:p>
        </w:tc>
        <w:tc>
          <w:tcPr>
            <w:tcW w:w="488" w:type="dxa"/>
            <w:vAlign w:val="center"/>
          </w:tcPr>
          <w:p>
            <w:pPr>
              <w:widowControl/>
              <w:adjustRightInd w:val="0"/>
              <w:snapToGrid w:val="0"/>
              <w:jc w:val="center"/>
              <w:rPr>
                <w:rFonts w:ascii="方正书宋_GBK" w:eastAsia="方正书宋_GBK"/>
              </w:rPr>
            </w:pPr>
          </w:p>
        </w:tc>
        <w:tc>
          <w:tcPr>
            <w:tcW w:w="573" w:type="dxa"/>
            <w:vAlign w:val="center"/>
          </w:tcPr>
          <w:p>
            <w:pPr>
              <w:widowControl/>
              <w:adjustRightInd w:val="0"/>
              <w:snapToGrid w:val="0"/>
              <w:jc w:val="center"/>
              <w:rPr>
                <w:rFonts w:ascii="方正书宋_GBK" w:eastAsia="方正书宋_GBK"/>
              </w:rPr>
            </w:pPr>
          </w:p>
        </w:tc>
        <w:tc>
          <w:tcPr>
            <w:tcW w:w="1277" w:type="dxa"/>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vAlign w:val="center"/>
          </w:tcPr>
          <w:p>
            <w:pPr>
              <w:widowControl/>
              <w:adjustRightInd w:val="0"/>
              <w:snapToGrid w:val="0"/>
              <w:rPr>
                <w:rFonts w:ascii="方正书宋_GBK" w:eastAsia="方正书宋_GBK"/>
              </w:rPr>
            </w:pPr>
            <w:r>
              <w:rPr>
                <w:rFonts w:hint="eastAsia" w:ascii="方正书宋_GBK" w:eastAsia="方正书宋_GBK"/>
              </w:rPr>
              <w:t>服务对象满意度指标</w:t>
            </w:r>
          </w:p>
        </w:tc>
        <w:tc>
          <w:tcPr>
            <w:tcW w:w="2172" w:type="dxa"/>
            <w:vAlign w:val="center"/>
          </w:tcPr>
          <w:p>
            <w:pPr>
              <w:widowControl/>
              <w:adjustRightInd w:val="0"/>
              <w:snapToGrid w:val="0"/>
              <w:rPr>
                <w:rFonts w:ascii="方正书宋_GBK" w:eastAsia="方正书宋_GBK"/>
              </w:rPr>
            </w:pPr>
            <w:r>
              <w:rPr>
                <w:rFonts w:hint="eastAsia" w:ascii="方正书宋_GBK" w:eastAsia="方正书宋_GBK"/>
              </w:rPr>
              <w:t>每少</w:t>
            </w:r>
            <w:r>
              <w:rPr>
                <w:rFonts w:ascii="方正书宋_GBK" w:eastAsia="方正书宋_GBK"/>
              </w:rPr>
              <w:t>1%</w:t>
            </w:r>
            <w:r>
              <w:rPr>
                <w:rFonts w:hint="eastAsia" w:ascii="方正书宋_GBK" w:eastAsia="方正书宋_GBK"/>
              </w:rPr>
              <w:t>扣</w:t>
            </w:r>
            <w:r>
              <w:rPr>
                <w:rFonts w:ascii="方正书宋_GBK" w:eastAsia="方正书宋_GBK"/>
              </w:rPr>
              <w:t>1</w:t>
            </w:r>
            <w:r>
              <w:rPr>
                <w:rFonts w:hint="eastAsia" w:ascii="方正书宋_GBK" w:eastAsia="方正书宋_GBK"/>
              </w:rPr>
              <w:t>分</w:t>
            </w:r>
          </w:p>
        </w:tc>
        <w:tc>
          <w:tcPr>
            <w:tcW w:w="1483" w:type="dxa"/>
            <w:vAlign w:val="center"/>
          </w:tcPr>
          <w:p>
            <w:pPr>
              <w:widowControl/>
              <w:adjustRightInd w:val="0"/>
              <w:snapToGrid w:val="0"/>
              <w:rPr>
                <w:rFonts w:ascii="方正书宋_GBK" w:eastAsia="方正书宋_GBK"/>
              </w:rPr>
            </w:pPr>
            <w:r>
              <w:rPr>
                <w:rFonts w:hint="eastAsia" w:ascii="方正书宋_GBK" w:eastAsia="方正书宋_GBK"/>
              </w:rPr>
              <w:t>群众满意占辖区总人数的比例</w:t>
            </w:r>
          </w:p>
        </w:tc>
        <w:tc>
          <w:tcPr>
            <w:tcW w:w="543" w:type="dxa"/>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vAlign w:val="center"/>
          </w:tcPr>
          <w:p>
            <w:pPr>
              <w:widowControl/>
              <w:adjustRightInd w:val="0"/>
              <w:snapToGrid w:val="0"/>
              <w:jc w:val="center"/>
              <w:rPr>
                <w:rFonts w:ascii="方正书宋_GBK" w:eastAsia="方正书宋_GBK"/>
              </w:rPr>
            </w:pPr>
            <w:r>
              <w:rPr>
                <w:rFonts w:ascii="方正书宋_GBK" w:eastAsia="方正书宋_GBK"/>
              </w:rPr>
              <w:t>75</w:t>
            </w:r>
          </w:p>
        </w:tc>
        <w:tc>
          <w:tcPr>
            <w:tcW w:w="573" w:type="dxa"/>
            <w:vAlign w:val="center"/>
          </w:tcPr>
          <w:p>
            <w:pPr>
              <w:widowControl/>
              <w:adjustRightInd w:val="0"/>
              <w:snapToGrid w:val="0"/>
              <w:jc w:val="center"/>
              <w:rPr>
                <w:rFonts w:ascii="方正书宋_GBK" w:eastAsia="方正书宋_GBK"/>
              </w:rPr>
            </w:pPr>
            <w:r>
              <w:rPr>
                <w:rFonts w:ascii="方正书宋_GBK" w:eastAsia="方正书宋_GBK"/>
              </w:rPr>
              <w:t>%</w:t>
            </w:r>
          </w:p>
        </w:tc>
        <w:tc>
          <w:tcPr>
            <w:tcW w:w="1277" w:type="dxa"/>
            <w:vAlign w:val="center"/>
          </w:tcPr>
          <w:p>
            <w:pPr>
              <w:widowControl/>
              <w:adjustRightInd w:val="0"/>
              <w:snapToGrid w:val="0"/>
              <w:rPr>
                <w:rFonts w:ascii="方正书宋_GBK" w:eastAsia="方正书宋_GBK"/>
              </w:rPr>
            </w:pPr>
          </w:p>
        </w:tc>
      </w:tr>
    </w:tbl>
    <w:p>
      <w:pPr>
        <w:spacing w:line="584" w:lineRule="exact"/>
        <w:rPr>
          <w:rFonts w:ascii="仿宋_GB2312" w:eastAsia="仿宋_GB2312" w:cs="Times New Roman"/>
          <w:sz w:val="32"/>
          <w:szCs w:val="32"/>
        </w:rPr>
      </w:pPr>
    </w:p>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t xml:space="preserve"> </w:t>
      </w:r>
      <w:r>
        <w:rPr>
          <w:rFonts w:hint="eastAsia" w:ascii="Times New Roman" w:hAnsi="Times New Roman" w:eastAsia="仿宋_GB2312" w:cs="Times New Roman"/>
          <w:sz w:val="28"/>
        </w:rPr>
        <w:t>社区招聘人员经费绩效目标表</w:t>
      </w:r>
      <w:bookmarkStart w:id="0" w:name="_Toc29799657"/>
      <w:bookmarkEnd w:id="0"/>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按时发放工资确保人员稳定。加强和完善社区治理，事关基层和谐稳定，进一步健全城乡社区治理体系，推进治理能力现代化。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数量指标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发放人数</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社区招聘人员享受此项待遇人员数</w:t>
            </w:r>
          </w:p>
        </w:tc>
        <w:tc>
          <w:tcPr>
            <w:tcW w:w="1843" w:type="dxa"/>
            <w:vAlign w:val="center"/>
          </w:tcPr>
          <w:p>
            <w:pPr>
              <w:spacing w:line="300" w:lineRule="exact"/>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23</w:t>
            </w:r>
            <w:r>
              <w:rPr>
                <w:rFonts w:hint="eastAsia" w:ascii="Times New Roman" w:hAnsi="Times New Roman" w:eastAsia="仿宋_GB2312" w:cs="Times New Roman"/>
                <w:sz w:val="18"/>
                <w:szCs w:val="18"/>
              </w:rPr>
              <w:t>人</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质量指标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保险申缴</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社区招聘人员按标准缴纳保险</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按标准缴纳</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时效指标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工资按时发放</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工资及时发放</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每月</w:t>
            </w:r>
            <w:r>
              <w:rPr>
                <w:rFonts w:ascii="Times New Roman" w:hAnsi="Times New Roman" w:eastAsia="仿宋_GB2312" w:cs="Times New Roman"/>
                <w:sz w:val="18"/>
                <w:szCs w:val="18"/>
              </w:rPr>
              <w:t>25</w:t>
            </w:r>
            <w:r>
              <w:rPr>
                <w:rFonts w:hint="eastAsia" w:ascii="Times New Roman" w:hAnsi="Times New Roman" w:eastAsia="仿宋_GB2312" w:cs="Times New Roman"/>
                <w:sz w:val="18"/>
                <w:szCs w:val="18"/>
              </w:rPr>
              <w:t>日前及时发放工资</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成本指标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发放工资水平</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发放工资水平是否有序提升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工资水平有序提升</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社会效益指标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社区工作完成率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完成工作占全部工作的比率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90%</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p>
        </w:tc>
        <w:tc>
          <w:tcPr>
            <w:tcW w:w="1985" w:type="dxa"/>
            <w:vAlign w:val="center"/>
          </w:tcPr>
          <w:p>
            <w:pPr>
              <w:spacing w:line="300" w:lineRule="exact"/>
              <w:jc w:val="left"/>
              <w:rPr>
                <w:rFonts w:ascii="Times New Roman" w:hAnsi="Times New Roman" w:eastAsia="仿宋_GB2312" w:cs="Times New Roman"/>
                <w:sz w:val="18"/>
                <w:szCs w:val="18"/>
              </w:rPr>
            </w:pPr>
          </w:p>
        </w:tc>
        <w:tc>
          <w:tcPr>
            <w:tcW w:w="3402" w:type="dxa"/>
            <w:vAlign w:val="center"/>
          </w:tcPr>
          <w:p>
            <w:pPr>
              <w:spacing w:line="300" w:lineRule="exact"/>
              <w:jc w:val="left"/>
              <w:rPr>
                <w:rFonts w:ascii="Times New Roman" w:hAnsi="Times New Roman" w:eastAsia="仿宋_GB2312" w:cs="Times New Roman"/>
                <w:sz w:val="18"/>
                <w:szCs w:val="18"/>
              </w:rPr>
            </w:pPr>
          </w:p>
        </w:tc>
        <w:tc>
          <w:tcPr>
            <w:tcW w:w="1843" w:type="dxa"/>
            <w:vAlign w:val="center"/>
          </w:tcPr>
          <w:p>
            <w:pPr>
              <w:spacing w:line="300" w:lineRule="exact"/>
              <w:jc w:val="left"/>
              <w:rPr>
                <w:rFonts w:ascii="Times New Roman" w:hAnsi="Times New Roman" w:eastAsia="仿宋_GB2312" w:cs="Times New Roman"/>
                <w:sz w:val="18"/>
                <w:szCs w:val="18"/>
              </w:rPr>
            </w:pPr>
          </w:p>
        </w:tc>
        <w:tc>
          <w:tcPr>
            <w:tcW w:w="2155" w:type="dxa"/>
            <w:vAlign w:val="center"/>
          </w:tcPr>
          <w:p>
            <w:pPr>
              <w:spacing w:line="300" w:lineRule="exact"/>
              <w:jc w:val="left"/>
              <w:rPr>
                <w:rFonts w:ascii="仿宋_GB2312" w:eastAsia="仿宋_GB2312"/>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社区居民对社区服务的满意度</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满意和较满意的占调查总人数的比率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90%</w:t>
            </w:r>
          </w:p>
        </w:tc>
        <w:tc>
          <w:tcPr>
            <w:tcW w:w="2155" w:type="dxa"/>
            <w:vAlign w:val="center"/>
          </w:tcPr>
          <w:p>
            <w:pPr>
              <w:spacing w:line="300" w:lineRule="exact"/>
              <w:jc w:val="left"/>
              <w:rPr>
                <w:rFonts w:ascii="仿宋_GB2312" w:eastAsia="仿宋_GB2312"/>
                <w:sz w:val="18"/>
                <w:szCs w:val="18"/>
              </w:rPr>
            </w:pPr>
            <w:r>
              <w:rPr>
                <w:rFonts w:hint="eastAsia" w:ascii="仿宋_GB2312" w:eastAsia="仿宋_GB2312"/>
                <w:sz w:val="18"/>
                <w:szCs w:val="18"/>
              </w:rPr>
              <w:t>廊办发（</w:t>
            </w:r>
            <w:r>
              <w:rPr>
                <w:rFonts w:ascii="仿宋_GB2312" w:eastAsia="仿宋_GB2312"/>
                <w:sz w:val="18"/>
                <w:szCs w:val="18"/>
              </w:rPr>
              <w:t>2012</w:t>
            </w:r>
            <w:r>
              <w:rPr>
                <w:rFonts w:hint="eastAsia" w:ascii="仿宋_GB2312" w:eastAsia="仿宋_GB2312"/>
                <w:sz w:val="18"/>
                <w:szCs w:val="18"/>
              </w:rPr>
              <w:t>）</w:t>
            </w:r>
            <w:r>
              <w:rPr>
                <w:rFonts w:ascii="仿宋_GB2312" w:eastAsia="仿宋_GB2312"/>
                <w:sz w:val="18"/>
                <w:szCs w:val="18"/>
              </w:rPr>
              <w:t>6</w:t>
            </w:r>
            <w:r>
              <w:rPr>
                <w:rFonts w:hint="eastAsia" w:ascii="仿宋_GB2312" w:eastAsia="仿宋_GB2312"/>
                <w:sz w:val="18"/>
                <w:szCs w:val="18"/>
              </w:rPr>
              <w:t>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t xml:space="preserve"> </w:t>
      </w:r>
      <w:r>
        <w:rPr>
          <w:rFonts w:hint="eastAsia" w:ascii="Times New Roman" w:hAnsi="Times New Roman" w:eastAsia="仿宋_GB2312" w:cs="Times New Roman"/>
          <w:sz w:val="28"/>
        </w:rPr>
        <w:t>社区招聘人员经费（专款）绩效目标表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按时发放社区招聘人员工资，及缴纳各项保险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数量指标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发放人数</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社区招聘人员享受此项待遇人员数</w:t>
            </w:r>
          </w:p>
        </w:tc>
        <w:tc>
          <w:tcPr>
            <w:tcW w:w="1843" w:type="dxa"/>
            <w:vAlign w:val="center"/>
          </w:tcPr>
          <w:p>
            <w:pPr>
              <w:spacing w:line="300" w:lineRule="exact"/>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26</w:t>
            </w:r>
            <w:r>
              <w:rPr>
                <w:rFonts w:hint="eastAsia" w:ascii="Times New Roman" w:hAnsi="Times New Roman" w:eastAsia="仿宋_GB2312" w:cs="Times New Roman"/>
                <w:sz w:val="18"/>
                <w:szCs w:val="18"/>
              </w:rPr>
              <w:t>人</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质量指标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保险申缴</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社区招聘人员按标准缴纳保险</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按标准缴纳</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时效指标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工资按时发放</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工资及时发放</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每月</w:t>
            </w:r>
            <w:r>
              <w:rPr>
                <w:rFonts w:ascii="Times New Roman" w:hAnsi="Times New Roman" w:eastAsia="仿宋_GB2312" w:cs="Times New Roman"/>
                <w:sz w:val="18"/>
                <w:szCs w:val="18"/>
              </w:rPr>
              <w:t>25</w:t>
            </w:r>
            <w:r>
              <w:rPr>
                <w:rFonts w:hint="eastAsia" w:ascii="Times New Roman" w:hAnsi="Times New Roman" w:eastAsia="仿宋_GB2312" w:cs="Times New Roman"/>
                <w:sz w:val="18"/>
                <w:szCs w:val="18"/>
              </w:rPr>
              <w:t>日前及时发放工资</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成本指标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发放工资水平</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发放工资水平是否有序提升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工资水平有序提升</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社区工作完成率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完成工作占全部工作的比率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p>
        </w:tc>
        <w:tc>
          <w:tcPr>
            <w:tcW w:w="1985" w:type="dxa"/>
            <w:vAlign w:val="center"/>
          </w:tcPr>
          <w:p>
            <w:pPr>
              <w:spacing w:line="300" w:lineRule="exact"/>
              <w:jc w:val="left"/>
              <w:rPr>
                <w:rFonts w:ascii="Times New Roman" w:hAnsi="Times New Roman" w:eastAsia="仿宋_GB2312" w:cs="Times New Roman"/>
                <w:sz w:val="18"/>
                <w:szCs w:val="18"/>
              </w:rPr>
            </w:pPr>
          </w:p>
        </w:tc>
        <w:tc>
          <w:tcPr>
            <w:tcW w:w="3402" w:type="dxa"/>
            <w:vAlign w:val="center"/>
          </w:tcPr>
          <w:p>
            <w:pPr>
              <w:spacing w:line="300" w:lineRule="exact"/>
              <w:jc w:val="left"/>
              <w:rPr>
                <w:rFonts w:ascii="Times New Roman" w:hAnsi="Times New Roman" w:eastAsia="仿宋_GB2312" w:cs="Times New Roman"/>
                <w:sz w:val="18"/>
                <w:szCs w:val="18"/>
              </w:rPr>
            </w:pPr>
          </w:p>
        </w:tc>
        <w:tc>
          <w:tcPr>
            <w:tcW w:w="1843" w:type="dxa"/>
            <w:vAlign w:val="center"/>
          </w:tcPr>
          <w:p>
            <w:pPr>
              <w:spacing w:line="300" w:lineRule="exact"/>
              <w:jc w:val="left"/>
              <w:rPr>
                <w:rFonts w:ascii="Times New Roman" w:hAnsi="Times New Roman" w:eastAsia="仿宋_GB2312" w:cs="Times New Roman"/>
                <w:sz w:val="18"/>
                <w:szCs w:val="18"/>
              </w:rPr>
            </w:pPr>
          </w:p>
        </w:tc>
        <w:tc>
          <w:tcPr>
            <w:tcW w:w="2155" w:type="dxa"/>
            <w:vAlign w:val="center"/>
          </w:tcPr>
          <w:p>
            <w:pPr>
              <w:spacing w:line="300" w:lineRule="exact"/>
              <w:jc w:val="left"/>
              <w:rPr>
                <w:rFonts w:ascii="Times New Roman" w:hAnsi="Times New Roman" w:eastAsia="仿宋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社区居民对社区服务的满意度</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社区居民对社区当年工作满意</w:t>
            </w:r>
          </w:p>
        </w:tc>
        <w:tc>
          <w:tcPr>
            <w:tcW w:w="1843" w:type="dxa"/>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90%</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廊财社【</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3.</w:t>
      </w:r>
      <w:r>
        <w:t xml:space="preserve"> </w:t>
      </w:r>
      <w:r>
        <w:rPr>
          <w:rFonts w:hint="eastAsia" w:ascii="Times New Roman" w:hAnsi="Times New Roman" w:eastAsia="仿宋_GB2312" w:cs="Times New Roman"/>
          <w:sz w:val="28"/>
        </w:rPr>
        <w:t>一事一议项目资金（省级）绩效目标表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数量指标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改造提升重点村数量（个）</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当年完成建设任务的重点村数量</w:t>
            </w:r>
          </w:p>
        </w:tc>
        <w:tc>
          <w:tcPr>
            <w:tcW w:w="1843" w:type="dxa"/>
            <w:vAlign w:val="center"/>
          </w:tcPr>
          <w:p>
            <w:pPr>
              <w:spacing w:line="300" w:lineRule="exact"/>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4</w:t>
            </w:r>
            <w:r>
              <w:rPr>
                <w:rFonts w:hint="eastAsia" w:ascii="Times New Roman" w:hAnsi="Times New Roman" w:eastAsia="仿宋_GB2312" w:cs="Times New Roman"/>
                <w:sz w:val="18"/>
                <w:szCs w:val="18"/>
              </w:rPr>
              <w:t>个</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质量指标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改造提升项目完成率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完成建设项目的村街占改造村比率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95%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时效指标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工程款结算</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工程竣工验收合格后结算</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10</w:t>
            </w:r>
            <w:r>
              <w:rPr>
                <w:rFonts w:hint="eastAsia" w:ascii="Times New Roman" w:hAnsi="Times New Roman" w:eastAsia="仿宋_GB2312" w:cs="Times New Roman"/>
                <w:sz w:val="18"/>
                <w:szCs w:val="18"/>
              </w:rPr>
              <w:t>天</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成本指标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预算成本</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开展此项工作所需资金成本</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115</w:t>
            </w:r>
            <w:r>
              <w:rPr>
                <w:rFonts w:hint="eastAsia" w:ascii="Times New Roman" w:hAnsi="Times New Roman" w:eastAsia="仿宋_GB2312" w:cs="Times New Roman"/>
                <w:sz w:val="18"/>
                <w:szCs w:val="18"/>
              </w:rPr>
              <w:t>万元</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社会效益指标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受益人口数量</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受益人口数量</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1500</w:t>
            </w:r>
            <w:r>
              <w:rPr>
                <w:rFonts w:hint="eastAsia" w:ascii="Times New Roman" w:hAnsi="Times New Roman" w:eastAsia="仿宋_GB2312" w:cs="Times New Roman"/>
                <w:sz w:val="18"/>
                <w:szCs w:val="18"/>
              </w:rPr>
              <w:t>人</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p>
        </w:tc>
        <w:tc>
          <w:tcPr>
            <w:tcW w:w="1985" w:type="dxa"/>
            <w:vAlign w:val="center"/>
          </w:tcPr>
          <w:p>
            <w:pPr>
              <w:spacing w:line="300" w:lineRule="exact"/>
              <w:jc w:val="left"/>
              <w:rPr>
                <w:rFonts w:ascii="Times New Roman" w:hAnsi="Times New Roman" w:eastAsia="仿宋_GB2312" w:cs="Times New Roman"/>
                <w:sz w:val="18"/>
                <w:szCs w:val="18"/>
              </w:rPr>
            </w:pPr>
          </w:p>
        </w:tc>
        <w:tc>
          <w:tcPr>
            <w:tcW w:w="3402" w:type="dxa"/>
            <w:vAlign w:val="center"/>
          </w:tcPr>
          <w:p>
            <w:pPr>
              <w:spacing w:line="300" w:lineRule="exact"/>
              <w:jc w:val="left"/>
              <w:rPr>
                <w:rFonts w:ascii="Times New Roman" w:hAnsi="Times New Roman" w:eastAsia="仿宋_GB2312" w:cs="Times New Roman"/>
                <w:sz w:val="18"/>
                <w:szCs w:val="18"/>
              </w:rPr>
            </w:pPr>
          </w:p>
        </w:tc>
        <w:tc>
          <w:tcPr>
            <w:tcW w:w="1843" w:type="dxa"/>
            <w:vAlign w:val="center"/>
          </w:tcPr>
          <w:p>
            <w:pPr>
              <w:spacing w:line="300" w:lineRule="exact"/>
              <w:jc w:val="left"/>
              <w:rPr>
                <w:rFonts w:ascii="Times New Roman" w:hAnsi="Times New Roman" w:eastAsia="仿宋_GB2312" w:cs="Times New Roman"/>
                <w:sz w:val="18"/>
                <w:szCs w:val="18"/>
              </w:rPr>
            </w:pPr>
          </w:p>
        </w:tc>
        <w:tc>
          <w:tcPr>
            <w:tcW w:w="2155" w:type="dxa"/>
            <w:vAlign w:val="center"/>
          </w:tcPr>
          <w:p>
            <w:pPr>
              <w:spacing w:line="300" w:lineRule="exact"/>
              <w:jc w:val="left"/>
              <w:rPr>
                <w:rFonts w:ascii="Times New Roman" w:hAnsi="Times New Roman" w:eastAsia="仿宋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调查中满意和较满意的村民数量占总人数比例</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廊财农</w:t>
            </w:r>
            <w:r>
              <w:rPr>
                <w:rFonts w:ascii="Times New Roman" w:hAnsi="Times New Roman" w:eastAsia="仿宋_GB2312" w:cs="Times New Roman"/>
                <w:sz w:val="18"/>
                <w:szCs w:val="18"/>
              </w:rPr>
              <w:t>[2020]86</w:t>
            </w:r>
            <w:r>
              <w:rPr>
                <w:rFonts w:hint="eastAsia" w:ascii="Times New Roman" w:hAnsi="Times New Roman" w:eastAsia="仿宋_GB2312" w:cs="Times New Roman"/>
                <w:sz w:val="18"/>
                <w:szCs w:val="18"/>
              </w:rPr>
              <w:t>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4.</w:t>
      </w:r>
      <w:r>
        <w:t xml:space="preserve"> </w:t>
      </w:r>
      <w:r>
        <w:rPr>
          <w:rFonts w:hint="eastAsia" w:ascii="Times New Roman" w:hAnsi="Times New Roman" w:eastAsia="仿宋_GB2312" w:cs="Times New Roman"/>
          <w:sz w:val="28"/>
        </w:rPr>
        <w:t>整治铁路安全隐患经费绩效目标表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高铁沿线进行彩钢房加固，确保铁路运行安全和广大人民群众利益。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数量指标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工程村街数量</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彩钢加固涉及村街数量</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7</w:t>
            </w:r>
            <w:r>
              <w:rPr>
                <w:rFonts w:hint="eastAsia" w:ascii="Times New Roman" w:hAnsi="Times New Roman" w:eastAsia="仿宋_GB2312" w:cs="Times New Roman"/>
                <w:sz w:val="18"/>
                <w:szCs w:val="18"/>
              </w:rPr>
              <w:t>个</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质量指标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实际完成整治数量</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完成彩钢房加固数量</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7</w:t>
            </w:r>
            <w:r>
              <w:rPr>
                <w:rFonts w:hint="eastAsia" w:ascii="Times New Roman" w:hAnsi="Times New Roman" w:eastAsia="仿宋_GB2312" w:cs="Times New Roman"/>
                <w:sz w:val="18"/>
                <w:szCs w:val="18"/>
              </w:rPr>
              <w:t>个</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时效指标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任务完成及时率（</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各项任务完成及时率（</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成本指标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资金成本</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资金成本</w:t>
            </w:r>
          </w:p>
        </w:tc>
        <w:tc>
          <w:tcPr>
            <w:tcW w:w="1843" w:type="dxa"/>
            <w:vAlign w:val="center"/>
          </w:tcPr>
          <w:p>
            <w:pPr>
              <w:spacing w:line="300" w:lineRule="exact"/>
              <w:jc w:val="left"/>
              <w:rPr>
                <w:rFonts w:ascii="Times New Roman" w:hAnsi="Times New Roman" w:eastAsia="仿宋_GB2312" w:cs="Times New Roman"/>
                <w:sz w:val="18"/>
                <w:szCs w:val="18"/>
              </w:rPr>
            </w:pPr>
            <w:r>
              <w:rPr>
                <w:rFonts w:ascii="Times New Roman" w:hAnsi="Times New Roman" w:eastAsia="仿宋_GB2312" w:cs="Times New Roman"/>
                <w:sz w:val="18"/>
                <w:szCs w:val="18"/>
              </w:rPr>
              <w:t>117</w:t>
            </w:r>
            <w:r>
              <w:rPr>
                <w:rFonts w:hint="eastAsia" w:ascii="Times New Roman" w:hAnsi="Times New Roman" w:eastAsia="仿宋_GB2312" w:cs="Times New Roman"/>
                <w:sz w:val="18"/>
                <w:szCs w:val="18"/>
              </w:rPr>
              <w:t>万元</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社会效益指标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减少铁路安全运营隐患</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减少铁路安全运营隐患</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10%</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p>
        </w:tc>
        <w:tc>
          <w:tcPr>
            <w:tcW w:w="1985" w:type="dxa"/>
            <w:vAlign w:val="center"/>
          </w:tcPr>
          <w:p>
            <w:pPr>
              <w:spacing w:line="300" w:lineRule="exact"/>
              <w:jc w:val="left"/>
              <w:rPr>
                <w:rFonts w:ascii="Times New Roman" w:hAnsi="Times New Roman" w:eastAsia="仿宋_GB2312" w:cs="Times New Roman"/>
                <w:sz w:val="18"/>
                <w:szCs w:val="18"/>
              </w:rPr>
            </w:pPr>
          </w:p>
        </w:tc>
        <w:tc>
          <w:tcPr>
            <w:tcW w:w="3402" w:type="dxa"/>
            <w:vAlign w:val="center"/>
          </w:tcPr>
          <w:p>
            <w:pPr>
              <w:spacing w:line="300" w:lineRule="exact"/>
              <w:jc w:val="left"/>
              <w:rPr>
                <w:rFonts w:ascii="Times New Roman" w:hAnsi="Times New Roman" w:eastAsia="仿宋_GB2312" w:cs="Times New Roman"/>
                <w:sz w:val="18"/>
                <w:szCs w:val="18"/>
              </w:rPr>
            </w:pPr>
          </w:p>
        </w:tc>
        <w:tc>
          <w:tcPr>
            <w:tcW w:w="1843" w:type="dxa"/>
            <w:vAlign w:val="center"/>
          </w:tcPr>
          <w:p>
            <w:pPr>
              <w:spacing w:line="300" w:lineRule="exact"/>
              <w:jc w:val="left"/>
              <w:rPr>
                <w:rFonts w:ascii="Times New Roman" w:hAnsi="Times New Roman" w:eastAsia="仿宋_GB2312" w:cs="Times New Roman"/>
                <w:sz w:val="18"/>
                <w:szCs w:val="18"/>
              </w:rPr>
            </w:pPr>
          </w:p>
        </w:tc>
        <w:tc>
          <w:tcPr>
            <w:tcW w:w="2155" w:type="dxa"/>
            <w:vAlign w:val="center"/>
          </w:tcPr>
          <w:p>
            <w:pPr>
              <w:spacing w:line="300" w:lineRule="exact"/>
              <w:jc w:val="left"/>
              <w:rPr>
                <w:rFonts w:ascii="Times New Roman" w:hAnsi="Times New Roman" w:eastAsia="仿宋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受益群体满意度</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受益群体满意度</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冀铁环按办涵【</w:t>
            </w:r>
            <w:r>
              <w:rPr>
                <w:rFonts w:ascii="Times New Roman" w:hAnsi="Times New Roman" w:eastAsia="仿宋_GB2312" w:cs="Times New Roman"/>
                <w:sz w:val="18"/>
                <w:szCs w:val="18"/>
              </w:rPr>
              <w:t>2019</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5</w:t>
            </w:r>
            <w:r>
              <w:rPr>
                <w:rFonts w:hint="eastAsia" w:ascii="Times New Roman" w:hAnsi="Times New Roman" w:eastAsia="仿宋_GB2312" w:cs="Times New Roman"/>
                <w:sz w:val="18"/>
                <w:szCs w:val="18"/>
              </w:rPr>
              <w:t>号</w:t>
            </w:r>
            <w:r>
              <w:rPr>
                <w:rFonts w:ascii="Times New Roman" w:hAnsi="Times New Roman" w:eastAsia="仿宋_GB2312" w:cs="Times New Roman"/>
                <w:sz w:val="18"/>
                <w:szCs w:val="18"/>
              </w:rPr>
              <w:t>,</w:t>
            </w:r>
            <w:r>
              <w:rPr>
                <w:rFonts w:hint="eastAsia" w:ascii="Times New Roman" w:hAnsi="Times New Roman" w:eastAsia="仿宋_GB2312" w:cs="Times New Roman"/>
                <w:sz w:val="18"/>
                <w:szCs w:val="18"/>
              </w:rPr>
              <w:t>廊万政【</w:t>
            </w:r>
            <w:r>
              <w:rPr>
                <w:rFonts w:ascii="Times New Roman" w:hAnsi="Times New Roman" w:eastAsia="仿宋_GB2312" w:cs="Times New Roman"/>
                <w:sz w:val="18"/>
                <w:szCs w:val="18"/>
              </w:rPr>
              <w:t>2020</w:t>
            </w: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170</w:t>
            </w:r>
            <w:r>
              <w:rPr>
                <w:rFonts w:hint="eastAsia" w:ascii="Times New Roman" w:hAnsi="Times New Roman" w:eastAsia="仿宋_GB2312" w:cs="Times New Roman"/>
                <w:sz w:val="18"/>
                <w:szCs w:val="18"/>
              </w:rPr>
              <w:t>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t xml:space="preserve"> </w:t>
      </w:r>
      <w:r>
        <w:rPr>
          <w:rFonts w:hint="eastAsia" w:ascii="Times New Roman" w:hAnsi="Times New Roman" w:eastAsia="仿宋_GB2312" w:cs="Times New Roman"/>
          <w:sz w:val="28"/>
        </w:rPr>
        <w:t>非公办教师经费绩效目标表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hint="eastAsia" w:ascii="Times New Roman" w:hAnsi="Times New Roman" w:eastAsia="仿宋_GB2312" w:cs="Times New Roman"/>
                <w:b/>
              </w:rPr>
              <w:t>按时按月发放14名民师的工资，及时足额缴纳各项保险，保证教师各项福利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数量指标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发放人数</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教师享受此项待遇人员数</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=14人</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质量指标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保险申报率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实际缴纳保险金额与应缴纳保险金额的比率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时效指标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工资发放及时率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准时发放工资的次数与总发放工资次数的比率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成本指标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资金成本</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非公办教师的工资、保险资金成本</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≥65万元</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社会效益指标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非公办教师考核优秀率</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考核优秀教师人数占非公办教师总人数的比率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Times New Roman" w:hAnsi="Times New Roman" w:eastAsia="仿宋_GB2312" w:cs="Times New Roman"/>
                <w:sz w:val="18"/>
                <w:szCs w:val="18"/>
              </w:rPr>
            </w:pPr>
          </w:p>
        </w:tc>
        <w:tc>
          <w:tcPr>
            <w:tcW w:w="1985" w:type="dxa"/>
            <w:vAlign w:val="center"/>
          </w:tcPr>
          <w:p>
            <w:pPr>
              <w:spacing w:line="300" w:lineRule="exact"/>
              <w:jc w:val="left"/>
              <w:rPr>
                <w:rFonts w:ascii="Times New Roman" w:hAnsi="Times New Roman" w:eastAsia="仿宋_GB2312" w:cs="Times New Roman"/>
                <w:sz w:val="18"/>
                <w:szCs w:val="18"/>
              </w:rPr>
            </w:pPr>
          </w:p>
        </w:tc>
        <w:tc>
          <w:tcPr>
            <w:tcW w:w="3402" w:type="dxa"/>
            <w:vAlign w:val="center"/>
          </w:tcPr>
          <w:p>
            <w:pPr>
              <w:spacing w:line="300" w:lineRule="exact"/>
              <w:jc w:val="left"/>
              <w:rPr>
                <w:rFonts w:ascii="Times New Roman" w:hAnsi="Times New Roman" w:eastAsia="仿宋_GB2312" w:cs="Times New Roman"/>
                <w:sz w:val="18"/>
                <w:szCs w:val="18"/>
              </w:rPr>
            </w:pPr>
          </w:p>
        </w:tc>
        <w:tc>
          <w:tcPr>
            <w:tcW w:w="1843" w:type="dxa"/>
            <w:vAlign w:val="center"/>
          </w:tcPr>
          <w:p>
            <w:pPr>
              <w:spacing w:line="300" w:lineRule="exact"/>
              <w:jc w:val="left"/>
              <w:rPr>
                <w:rFonts w:ascii="Times New Roman" w:hAnsi="Times New Roman" w:eastAsia="仿宋_GB2312" w:cs="Times New Roman"/>
                <w:sz w:val="18"/>
                <w:szCs w:val="18"/>
              </w:rPr>
            </w:pPr>
          </w:p>
        </w:tc>
        <w:tc>
          <w:tcPr>
            <w:tcW w:w="2155" w:type="dxa"/>
            <w:vAlign w:val="center"/>
          </w:tcPr>
          <w:p>
            <w:pPr>
              <w:spacing w:line="300" w:lineRule="exact"/>
              <w:jc w:val="left"/>
              <w:rPr>
                <w:rFonts w:ascii="Times New Roman" w:hAnsi="Times New Roman" w:eastAsia="仿宋_GB2312"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满意度指标</w:t>
            </w:r>
          </w:p>
        </w:tc>
        <w:tc>
          <w:tcPr>
            <w:tcW w:w="2268"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服务对象满意度指标</w:t>
            </w:r>
          </w:p>
        </w:tc>
        <w:tc>
          <w:tcPr>
            <w:tcW w:w="198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服务对象满意度</w:t>
            </w:r>
          </w:p>
        </w:tc>
        <w:tc>
          <w:tcPr>
            <w:tcW w:w="3402"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调查中对学校满意和较满意的家长数占调查总人数的比率</w:t>
            </w:r>
          </w:p>
        </w:tc>
        <w:tc>
          <w:tcPr>
            <w:tcW w:w="1843"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w:t>
            </w:r>
            <w:r>
              <w:rPr>
                <w:rFonts w:ascii="Times New Roman" w:hAnsi="Times New Roman" w:eastAsia="仿宋_GB2312" w:cs="Times New Roman"/>
                <w:sz w:val="18"/>
                <w:szCs w:val="18"/>
              </w:rPr>
              <w:t>85%</w:t>
            </w:r>
          </w:p>
        </w:tc>
        <w:tc>
          <w:tcPr>
            <w:tcW w:w="2155" w:type="dxa"/>
            <w:vAlign w:val="center"/>
          </w:tcPr>
          <w:p>
            <w:pPr>
              <w:spacing w:line="300" w:lineRule="exact"/>
              <w:jc w:val="left"/>
              <w:rPr>
                <w:rFonts w:ascii="Times New Roman" w:hAnsi="Times New Roman" w:eastAsia="仿宋_GB2312" w:cs="Times New Roman"/>
                <w:sz w:val="18"/>
                <w:szCs w:val="18"/>
              </w:rPr>
            </w:pPr>
            <w:r>
              <w:rPr>
                <w:rFonts w:hint="eastAsia" w:ascii="Times New Roman" w:hAnsi="Times New Roman" w:eastAsia="仿宋_GB2312" w:cs="Times New Roman"/>
                <w:sz w:val="18"/>
                <w:szCs w:val="18"/>
              </w:rPr>
              <w:t>区政府会议纪要[2008]2号文</w:t>
            </w:r>
          </w:p>
        </w:tc>
      </w:tr>
    </w:tbl>
    <w:p>
      <w:pPr>
        <w:autoSpaceDE w:val="0"/>
        <w:autoSpaceDN w:val="0"/>
        <w:adjustRightInd w:val="0"/>
        <w:spacing w:line="584" w:lineRule="exact"/>
        <w:jc w:val="left"/>
        <w:rPr>
          <w:rFonts w:ascii="Times New Roman" w:hAnsi="Times New Roman" w:eastAsia="仿宋_GB2312" w:cs="Times New Roman"/>
          <w:sz w:val="18"/>
          <w:szCs w:val="18"/>
        </w:rPr>
      </w:pPr>
    </w:p>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7.53</w:t>
      </w:r>
      <w:r>
        <w:rPr>
          <w:rFonts w:hint="eastAsia"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911廊坊市广阳区万庄镇人民政府</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7.53</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7.53</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公用类项目</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118.2</w:t>
            </w:r>
          </w:p>
        </w:tc>
        <w:tc>
          <w:tcPr>
            <w:tcW w:w="1531" w:type="dxa"/>
            <w:vAlign w:val="center"/>
          </w:tcPr>
          <w:p>
            <w:pPr>
              <w:spacing w:line="300" w:lineRule="exact"/>
              <w:jc w:val="left"/>
              <w:rPr>
                <w:rFonts w:ascii="方正书宋_GBK" w:eastAsia="方正书宋_GBK" w:cs="Times New Roman"/>
                <w:b/>
              </w:rPr>
            </w:pPr>
            <w:r>
              <w:rPr>
                <w:rFonts w:hint="eastAsia" w:ascii="方正书宋_GBK" w:eastAsia="方正书宋_GBK" w:cs="Times New Roman"/>
                <w:b/>
              </w:rPr>
              <w:t>台式计算机</w:t>
            </w:r>
          </w:p>
        </w:tc>
        <w:tc>
          <w:tcPr>
            <w:tcW w:w="1531" w:type="dxa"/>
            <w:vAlign w:val="center"/>
          </w:tcPr>
          <w:p>
            <w:pPr>
              <w:spacing w:line="300" w:lineRule="exact"/>
              <w:jc w:val="left"/>
              <w:rPr>
                <w:rFonts w:ascii="方正书宋_GBK" w:eastAsia="方正书宋_GBK" w:cs="Times New Roman"/>
                <w:b/>
              </w:rPr>
            </w:pPr>
            <w:r>
              <w:rPr>
                <w:rFonts w:ascii="方正书宋_GBK" w:eastAsia="方正书宋_GBK" w:cs="Times New Roman"/>
                <w:b/>
              </w:rPr>
              <w:t>A02010104</w:t>
            </w:r>
          </w:p>
        </w:tc>
        <w:tc>
          <w:tcPr>
            <w:tcW w:w="709"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台</w:t>
            </w: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4</w:t>
            </w:r>
          </w:p>
        </w:tc>
        <w:tc>
          <w:tcPr>
            <w:tcW w:w="907" w:type="dxa"/>
            <w:vAlign w:val="center"/>
          </w:tcPr>
          <w:p>
            <w:pPr>
              <w:spacing w:line="300" w:lineRule="exact"/>
              <w:jc w:val="right"/>
              <w:rPr>
                <w:rFonts w:ascii="方正书宋_GBK" w:eastAsia="方正书宋_GBK" w:cs="Times New Roman"/>
                <w:b/>
              </w:rPr>
            </w:pPr>
            <w:r>
              <w:rPr>
                <w:rFonts w:ascii="方正书宋_GBK" w:eastAsia="方正书宋_GBK" w:cs="Times New Roman"/>
                <w:b/>
              </w:rPr>
              <w:t>0.41</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1.64</w:t>
            </w:r>
          </w:p>
        </w:tc>
        <w:tc>
          <w:tcPr>
            <w:tcW w:w="1134" w:type="dxa"/>
            <w:vAlign w:val="center"/>
          </w:tcPr>
          <w:p>
            <w:pPr>
              <w:spacing w:line="300" w:lineRule="exact"/>
              <w:jc w:val="right"/>
              <w:rPr>
                <w:rFonts w:ascii="方正书宋_GBK" w:eastAsia="方正书宋_GBK" w:cs="Times New Roman"/>
                <w:b/>
              </w:rPr>
            </w:pPr>
            <w:r>
              <w:rPr>
                <w:rFonts w:ascii="方正书宋_GBK" w:eastAsia="方正书宋_GBK" w:cs="Times New Roman"/>
                <w:b/>
              </w:rPr>
              <w:t>1.64</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公用类项目</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b/>
              </w:rPr>
              <w:t>118.2</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Times New Roman"/>
              </w:rPr>
              <w:t>激光打印机</w:t>
            </w:r>
          </w:p>
        </w:tc>
        <w:tc>
          <w:tcPr>
            <w:tcW w:w="1531" w:type="dxa"/>
            <w:vAlign w:val="center"/>
          </w:tcPr>
          <w:p>
            <w:pPr>
              <w:spacing w:line="300" w:lineRule="exact"/>
              <w:jc w:val="left"/>
              <w:rPr>
                <w:rFonts w:ascii="方正书宋_GBK" w:eastAsia="方正书宋_GBK" w:cs="Times New Roman"/>
                <w:sz w:val="18"/>
                <w:szCs w:val="18"/>
              </w:rPr>
            </w:pPr>
            <w:r>
              <w:rPr>
                <w:rFonts w:ascii="方正书宋_GBK" w:eastAsia="方正书宋_GBK" w:cs="Times New Roman"/>
                <w:sz w:val="18"/>
                <w:szCs w:val="18"/>
              </w:rPr>
              <w:t>A0201060102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5</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0.30</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1.5</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1.5</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公用类项目</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b/>
              </w:rPr>
              <w:t>118.2</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Times New Roman"/>
              </w:rPr>
              <w:t>激光打印机</w:t>
            </w:r>
          </w:p>
        </w:tc>
        <w:tc>
          <w:tcPr>
            <w:tcW w:w="1531" w:type="dxa"/>
            <w:vAlign w:val="center"/>
          </w:tcPr>
          <w:p>
            <w:pPr>
              <w:spacing w:line="300" w:lineRule="exact"/>
              <w:jc w:val="left"/>
              <w:rPr>
                <w:rFonts w:ascii="方正书宋_GBK" w:eastAsia="方正书宋_GBK" w:cs="Times New Roman"/>
                <w:sz w:val="18"/>
                <w:szCs w:val="18"/>
              </w:rPr>
            </w:pPr>
            <w:r>
              <w:rPr>
                <w:rFonts w:ascii="方正书宋_GBK" w:eastAsia="方正书宋_GBK" w:cs="Times New Roman"/>
                <w:sz w:val="18"/>
                <w:szCs w:val="18"/>
              </w:rPr>
              <w:t>A0201060102</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5</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0.20</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1.00</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1.00</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公用类项目</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b/>
              </w:rPr>
              <w:t>118.2</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Times New Roman"/>
              </w:rPr>
              <w:t>空调机</w:t>
            </w:r>
          </w:p>
        </w:tc>
        <w:tc>
          <w:tcPr>
            <w:tcW w:w="1531" w:type="dxa"/>
            <w:vAlign w:val="center"/>
          </w:tcPr>
          <w:p>
            <w:pPr>
              <w:spacing w:line="300" w:lineRule="exact"/>
              <w:jc w:val="left"/>
              <w:rPr>
                <w:rFonts w:ascii="方正书宋_GBK" w:eastAsia="方正书宋_GBK" w:cs="Times New Roman"/>
              </w:rPr>
            </w:pPr>
            <w:r>
              <w:rPr>
                <w:rFonts w:ascii="方正书宋_GBK" w:eastAsia="方正书宋_GBK" w:cs="Times New Roman"/>
              </w:rPr>
              <w:t>A</w:t>
            </w:r>
            <w:r>
              <w:rPr>
                <w:rFonts w:ascii="方正书宋_GBK" w:eastAsia="方正书宋_GBK" w:cs="Times New Roman"/>
                <w:sz w:val="18"/>
                <w:szCs w:val="18"/>
              </w:rPr>
              <w:t>0206180203</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台</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6</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0.34</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2.04</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2.04</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rPr>
              <w:t>公用类项目</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b/>
              </w:rPr>
              <w:t>118.2</w:t>
            </w:r>
          </w:p>
        </w:tc>
        <w:tc>
          <w:tcPr>
            <w:tcW w:w="1531" w:type="dxa"/>
            <w:vAlign w:val="center"/>
          </w:tcPr>
          <w:p>
            <w:pPr>
              <w:spacing w:line="300" w:lineRule="exact"/>
              <w:jc w:val="left"/>
              <w:rPr>
                <w:rFonts w:ascii="方正书宋_GBK" w:eastAsia="方正书宋_GBK" w:cs="Times New Roman"/>
              </w:rPr>
            </w:pPr>
            <w:r>
              <w:rPr>
                <w:rFonts w:hint="eastAsia" w:ascii="方正书宋_GBK" w:eastAsia="方正书宋_GBK" w:cs="Times New Roman"/>
              </w:rPr>
              <w:t>木制台、桌类</w:t>
            </w:r>
          </w:p>
        </w:tc>
        <w:tc>
          <w:tcPr>
            <w:tcW w:w="1531" w:type="dxa"/>
            <w:vAlign w:val="center"/>
          </w:tcPr>
          <w:p>
            <w:pPr>
              <w:spacing w:line="300" w:lineRule="exact"/>
              <w:jc w:val="left"/>
              <w:rPr>
                <w:rFonts w:ascii="方正书宋_GBK" w:eastAsia="方正书宋_GBK" w:cs="Times New Roman"/>
              </w:rPr>
            </w:pPr>
            <w:r>
              <w:rPr>
                <w:rFonts w:ascii="方正书宋_GBK" w:eastAsia="方正书宋_GBK" w:cs="Times New Roman"/>
              </w:rPr>
              <w:t>A060205</w:t>
            </w:r>
          </w:p>
        </w:tc>
        <w:tc>
          <w:tcPr>
            <w:tcW w:w="709" w:type="dxa"/>
            <w:vAlign w:val="center"/>
          </w:tcPr>
          <w:p>
            <w:pPr>
              <w:spacing w:line="300" w:lineRule="exact"/>
              <w:jc w:val="center"/>
              <w:rPr>
                <w:rFonts w:ascii="方正书宋_GBK" w:eastAsia="方正书宋_GBK" w:cs="Times New Roman"/>
              </w:rPr>
            </w:pPr>
            <w:r>
              <w:rPr>
                <w:rFonts w:hint="eastAsia" w:ascii="方正书宋_GBK" w:eastAsia="方正书宋_GBK" w:cs="Times New Roman"/>
                <w:b/>
              </w:rPr>
              <w:t>张</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15</w:t>
            </w:r>
          </w:p>
        </w:tc>
        <w:tc>
          <w:tcPr>
            <w:tcW w:w="907" w:type="dxa"/>
            <w:vAlign w:val="center"/>
          </w:tcPr>
          <w:p>
            <w:pPr>
              <w:spacing w:line="300" w:lineRule="exact"/>
              <w:jc w:val="right"/>
              <w:rPr>
                <w:rFonts w:ascii="方正书宋_GBK" w:eastAsia="方正书宋_GBK" w:cs="Times New Roman"/>
              </w:rPr>
            </w:pPr>
            <w:r>
              <w:rPr>
                <w:rFonts w:ascii="方正书宋_GBK" w:eastAsia="方正书宋_GBK" w:cs="Times New Roman"/>
              </w:rPr>
              <w:t>0.09</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1.35</w:t>
            </w:r>
          </w:p>
        </w:tc>
        <w:tc>
          <w:tcPr>
            <w:tcW w:w="1134" w:type="dxa"/>
            <w:vAlign w:val="center"/>
          </w:tcPr>
          <w:p>
            <w:pPr>
              <w:spacing w:line="300" w:lineRule="exact"/>
              <w:jc w:val="right"/>
              <w:rPr>
                <w:rFonts w:ascii="方正书宋_GBK" w:eastAsia="方正书宋_GBK" w:cs="Times New Roman"/>
              </w:rPr>
            </w:pPr>
            <w:r>
              <w:rPr>
                <w:rFonts w:ascii="方正书宋_GBK" w:eastAsia="方正书宋_GBK" w:cs="Times New Roman"/>
              </w:rPr>
              <w:t>1.35</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廊坊市广阳区万庄镇人民政府（含所属单位）上年末固定资产金额为</w:t>
      </w:r>
      <w:r>
        <w:rPr>
          <w:rFonts w:ascii="Times New Roman" w:hAnsi="Times New Roman" w:eastAsia="仿宋_GB2312"/>
          <w:sz w:val="32"/>
          <w:szCs w:val="32"/>
        </w:rPr>
        <w:t>1136.95</w:t>
      </w:r>
      <w:r>
        <w:rPr>
          <w:rFonts w:hint="eastAsia" w:ascii="Times New Roman" w:hAnsi="Times New Roman" w:eastAsia="仿宋_GB2312" w:cs="Times New Roman"/>
          <w:sz w:val="32"/>
          <w:szCs w:val="32"/>
        </w:rPr>
        <w:t>万元（详见下表），本年度我部门拟购置固定资产总额为</w:t>
      </w:r>
      <w:r>
        <w:rPr>
          <w:rFonts w:ascii="Times New Roman" w:hAnsi="Times New Roman" w:eastAsia="仿宋_GB2312" w:cs="Times New Roman"/>
          <w:sz w:val="32"/>
          <w:szCs w:val="32"/>
        </w:rPr>
        <w:t>7.53</w:t>
      </w:r>
      <w:r>
        <w:rPr>
          <w:rFonts w:hint="eastAsia" w:ascii="Times New Roman" w:hAnsi="Times New Roman" w:eastAsia="仿宋_GB2312" w:cs="Times New Roman"/>
          <w:sz w:val="32"/>
          <w:szCs w:val="32"/>
        </w:rPr>
        <w:t>万元，主要为（计算机设备、打印设备、空调、办公家具）等，已列入政府采购预算，详见政府采购预算表。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廊坊市广阳区万庄镇人民政府部门固定资产占用情况表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编制部门：廊坊市广阳区万庄镇人民政府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1136.95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15035</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15034</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7</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150.97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1902</w:t>
            </w:r>
          </w:p>
        </w:tc>
        <w:tc>
          <w:tcPr>
            <w:tcW w:w="5103"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sz w:val="22"/>
              </w:rPr>
            </w:pPr>
            <w:r>
              <w:rPr>
                <w:rFonts w:ascii="Times New Roman" w:hAnsi="Times New Roman" w:eastAsia="仿宋_GB2312"/>
                <w:sz w:val="22"/>
              </w:rPr>
              <w:t>270.3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5</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4D142"/>
    <w:multiLevelType w:val="singleLevel"/>
    <w:tmpl w:val="C944D14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474C"/>
    <w:rsid w:val="000741F3"/>
    <w:rsid w:val="000B3CAF"/>
    <w:rsid w:val="000C38F4"/>
    <w:rsid w:val="00271F09"/>
    <w:rsid w:val="002C300D"/>
    <w:rsid w:val="002C55AB"/>
    <w:rsid w:val="002D3387"/>
    <w:rsid w:val="002E652E"/>
    <w:rsid w:val="00301F9F"/>
    <w:rsid w:val="003510E6"/>
    <w:rsid w:val="00356683"/>
    <w:rsid w:val="00395080"/>
    <w:rsid w:val="0046796F"/>
    <w:rsid w:val="004A54AA"/>
    <w:rsid w:val="004B7046"/>
    <w:rsid w:val="004D2E40"/>
    <w:rsid w:val="00557CB3"/>
    <w:rsid w:val="005D288E"/>
    <w:rsid w:val="007B18F8"/>
    <w:rsid w:val="007D37D2"/>
    <w:rsid w:val="007F4247"/>
    <w:rsid w:val="007F4795"/>
    <w:rsid w:val="00807A76"/>
    <w:rsid w:val="00890812"/>
    <w:rsid w:val="008B7E7A"/>
    <w:rsid w:val="008C7054"/>
    <w:rsid w:val="008F0EB4"/>
    <w:rsid w:val="0090563F"/>
    <w:rsid w:val="00A218C6"/>
    <w:rsid w:val="00A704CD"/>
    <w:rsid w:val="00B17B32"/>
    <w:rsid w:val="00B57AFA"/>
    <w:rsid w:val="00B7351F"/>
    <w:rsid w:val="00B80935"/>
    <w:rsid w:val="00B83C05"/>
    <w:rsid w:val="00BC6F7D"/>
    <w:rsid w:val="00C16728"/>
    <w:rsid w:val="00C42F08"/>
    <w:rsid w:val="00CE4800"/>
    <w:rsid w:val="00D347CC"/>
    <w:rsid w:val="00E16292"/>
    <w:rsid w:val="00E27CE3"/>
    <w:rsid w:val="00F833AA"/>
    <w:rsid w:val="00FB2B4C"/>
    <w:rsid w:val="083F0C04"/>
    <w:rsid w:val="3F4C0857"/>
    <w:rsid w:val="466426B9"/>
    <w:rsid w:val="6AF97FE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link w:val="13"/>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99"/>
    <w:rPr>
      <w:rFonts w:ascii="Times New Roman" w:hAnsi="Times New Roman" w:cs="Times New Roman"/>
      <w:szCs w:val="24"/>
    </w:rPr>
  </w:style>
  <w:style w:type="paragraph" w:styleId="6">
    <w:name w:val="footnote text"/>
    <w:basedOn w:val="1"/>
    <w:link w:val="15"/>
    <w:qFormat/>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qFormat/>
    <w:uiPriority w:val="99"/>
    <w:rPr>
      <w:rFonts w:cs="Times New Roman"/>
      <w:vertAlign w:val="superscript"/>
    </w:rPr>
  </w:style>
  <w:style w:type="character" w:customStyle="1" w:styleId="11">
    <w:name w:val="页眉 Char"/>
    <w:link w:val="4"/>
    <w:semiHidden/>
    <w:qFormat/>
    <w:uiPriority w:val="99"/>
    <w:rPr>
      <w:rFonts w:ascii="Calibri" w:hAnsi="Calibri" w:cs="Arial"/>
      <w:sz w:val="18"/>
      <w:szCs w:val="18"/>
    </w:rPr>
  </w:style>
  <w:style w:type="character" w:customStyle="1" w:styleId="12">
    <w:name w:val="页脚 Char"/>
    <w:link w:val="3"/>
    <w:semiHidden/>
    <w:qFormat/>
    <w:uiPriority w:val="99"/>
    <w:rPr>
      <w:rFonts w:ascii="Calibri" w:hAnsi="Calibri" w:cs="Arial"/>
      <w:sz w:val="18"/>
      <w:szCs w:val="18"/>
    </w:rPr>
  </w:style>
  <w:style w:type="character" w:customStyle="1" w:styleId="13">
    <w:name w:val="批注框文本 Char"/>
    <w:link w:val="2"/>
    <w:semiHidden/>
    <w:qFormat/>
    <w:uiPriority w:val="99"/>
    <w:rPr>
      <w:rFonts w:ascii="Calibri" w:hAnsi="Calibri" w:cs="Arial"/>
      <w:sz w:val="0"/>
      <w:szCs w:val="0"/>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link w:val="6"/>
    <w:semiHidden/>
    <w:qFormat/>
    <w:uiPriority w:val="99"/>
    <w:rPr>
      <w:rFonts w:ascii="Calibri" w:hAnsi="Calibri" w:cs="Arial"/>
      <w:sz w:val="18"/>
      <w:szCs w:val="18"/>
    </w:rPr>
  </w:style>
  <w:style w:type="paragraph" w:customStyle="1" w:styleId="16">
    <w:name w:val="[Normal]"/>
    <w:qFormat/>
    <w:uiPriority w:val="99"/>
    <w:pPr>
      <w:widowControl w:val="0"/>
      <w:autoSpaceDE w:val="0"/>
      <w:autoSpaceDN w:val="0"/>
      <w:adjustRightInd w:val="0"/>
    </w:pPr>
    <w:rPr>
      <w:rFonts w:ascii="宋体" w:hAnsi="Calibri"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1240</Words>
  <Characters>7074</Characters>
  <Lines>58</Lines>
  <Paragraphs>16</Paragraphs>
  <TotalTime>21</TotalTime>
  <ScaleCrop>false</ScaleCrop>
  <LinksUpToDate>false</LinksUpToDate>
  <CharactersWithSpaces>8298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2024-05-16T03:01:49Z</dcterms:modified>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CD3872D8CE6A490B8782DEDDF49C76BD</vt:lpwstr>
  </property>
</Properties>
</file>