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Times New Roman" w:cs="Times New Roman"/>
          <w:sz w:val="44"/>
          <w:szCs w:val="44"/>
        </w:rPr>
      </w:pPr>
    </w:p>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廊坊市广阳区工业和信息化局</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ind w:firstLine="1280" w:firstLineChars="400"/>
        <w:jc w:val="left"/>
        <w:rPr>
          <w:rFonts w:ascii="Times New Roman" w:hAnsi="Times New Roman" w:eastAsia="仿宋_GB2312" w:cs="Times New Roman"/>
          <w:sz w:val="32"/>
          <w:szCs w:val="32"/>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w:t>
      </w:r>
      <w:r>
        <w:rPr>
          <w:rFonts w:hint="eastAsia" w:ascii="Times New Roman" w:hAnsi="Times New Roman" w:eastAsia="仿宋_GB2312" w:cs="Times New Roman"/>
          <w:sz w:val="32"/>
          <w:szCs w:val="32"/>
        </w:rPr>
        <w:t>现将廊坊市广阳区工业和信息化局2021年部门预算公开如下：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宋体"/>
        </w:rPr>
      </w:pPr>
      <w:r>
        <w:rPr>
          <w:rFonts w:hint="eastAsia" w:ascii="Times New Roman" w:hAnsi="Times New Roman" w:eastAsia="楷体_GB2312" w:cs="Times New Roman"/>
          <w:b/>
          <w:sz w:val="32"/>
          <w:szCs w:val="32"/>
        </w:rPr>
        <w:t>部门职责：</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（一）办公室。</w:t>
      </w:r>
      <w:r>
        <w:rPr>
          <w:rFonts w:hint="eastAsia" w:ascii="Times New Roman" w:hAnsi="Times New Roman" w:eastAsia="仿宋_GB2312" w:cs="Times New Roman"/>
          <w:sz w:val="32"/>
          <w:szCs w:val="32"/>
        </w:rPr>
        <w:t>协调局机关政务工作；负责文电、会务、档案等机关日常运转工作；承担信息、安全保密、督查督办、信访、安全、后勤保障等工作；承办人大代表建议、政协提案；承担政务公开、宣传报道、新闻发布等工作；负责与民主党派对口联系。</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局机关机构编制、人事管理、队伍建设等工作；组织开展局机关培训教育工作;负责局机关离退休干部工作；负责局机关的党群工作和党风廉政建设工作。负责机关共青团、妇女工作和机关工会工作。负责机关规范性文件以及重大决策</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合法性审核和备案工作；依法对工业项目招标投标活动实施监督；承担重要文件和综合性文稿起草工作。负责机关财务、资产管理等相关工作，组织实施内部审计、专项资金检查和预算绩效评价。</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（二）综合业务股。</w:t>
      </w:r>
      <w:r>
        <w:rPr>
          <w:rFonts w:hint="eastAsia" w:ascii="Times New Roman" w:hAnsi="Times New Roman" w:eastAsia="仿宋_GB2312" w:cs="Times New Roman"/>
          <w:sz w:val="32"/>
          <w:szCs w:val="32"/>
        </w:rPr>
        <w:t>组织拟订全区工业发展战略、规划；负责组织全区工业企业技术改造投资项目核准、备案工作；推进全区现代产业体系建设;提出全区工业固定资产投资规模和方向（含利用外资和境外投资）、国家和省、市、区级财政性资金安排的建议，经区政府批准后组织实施；拟订和修订全区产业结构调整目录的相关内容，参与工业投资项目的审核。指导全区工业技改引导股权投资基金管理工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监测分析工业日常运行,统计并发布相关信息,进行预测预警和信息引导;协调解决行业运行发展中的有关问题；负责全区工业用电运行监测协调，指导工业用电需求侧管理工作；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全区民营经济的宏观指导、综合协调，会同有关部门拟订促进民营经济的发展规划并组织实施，协调解决相关问题，推动中小企业聚集发展；提出中小企业发展专项资金年度使用计划建议，指导区中小企业发展基金管理工作；负责中小企业统计网络建设、运行监测和统计分析；负责指导中小企业促进工作，推进中小企业公共服务体系建设；指导中小企业人才队伍建设，有计划组织实施中小企业管理人员培训；支持中小企业创业创新，推进中小企业“专精特新”发展。提出中小微企业融资建议，拓宽中小微企业融资渠道。</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订并组织实施全区工业的能源节约和资源综合利用；促进政策，组织和指导工业节能装备（产品）制造、企业节能管理；组织协调相关重大示范工程和新产品、新技术、新设备、新材料的推广应用；研究制定并组织实施工业“三废”资源的综合利用政策及项目推广；指导推进工业绿色发展和绿色制造工作。拟订并组织实施原材料工业、装备工业、消费品工业发展战略、规划；提出原材料工业、装备工业、消费品工业结构调整目标、产业布局和重点技术改造项目贴息资金意见；协调发展中的重大问题和重大事项；负责组织申报国家和省市工业相关专项；组织实施首台（套）重大技术装备应用工作；推进智能制造发展；组织实施相关行业的技术规范和标准；承担全区钢铁、有色、黄金、稀土、石化（不含炼油）、化工（不含煤制燃料和燃料乙醇）、建材等行业管理工作；承担轻工、纺织、食品、医药、家电等行业管理工作；按职责分工承担区新能源汽车发展和推广应用、药品储备管理、减轻企业负担、淘汰落后产能等相关工作，承担除食盐以外的其他盐业行政管理工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导全区工业加强安全生产管理,指导工业安全生产标准体系建设和科技成果推广；参与重特大安全生产事故的调查、处理；负责工业安全生产宣传教育工作；负责拟订民爆行业生产流通的发展规划；负责民爆行业生产流通的监督管理和安全生产工作；承担履行禁止化学武器公约日常工作。</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（三）科技电子信息产业股。</w:t>
      </w:r>
      <w:r>
        <w:rPr>
          <w:rFonts w:hint="eastAsia" w:ascii="Times New Roman" w:hAnsi="Times New Roman" w:eastAsia="仿宋_GB2312" w:cs="Times New Roman"/>
          <w:sz w:val="32"/>
          <w:szCs w:val="32"/>
        </w:rPr>
        <w:t>承担电子信息产品制造业行业管理工作；指导软件业发展；研究拟订电子信息产品制造业、软件和信息服务业发展战略、规划和重点专项规划；编制行业投资指南，承办需国家和省、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协调信息安全技术开发。</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实施国家工业行业技术规范和标准,指导行业质量管理工作，推进实施有关国家和省、市、区科技重大专项,推动技术创新和产学研相结合；协调指导与制造业相关的生产性服务业发展，推进制造业商业模式创新和业态创新。承担促进全区工业设计发展相关工作，负责拟订并组织实施工业设计发展规划及相关政策措施；提出工业文化遗产保护与利用、工业旅游的政策建议，促进工业文化发展。</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统筹推进全区工业领域信息化发展；研究拟订信息化和工业化融合发展、规划、标准和政策措施；指导推进工业领域数字化、网络化、智能化；推动建立信息化和工业化融合绩效评估制度；统筹指导工业领域信息安全；研究拟订工业信息安全发展战略、规划、政策和标准；指导做好重要工业领域工控系统信息安全保障工作。</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对外经济交流与合作、技术引进有关事宜的综合协调工作;指导和推动工业企业、民营企业开展国际化经营和海外资；按规定协调解决外商投资工业企业运行过程中的有关问题；组织企业参加各类展洽会；负责机关外事工作。</w:t>
      </w:r>
    </w:p>
    <w:p>
      <w:pPr>
        <w:autoSpaceDE w:val="0"/>
        <w:autoSpaceDN w:val="0"/>
        <w:adjustRightInd w:val="0"/>
        <w:spacing w:line="584"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10"/>
        <w:tblW w:w="10146" w:type="dxa"/>
        <w:tblInd w:w="8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6"/>
        <w:gridCol w:w="1770"/>
        <w:gridCol w:w="1530"/>
        <w:gridCol w:w="2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trPr>
        <w:tc>
          <w:tcPr>
            <w:tcW w:w="4146" w:type="dxa"/>
            <w:vMerge w:val="restart"/>
            <w:vAlign w:val="center"/>
          </w:tcPr>
          <w:p>
            <w:pPr>
              <w:spacing w:line="584" w:lineRule="exact"/>
              <w:jc w:val="center"/>
              <w:rPr>
                <w:rFonts w:ascii="Times New Roman" w:hAnsi="Times New Roman" w:eastAsia="Times New Roman" w:cs="Times New Roman"/>
                <w:b/>
                <w:szCs w:val="24"/>
              </w:rPr>
            </w:pPr>
            <w:r>
              <w:rPr>
                <w:rFonts w:hint="eastAsia" w:ascii="宋体" w:hAnsi="宋体" w:cs="宋体"/>
                <w:b/>
                <w:szCs w:val="24"/>
              </w:rPr>
              <w:t>单位名称</w:t>
            </w:r>
          </w:p>
        </w:tc>
        <w:tc>
          <w:tcPr>
            <w:tcW w:w="1770" w:type="dxa"/>
            <w:vMerge w:val="restart"/>
            <w:vAlign w:val="center"/>
          </w:tcPr>
          <w:p>
            <w:pPr>
              <w:spacing w:line="584" w:lineRule="exact"/>
              <w:jc w:val="center"/>
              <w:rPr>
                <w:rFonts w:ascii="Times New Roman" w:hAnsi="Times New Roman" w:eastAsia="Times New Roman" w:cs="Times New Roman"/>
                <w:b/>
                <w:szCs w:val="24"/>
              </w:rPr>
            </w:pPr>
            <w:r>
              <w:rPr>
                <w:rFonts w:hint="eastAsia" w:ascii="宋体" w:hAnsi="宋体" w:cs="宋体"/>
                <w:b/>
                <w:szCs w:val="24"/>
              </w:rPr>
              <w:t>单位性质</w:t>
            </w:r>
          </w:p>
        </w:tc>
        <w:tc>
          <w:tcPr>
            <w:tcW w:w="1530" w:type="dxa"/>
            <w:vMerge w:val="restart"/>
            <w:vAlign w:val="center"/>
          </w:tcPr>
          <w:p>
            <w:pPr>
              <w:spacing w:line="584" w:lineRule="exact"/>
              <w:jc w:val="center"/>
              <w:rPr>
                <w:rFonts w:ascii="Times New Roman" w:hAnsi="Times New Roman" w:eastAsia="Times New Roman" w:cs="Times New Roman"/>
                <w:b/>
                <w:szCs w:val="24"/>
              </w:rPr>
            </w:pPr>
            <w:r>
              <w:rPr>
                <w:rFonts w:hint="eastAsia" w:ascii="宋体" w:hAnsi="宋体" w:cs="宋体"/>
                <w:b/>
                <w:szCs w:val="24"/>
              </w:rPr>
              <w:t>单位规格</w:t>
            </w:r>
          </w:p>
        </w:tc>
        <w:tc>
          <w:tcPr>
            <w:tcW w:w="2700" w:type="dxa"/>
            <w:vMerge w:val="restart"/>
            <w:vAlign w:val="center"/>
          </w:tcPr>
          <w:p>
            <w:pPr>
              <w:spacing w:line="584" w:lineRule="exact"/>
              <w:jc w:val="center"/>
              <w:rPr>
                <w:rFonts w:ascii="Times New Roman" w:hAnsi="Times New Roman" w:eastAsia="Times New Roman" w:cs="Times New Roman"/>
                <w:b/>
                <w:szCs w:val="24"/>
              </w:rPr>
            </w:pPr>
            <w:r>
              <w:rPr>
                <w:rFonts w:hint="eastAsia" w:ascii="宋体" w:hAnsi="宋体" w:cs="宋体"/>
                <w:b/>
                <w:szCs w:val="24"/>
              </w:rPr>
              <w:t>经费保障形式</w:t>
            </w:r>
          </w:p>
          <w:p>
            <w:pPr>
              <w:spacing w:line="584" w:lineRule="exact"/>
              <w:jc w:val="center"/>
              <w:rPr>
                <w:rFonts w:ascii="Times New Roman" w:hAnsi="Times New Roman" w:eastAsia="Times New Roman"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trPr>
        <w:tc>
          <w:tcPr>
            <w:tcW w:w="4146" w:type="dxa"/>
            <w:vMerge w:val="continue"/>
            <w:vAlign w:val="center"/>
          </w:tcPr>
          <w:p/>
        </w:tc>
        <w:tc>
          <w:tcPr>
            <w:tcW w:w="1770" w:type="dxa"/>
            <w:vMerge w:val="continue"/>
            <w:vAlign w:val="center"/>
          </w:tcPr>
          <w:p/>
        </w:tc>
        <w:tc>
          <w:tcPr>
            <w:tcW w:w="1530" w:type="dxa"/>
            <w:vMerge w:val="continue"/>
            <w:vAlign w:val="center"/>
          </w:tcPr>
          <w:p/>
        </w:tc>
        <w:tc>
          <w:tcPr>
            <w:tcW w:w="2700"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rPr>
        <w:tc>
          <w:tcPr>
            <w:tcW w:w="4146" w:type="dxa"/>
            <w:vAlign w:val="center"/>
          </w:tcPr>
          <w:p>
            <w:pPr>
              <w:spacing w:line="584" w:lineRule="exact"/>
              <w:jc w:val="center"/>
              <w:rPr>
                <w:rFonts w:ascii="Times New Roman" w:hAnsi="Times New Roman" w:cs="Times New Roman"/>
                <w:b/>
              </w:rPr>
            </w:pPr>
            <w:r>
              <w:rPr>
                <w:rFonts w:hint="eastAsia" w:ascii="宋体" w:hAnsi="宋体" w:cs="宋体"/>
                <w:b/>
              </w:rPr>
              <w:t>廊坊市广阳区工业和信息化局</w:t>
            </w:r>
          </w:p>
        </w:tc>
        <w:tc>
          <w:tcPr>
            <w:tcW w:w="1770" w:type="dxa"/>
            <w:vAlign w:val="center"/>
          </w:tcPr>
          <w:p>
            <w:pPr>
              <w:spacing w:line="584" w:lineRule="exact"/>
              <w:jc w:val="center"/>
              <w:rPr>
                <w:rFonts w:ascii="Times New Roman" w:hAnsi="Times New Roman" w:eastAsia="Times New Roman" w:cs="Times New Roman"/>
                <w:b/>
              </w:rPr>
            </w:pPr>
            <w:r>
              <w:rPr>
                <w:rFonts w:hint="eastAsia" w:ascii="宋体" w:hAnsi="宋体" w:cs="宋体"/>
                <w:b/>
              </w:rPr>
              <w:t>行政</w:t>
            </w:r>
          </w:p>
        </w:tc>
        <w:tc>
          <w:tcPr>
            <w:tcW w:w="1530" w:type="dxa"/>
            <w:vAlign w:val="center"/>
          </w:tcPr>
          <w:p>
            <w:pPr>
              <w:spacing w:line="584" w:lineRule="exact"/>
              <w:jc w:val="center"/>
              <w:rPr>
                <w:rFonts w:ascii="Times New Roman" w:hAnsi="Times New Roman" w:eastAsia="Times New Roman" w:cs="Times New Roman"/>
                <w:b/>
              </w:rPr>
            </w:pPr>
            <w:r>
              <w:rPr>
                <w:rFonts w:hint="eastAsia" w:ascii="宋体" w:hAnsi="宋体" w:cs="宋体"/>
                <w:b/>
              </w:rPr>
              <w:t>正科级</w:t>
            </w:r>
          </w:p>
        </w:tc>
        <w:tc>
          <w:tcPr>
            <w:tcW w:w="2700" w:type="dxa"/>
            <w:vAlign w:val="center"/>
          </w:tcPr>
          <w:p>
            <w:pPr>
              <w:spacing w:line="584" w:lineRule="exact"/>
              <w:jc w:val="center"/>
              <w:rPr>
                <w:rFonts w:ascii="Times New Roman" w:hAnsi="Times New Roman" w:eastAsia="Times New Roman" w:cs="Times New Roman"/>
                <w:b/>
              </w:rPr>
            </w:pPr>
            <w:r>
              <w:rPr>
                <w:rFonts w:hint="eastAsia" w:ascii="宋体" w:hAnsi="宋体" w:cs="宋体"/>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rPr>
        <w:tc>
          <w:tcPr>
            <w:tcW w:w="4146" w:type="dxa"/>
            <w:vAlign w:val="center"/>
          </w:tcPr>
          <w:p>
            <w:pPr>
              <w:spacing w:line="584" w:lineRule="exact"/>
              <w:jc w:val="left"/>
              <w:rPr>
                <w:rFonts w:ascii="Times New Roman" w:hAnsi="Times New Roman" w:eastAsia="Times New Roman" w:cs="Times New Roman"/>
              </w:rPr>
            </w:pPr>
          </w:p>
        </w:tc>
        <w:tc>
          <w:tcPr>
            <w:tcW w:w="1770" w:type="dxa"/>
            <w:vAlign w:val="center"/>
          </w:tcPr>
          <w:p>
            <w:pPr>
              <w:spacing w:line="584" w:lineRule="exact"/>
              <w:jc w:val="center"/>
              <w:rPr>
                <w:rFonts w:ascii="Times New Roman" w:hAnsi="Times New Roman" w:eastAsia="Times New Roman" w:cs="Times New Roman"/>
              </w:rPr>
            </w:pPr>
          </w:p>
        </w:tc>
        <w:tc>
          <w:tcPr>
            <w:tcW w:w="1530" w:type="dxa"/>
            <w:vAlign w:val="center"/>
          </w:tcPr>
          <w:p>
            <w:pPr>
              <w:spacing w:line="584" w:lineRule="exact"/>
              <w:jc w:val="center"/>
              <w:rPr>
                <w:rFonts w:ascii="Times New Roman" w:hAnsi="Times New Roman" w:eastAsia="Times New Roman" w:cs="Times New Roman"/>
              </w:rPr>
            </w:pPr>
          </w:p>
        </w:tc>
        <w:tc>
          <w:tcPr>
            <w:tcW w:w="2700" w:type="dxa"/>
            <w:vAlign w:val="center"/>
          </w:tcPr>
          <w:p>
            <w:pPr>
              <w:spacing w:line="584" w:lineRule="exact"/>
              <w:jc w:val="center"/>
              <w:rPr>
                <w:rFonts w:ascii="Times New Roman" w:hAnsi="Times New Roman" w:eastAsia="Times New Roman" w:cs="Times New Roman"/>
              </w:rPr>
            </w:pPr>
          </w:p>
        </w:tc>
      </w:tr>
    </w:tbl>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按照预算管理有关规定，目前我区部门预算的编制实行综合预算制度，即全部收入和支出都反映在预算中。廊坊市广阳区工业和信息化局的收支包含在部门预算中。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反映本部门当年全部收入。2021年预算收入207.35万元，其中：一般公共预算收入207.35万元，基金预算收入0万元，财政专户核拨收入0万元，其他来源收入0万元，上年结转0万元。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2021年度部门预算中支出预算的总体情况。2021年支出预算207.35元，其中基本支出207.35万元，包括人员类项目经费192.76万元和运转类公用项目经费14.59万元；运转类其他及特定目标类项目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2021年预算收支安排207.35万元，较2020年预算减少95.45万元，其中：基本支出减少35.45万元，主要为人员调整；项目支出减少60万元，主要为项目调整。</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2021年，我机关运行经费共计安排14.59万元，主要用于广阳区工信局办公区的日常维修、办公用房水电费、办公用房取暖费、办公用房物业管理费等日常运行支出。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我单位财政拨款“三公”经费预算安排2.19万元。其中，因公出国（境）费0万元；公务用车购置及运维费2.19万元（其中：公务用车购置费为0万元，公务用车运维费2.19万元)；公务接待费0万元。与2020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（一）总体绩效目标</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1.继续开展领导包联企业行动，进一步优化营商环境。</w:t>
      </w:r>
    </w:p>
    <w:p>
      <w:pPr>
        <w:pStyle w:val="18"/>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通过定期走访企业，及时了解企业生产生活中存在的问题，尽快帮助企业解决发展中的困难，探索企业加快发展的路径，促进企业创新发展，实现转型升级。</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2.开展企业家素质提升培训工程，提高企业管理水平</w:t>
      </w:r>
    </w:p>
    <w:p>
      <w:pPr>
        <w:pStyle w:val="18"/>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采取“请进来，走出去”的形式，组织企业经营管理者进高校培训考察活动，感知国内国际最新经济形势和前沿理念，提升企业家经营理念，从而推动我区企业先进化、国际化发展。</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3.认真开展企业巡诊，落实企业“一厂一策”制度。</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聘请经济专家，深入企业开展问诊活动，针对企业不同情况，找准症结，制定切实可行的发展路径，全方位、多角度引导企业上档升级，做大做强，提高我区企业整体实力。</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4.深入企业宣传惠企政策，积极争取上级资金扶持。</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深入企业搞好调研，及时宣传国家省市惠企政策，鼓励企业技术创新，升级改造，积极帮助企业申报省市扶持项目，推动企业发展壮大。</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5.持续推动“大智移云”产业发展</w:t>
      </w:r>
    </w:p>
    <w:p>
      <w:pPr>
        <w:pStyle w:val="18"/>
        <w:ind w:left="420" w:leftChars="200"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打造智能制造、电子商务、文化创意等现代产业集群,着力打造经济发展新动能。推动“互联网+”领域的重点建设,继续支持辖区电子信息产业龙头企业在我区加快发展,力促广阳区工信、科技、人社、教育等部门与相关企业、相关高校联合打造的广阳区软件与信息化产业人才培育基地项目尽快落地。组织企业积极参加“廊坊企业进高校”及国家、省市部门组织的培训学习会议，拓宽企业家视野。</w:t>
      </w:r>
      <w:bookmarkStart w:id="0" w:name="_Toc67212910"/>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bookmarkEnd w:id="0"/>
      <w:r>
        <w:rPr>
          <w:rFonts w:hint="eastAsia" w:ascii="楷体_GB2312" w:eastAsia="楷体_GB2312" w:cs="Times New Roman"/>
          <w:b/>
          <w:sz w:val="32"/>
          <w:szCs w:val="32"/>
        </w:rPr>
        <w:fldChar w:fldCharType="begin"/>
      </w:r>
      <w:r>
        <w:rPr>
          <w:rFonts w:hint="eastAsia" w:ascii="楷体_GB2312" w:eastAsia="楷体_GB2312" w:cs="Times New Roman"/>
          <w:b/>
          <w:sz w:val="32"/>
          <w:szCs w:val="32"/>
        </w:rPr>
        <w:instrText xml:space="preserve"> TC 分项绩效目标 \f A \l 1 </w:instrText>
      </w:r>
      <w:r>
        <w:rPr>
          <w:rFonts w:hint="eastAsia" w:ascii="楷体_GB2312" w:eastAsia="楷体_GB2312" w:cs="Times New Roman"/>
          <w:b/>
          <w:sz w:val="32"/>
          <w:szCs w:val="32"/>
        </w:rPr>
        <w:fldChar w:fldCharType="end"/>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1.大力推进项目建设。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抓住京津冀协同发展的战略机遇，紧紧围绕工业实体经济上项目、育产业，大力抓好高端装备制造、电子信息等战略性新兴产业项目。全面落实领导联系重点项目制度，加强跟踪调度，强化服务管理，积极协调解决项目建设过程中的各种困难，督促项目单位加快建设进度，力争保证项目快开工、快投产、快验收、快见效。 </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2.做大做强优势产业。</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电子信息、装备制造、生物医药、现代物流、农副产品深加工等主导产业为重点发展目标，积极引项争资，提供优越发展平台。积极落实好国家省市支持工业企业发展的各项优惠政策，在技术创新、品牌建设等方面予以重奖，大力支持企业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3.加强工业经济运行调控。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一步强化工业经济形势分析和预测预警工作，及时掌握了解全区工业发展现状和经济运行态势，指导全区经济形势走势。扎实做好服务保障工作，坚持每季度召开工业经济运行分析会，提高工业经济运行调节的及时性和有效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4.大力培育规上企业。</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按照“个转企，小升规”的思路，大力培育规上企业，抓好规上企业入统工作。以广阳经开区为载体，积极承接产业转移，重点孵化电子信息、智能制造、生物医药类成长型小微企业。</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5.促转产、抓升级。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大力引进高精尖的大项目、好项目，千方百计增强工业实体经济的总体实力；积极推动企业技术创新，促进企业转型升级。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6.强化措施，落实责任。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认真开展好领导包联企业行动，深入企业调研，帮助企业解决实际困难。提高工作质量和办事效率，切实解决不作为、慢作为、乱作为等问题，进一步减轻企业负担，推动企业更好更快发展。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7.电子信息产业发展目标和路径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重点培养企业发展方向。到2025年，在农业、医疗、电力、家具、建材、装备制造等行业ERP软件、工业软件、社会管理应用软件领域培育10家以上在国内具有核心竞争力的应用软件企业。在数字内容领域，游戏、动漫、数字出版等细分领域形成具有行业顶尖竞争力的技术和产品，数字内容产业链趋于完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发展路径。大力扶持行业软件与信息技术服务嵌入式软件产品。立足我区现有机械装备工业基础，加速传统产业改造提升，推动软件与自动化技术、制造技术、管理技术的相互渗透，加大软件在工业产品设计制造、企业管理信息化、生产过程控制智能化等领域的应用，重点加强在网络通信、消费电子、金融、交通、医疗、工业装备、能源、环保、物流、安防、汽车等领域的嵌入式软件产品开发，支持电子产品制造业的升级，进而推动工业软件应用与云计算、物联网、5G技术应用、移动互联网发展相结合。鼓励在市政服务、仓储物流、公共事业等领域研发和应用基于云计算、物联网的应用解决方案，提升社会智能化水平。</w:t>
      </w:r>
    </w:p>
    <w:p>
      <w:pPr>
        <w:spacing w:line="500" w:lineRule="exact"/>
        <w:ind w:firstLine="640" w:firstLineChars="200"/>
        <w:jc w:val="left"/>
        <w:rPr>
          <w:rFonts w:ascii="楷体_GB2312" w:eastAsia="楷体_GB2312" w:cs="Times New Roman"/>
          <w:b/>
          <w:sz w:val="32"/>
          <w:szCs w:val="32"/>
          <w:highlight w:val="red"/>
        </w:rPr>
      </w:pPr>
      <w:r>
        <w:rPr>
          <w:rFonts w:hint="eastAsia" w:ascii="Times New Roman" w:hAnsi="Times New Roman" w:eastAsia="仿宋_GB2312" w:cs="Times New Roman"/>
          <w:sz w:val="32"/>
          <w:szCs w:val="32"/>
        </w:rPr>
        <w:t>（3）加强企业项目建设的指导服务，争取上级政策支持。一是建立辖区企业项目库。对有发展前景，符合国家产业政策的项目纳入项目库，掌握项目建设动态。二是及时调研走访，进行指导服务，使项目更加符合国家政策导向和要求。三是指导企业编写项目申报书，申请国家资金支持。</w:t>
      </w:r>
      <w:bookmarkStart w:id="1" w:name="_Toc67212911"/>
      <w:r>
        <w:rPr>
          <w:rFonts w:hint="eastAsia" w:ascii="Times New Roman" w:hAnsi="Times New Roman" w:eastAsia="仿宋_GB2312" w:cs="Times New Roman"/>
          <w:sz w:val="32"/>
          <w:szCs w:val="32"/>
        </w:rPr>
        <w:t xml:space="preserve">              </w:t>
      </w:r>
      <w:bookmarkEnd w:id="1"/>
      <w:r>
        <w:rPr>
          <w:rFonts w:hint="eastAsia" w:ascii="楷体_GB2312" w:eastAsia="楷体_GB2312" w:cs="Times New Roman"/>
          <w:b/>
          <w:sz w:val="32"/>
          <w:szCs w:val="32"/>
          <w:highlight w:val="red"/>
        </w:rPr>
        <w:fldChar w:fldCharType="begin"/>
      </w:r>
      <w:r>
        <w:rPr>
          <w:rFonts w:hint="eastAsia" w:ascii="楷体_GB2312" w:eastAsia="楷体_GB2312" w:cs="Times New Roman"/>
          <w:b/>
          <w:sz w:val="32"/>
          <w:szCs w:val="32"/>
          <w:highlight w:val="red"/>
        </w:rPr>
        <w:instrText xml:space="preserve"> TC 工作保障措施 \f A \l 1 </w:instrText>
      </w:r>
      <w:r>
        <w:rPr>
          <w:rFonts w:hint="eastAsia" w:ascii="楷体_GB2312" w:eastAsia="楷体_GB2312" w:cs="Times New Roman"/>
          <w:b/>
          <w:sz w:val="32"/>
          <w:szCs w:val="32"/>
          <w:highlight w:val="red"/>
        </w:rPr>
        <w:fldChar w:fldCharType="end"/>
      </w:r>
    </w:p>
    <w:p>
      <w:pPr>
        <w:spacing w:line="560" w:lineRule="exact"/>
        <w:ind w:firstLine="643" w:firstLineChars="200"/>
        <w:rPr>
          <w:rFonts w:ascii="仿宋" w:hAnsi="仿宋" w:eastAsia="仿宋" w:cs="仿宋"/>
          <w:sz w:val="32"/>
          <w:szCs w:val="32"/>
        </w:rPr>
      </w:pPr>
      <w:r>
        <w:rPr>
          <w:rFonts w:hint="eastAsia" w:ascii="楷体_GB2312" w:eastAsia="楷体_GB2312" w:cs="Times New Roman"/>
          <w:b/>
          <w:sz w:val="32"/>
          <w:szCs w:val="32"/>
        </w:rPr>
        <w:t>（三）工作保障措施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1.积极开展“双创双服”工作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细化工作机制，完善工作台账。为保证活动顺利开展，区工信局牵头制定了《2020年广阳区领导包联重点企业方案》，区领导对辖区内的38家规上工业企业全部分包到位，为进一步做区领导包联服务企业工作，区工信局成立了区领导包联重点企业工作专班。局长刘铭同志为组长，其他班子成员为副组长，对应科室负责人为成员的工作专班，对区领导包联的重点企业进行全程跟踪服务，及时了解企业发展中遇到的困难和问题。充分发挥责任部门的工作职责，加强与区领导包联企业的协调配合，帮助企业解决困难，统计汇总区领导包联走访企业情况，建立工作台账，确保包联取得实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充分利用政务通服务平台，为企业提供高效便捷的服务。充分发挥政企服务直通信息化平台作用，鼓励企业及时提出诉求，线下线上问题齐头并进，统筹推进“双创双服”活动各项工作顺利开展。鼓励、引导企业运用平台提交问题的同时，积极宣传平台和政策信息，真正发挥了平台的“桥梁”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机关干部包联企业联络服务制度，推进企业复工复产。建立了广阳区机关干部包联企业联络服务总协调人制度，全区各乡镇、街道确定一名包联工作组协调人，协调所在乡镇、街道的各区直包联工作组的工作，协助所在乡镇、街道统筹做好对企业的“四帮”工作。包联服务组每天汇总收集企业复工复产问题，及时协调解决，坚持以检查促落实，以指导促提升原则，广阳区各个复工企业能够做到执行落实疫情防控措施到位，包联服务组执行了“一企一策”服务原则，有效推进了企业复工复产。</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送政策入企业，助力企业复产达效。充分利用广阳工信公众号、入企走访调研等多种形式，及时宣传国家、省、市、区出台的应对疫情、支持企业共渡难关的政策措施，大力开展“送政策入企”活动，促进企业平稳快速复工复产。发放《扶持工业和民营经济高质量发展政策措施汇编》、《国家、省、市、应对疫情支持政策汇编》等政策汇编到每一个复工企业，全面扶持企业渡过难关，切实解决企业发展面临的难题。</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开展“融资对接服务”专项行动，为企业解决资金难题。3月17日，按照区政府安排部署，区工信局会同区金融办在碧海宾馆大会议室组织召开疫情期间首场政银企对接会。建行、农行、工行等10家驻广阳区金融机构负责人、16家规上工业企业代表及区工信局、区金融办主要负责同志参加会议。政银企对接会后，与会的10家银行与16家企业进行了充分对接。4月23日，区工信局协助政府办组织在九州镇召开政银企对接会（九州专场）。会上共提供各类金融产品36款，帮助企业解决融资难问题，加快推进企业复工达产。</w:t>
      </w:r>
    </w:p>
    <w:p>
      <w:pPr>
        <w:spacing w:line="560" w:lineRule="exact"/>
        <w:ind w:firstLine="640" w:firstLineChars="200"/>
        <w:rPr>
          <w:rFonts w:ascii="仿宋" w:hAnsi="仿宋" w:eastAsia="仿宋" w:cs="仿宋"/>
        </w:rPr>
      </w:pPr>
      <w:r>
        <w:rPr>
          <w:rFonts w:hint="eastAsia" w:ascii="仿宋" w:hAnsi="仿宋" w:eastAsia="仿宋" w:cs="仿宋"/>
          <w:sz w:val="32"/>
          <w:szCs w:val="32"/>
        </w:rPr>
        <w:t>（6）大力推广政金企平台，充分发挥平台作用，破解企业资金难题。</w:t>
      </w:r>
      <w:r>
        <w:rPr>
          <w:rFonts w:hint="eastAsia" w:ascii="仿宋" w:hAnsi="仿宋" w:eastAsia="仿宋" w:cs="仿宋"/>
          <w:color w:val="000000"/>
          <w:sz w:val="32"/>
          <w:szCs w:val="32"/>
        </w:rPr>
        <w:t>8月12日广阳政金企服务平台正式上线运行，企业在平台上随时发布资金需求信息，金融机构第一时间推送金融产品，实现了企业与银行的无缝对接。我们大力推广政金企平台，充分发挥平台作用，为企业融资提供方便快捷高效的服务，助推企业加快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组织企业参加网络培训，大力宣传惠企政策。为有效应对疫情冲击，组织开展我辖区内工业企业视频培训暨“政策面对面”解读活动。助力企业复工复产，省工信厅、省税务局、省财政厅、省市场监督管理局围绕相关会企政策扶持举措等召开网络培训会，自4月20日至6月30日每周开展一期，有不同的培训内容，我局积极组织企业开展线上观看，参与互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开展工业问诊活动。发挥志晟、智恒机器人等“工业诊所”作用，深入京南食品、东方富达、永旺机械、北方天宇等规上企业把脉问诊，分析企业制约发展的瓶颈，帮助企业转型升级，探索企业发展路径，宣传惠企政策，积极为企业申报省市级资金扶持。</w:t>
      </w:r>
    </w:p>
    <w:p>
      <w:pPr>
        <w:spacing w:line="560" w:lineRule="exact"/>
        <w:ind w:firstLine="640" w:firstLineChars="200"/>
        <w:rPr>
          <w:rFonts w:ascii="仿宋" w:hAnsi="仿宋" w:eastAsia="仿宋" w:cs="仿宋"/>
        </w:rPr>
      </w:pPr>
      <w:r>
        <w:rPr>
          <w:rFonts w:hint="eastAsia" w:ascii="仿宋" w:hAnsi="仿宋" w:eastAsia="仿宋" w:cs="仿宋"/>
          <w:sz w:val="32"/>
          <w:szCs w:val="32"/>
        </w:rPr>
        <w:t>（9）组织政府部门联席会议，集中解决企业困难。落实“六保六稳”精神。8月20日，区政府陶俊强区长组织召开广阳区“六稳</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六保</w:t>
      </w:r>
      <w:r>
        <w:rPr>
          <w:rFonts w:hint="eastAsia" w:ascii="仿宋" w:hAnsi="仿宋" w:eastAsia="仿宋" w:cs="仿宋"/>
          <w:sz w:val="32"/>
          <w:szCs w:val="32"/>
          <w:lang w:val="en-US" w:eastAsia="zh-CN"/>
        </w:rPr>
        <w:t>”</w:t>
      </w:r>
      <w:bookmarkStart w:id="4" w:name="_GoBack"/>
      <w:bookmarkEnd w:id="4"/>
      <w:r>
        <w:rPr>
          <w:rFonts w:hint="eastAsia" w:ascii="仿宋" w:hAnsi="仿宋" w:eastAsia="仿宋" w:cs="仿宋"/>
          <w:sz w:val="32"/>
          <w:szCs w:val="32"/>
        </w:rPr>
        <w:t>座谈会。邀请农标普瑞纳、东方富达、中保绿农作物、凯通混凝土等26家规模以上工业企业负责人，以及农业银行、廊坊银行2家银行机构负责人，共同商讨、研究企业经营发展形势，推动企业尽快摆脱疫情带来的不利影响，实实在在地帮助企业解决用工难、用钱难、运输难、上下游企业打通关节难等诸多问题，把脉开方拿药，使企业尽快步入良好循环轨道，为全区经济又快又好发展积极建言献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2.加快推进电子信息产业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导电子信息行业企业项目入库。为使企业获得更多国家专项资金支持，区工信局先期谋划，未雨绸缪，对全区企业项目建设情况进行摸排，共摸排汇总了具有推广价值，前景发展广阔的拟建、在建项目12个，全部纳入项目库，并上报省市工信部门备案。力求项目建设过程中符合国家产业政策要求，达到精准申报项目，获取更多上级资金支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（2）加快推进新一代信息技术项目。2020年，区工信局组织辖区企业申报了省新一代信息技术典型示范项目。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争创省级信息消费试点城市，培育信息消费新动能。2020年，为贯彻落实省《关于进一步扩大和升级信息消费持续释放内需潜力的实施方案》，争创省级信息消费试点城市，培育信息消费新动能，按照廊坊市工信局关于征集信息消费示范项目的通知（廊工信明传〔2020〕28号）要求，我有亿创未来（廊坊）科技发展有限公司、廊坊市乐聪网络科技有限公司、廊坊市履超网络科技公司等五家公司申报了省工信厅2020年新型信息消费示范项目，争创省级信息消费试点城市，培育信息消费新动能</w:t>
      </w:r>
    </w:p>
    <w:p>
      <w:pPr>
        <w:spacing w:line="560" w:lineRule="exact"/>
        <w:ind w:firstLine="640" w:firstLineChars="200"/>
        <w:rPr>
          <w:rFonts w:ascii="仿宋" w:hAnsi="仿宋" w:eastAsia="仿宋" w:cs="仿宋"/>
        </w:rPr>
      </w:pPr>
      <w:r>
        <w:rPr>
          <w:rFonts w:hint="eastAsia" w:ascii="仿宋" w:hAnsi="仿宋" w:eastAsia="仿宋" w:cs="仿宋"/>
          <w:sz w:val="32"/>
          <w:szCs w:val="32"/>
        </w:rPr>
        <w:t>（4）进一步壮大“专精特新”中小企业。为进一步促进我区中小企业专业化、精细化、特色化、新颖化发展，提升中小企业发展质量，按照廊坊市工信局《关于组织申报2020年度廊坊市“专精特新”中小企业的通知》（廊工信明传〔2020〕34号）要求，我局积极指导企业申报。</w:t>
      </w:r>
    </w:p>
    <w:p>
      <w:pPr>
        <w:spacing w:line="560" w:lineRule="exact"/>
        <w:ind w:firstLine="640" w:firstLineChars="200"/>
        <w:rPr>
          <w:rFonts w:ascii="仿宋" w:hAnsi="仿宋" w:eastAsia="仿宋" w:cs="仿宋"/>
          <w:color w:val="000000"/>
          <w:sz w:val="32"/>
          <w:szCs w:val="32"/>
          <w:highlight w:val="yellow"/>
        </w:rPr>
      </w:pPr>
      <w:r>
        <w:rPr>
          <w:rFonts w:hint="eastAsia" w:ascii="仿宋" w:hAnsi="仿宋" w:eastAsia="仿宋" w:cs="仿宋"/>
          <w:sz w:val="32"/>
          <w:szCs w:val="32"/>
        </w:rPr>
        <w:t>（5）为贯彻落实省《关于进一步扩大和升级信息消费持续释放内需潜力的实施方案》，争创省级信息消费试点城市，培育信息消费新动能，按照廊坊市工信局关于征集信息消费示范项目的通知（廊工信明传〔2020〕28号）要求，我局在辖区广泛征集此类项目，现在已经有五家公司申报了省工信厅2020年新型信息消费示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3.围绕中心，积极履职尽责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（1）积极做好北京大兴机场征迁工作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2020年区委、区政府对北京大兴机场周边村庄开展征迁工作，我局作为成员单位积极投入征迁任务当中，攻坚克难圆满完成各项任务。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（2）积极落实新能源汽车推广应用各项工作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全面贯彻落实国家、省市新能源汽车推广应用系列政策要求，推进节能减排，减轻大气污染，区工信局全力做好新能源汽车推广应用各项工作。一是成立组织，分工推进。广阳区作为廊坊市主城区，新能源汽车推广责任大，任务重。广阳区新能源汽车推发办设在区工信局，具体负责全区新能源汽车推广应用及牵头负责补贴资金兑付政策的制定及落实等一系列工作。为保证各项工作有效落实，成立了以一把手局长为组长、主管副局长为副组长、科室骨干成员为组员</w:t>
      </w:r>
      <w:r>
        <w:rPr>
          <w:rFonts w:hint="eastAsia" w:ascii="仿宋" w:hAnsi="仿宋" w:eastAsia="仿宋" w:cs="仿宋"/>
          <w:sz w:val="32"/>
          <w:szCs w:val="32"/>
          <w:lang w:eastAsia="zh-CN"/>
        </w:rPr>
        <w:t>的</w:t>
      </w:r>
      <w:r>
        <w:rPr>
          <w:rFonts w:hint="eastAsia" w:ascii="仿宋" w:hAnsi="仿宋" w:eastAsia="仿宋" w:cs="仿宋"/>
          <w:sz w:val="32"/>
          <w:szCs w:val="32"/>
        </w:rPr>
        <w:t>新能源汽车推广应用领导小组。小组成立后，多次召开专题会议，研究解决新能源汽车推广应用过程中的新情况新问题，出台了一些卓有成效的政策措施，大大提高了工作效率，受到市区主管领导的充分肯定。二是大力推广、应补尽补，确保补贴资金科学精准兑付到位。</w:t>
      </w:r>
    </w:p>
    <w:p>
      <w:pPr>
        <w:pStyle w:val="19"/>
        <w:spacing w:line="560" w:lineRule="exact"/>
        <w:ind w:firstLine="640"/>
        <w:rPr>
          <w:rFonts w:ascii="仿宋" w:hAnsi="仿宋" w:eastAsia="仿宋" w:cs="仿宋"/>
          <w:sz w:val="32"/>
          <w:szCs w:val="32"/>
        </w:rPr>
      </w:pPr>
      <w:r>
        <w:rPr>
          <w:rFonts w:hint="eastAsia" w:ascii="仿宋" w:hAnsi="仿宋" w:eastAsia="仿宋" w:cs="仿宋"/>
          <w:sz w:val="32"/>
          <w:szCs w:val="32"/>
        </w:rPr>
        <w:t>（3）加强企业安全生产巡查工作。</w:t>
      </w:r>
      <w:r>
        <w:rPr>
          <w:rFonts w:hint="eastAsia" w:ascii="仿宋" w:hAnsi="仿宋" w:eastAsia="仿宋" w:cs="仿宋"/>
          <w:kern w:val="0"/>
          <w:sz w:val="32"/>
          <w:szCs w:val="32"/>
        </w:rPr>
        <w:t>积极落实广阳区安委会成员单位职责，每周定期对重点工业企业进行安全生产巡查，向企业传达安全生产工作的重要性，在做好日常防控工作的同时一并加强安全生产工作，时刻把安全生产放在重要的位置，一刻不能放松。组织开展“安全生产月”宣传活动。按照区安委办“打非治违”工作要求，严格落实安全生产责任，建立打非治违工作台账，全面开展督导检查工作。加强对辖区内的工业企业安全生产工作进行检查督导，并加强对辖区内工业企业的监管，实行周排查，周报告制度。</w:t>
      </w:r>
      <w:r>
        <w:rPr>
          <w:rFonts w:hint="eastAsia" w:ascii="仿宋" w:hAnsi="仿宋" w:eastAsia="仿宋" w:cs="仿宋"/>
          <w:sz w:val="32"/>
          <w:szCs w:val="32"/>
        </w:rPr>
        <w:t>由局班子成员分别带队到辖区内的企业开展常规安全生产巡查，在巡查过程中要求企业在加大生产的同时要注意加强安全生产隐患的排查，把隐患消灭在苗头状态，确保不出现安全生产问题和消防问题。</w:t>
      </w:r>
    </w:p>
    <w:p>
      <w:pPr>
        <w:spacing w:line="560" w:lineRule="exact"/>
        <w:ind w:firstLine="659"/>
        <w:rPr>
          <w:rFonts w:ascii="仿宋" w:hAnsi="仿宋" w:eastAsia="仿宋" w:cs="仿宋"/>
          <w:kern w:val="0"/>
          <w:sz w:val="32"/>
          <w:szCs w:val="32"/>
        </w:rPr>
      </w:pPr>
      <w:r>
        <w:rPr>
          <w:rFonts w:hint="eastAsia" w:ascii="仿宋" w:hAnsi="仿宋" w:eastAsia="仿宋" w:cs="仿宋"/>
          <w:kern w:val="0"/>
          <w:sz w:val="32"/>
          <w:szCs w:val="32"/>
        </w:rPr>
        <w:t>（4）“散乱污”企业综合治理</w:t>
      </w:r>
    </w:p>
    <w:p>
      <w:pPr>
        <w:spacing w:line="560" w:lineRule="exact"/>
        <w:ind w:firstLine="659"/>
        <w:rPr>
          <w:rFonts w:ascii="仿宋" w:hAnsi="仿宋" w:eastAsia="仿宋" w:cs="仿宋"/>
          <w:kern w:val="0"/>
          <w:sz w:val="32"/>
          <w:szCs w:val="32"/>
        </w:rPr>
      </w:pPr>
      <w:r>
        <w:rPr>
          <w:rFonts w:hint="eastAsia" w:ascii="仿宋" w:hAnsi="仿宋" w:eastAsia="仿宋" w:cs="仿宋"/>
          <w:kern w:val="0"/>
          <w:sz w:val="32"/>
          <w:szCs w:val="32"/>
        </w:rPr>
        <w:t>工信局作为“散乱污”企业整治的牵头单位，一直把此项工作作为我局的重点工作去抓。一是高度重视、摸底排查常态化。“散乱污”企业整治专班要求各乡镇（办事处）、街办处党政主要负责同志，把 “散乱污”企业整治纳入重点工作，深度排查过来发现取缔的所有“散乱污”企业，防止新的“散乱污”企业滋生。今年区“散乱污”企业整治专班配合各乡镇、街道加大巡查整治力度，对台账内的“散乱污”企业进行大范围抽查，发现未达到“两断三清”标准的，责令基层重新整改，采取轮查方式进行核查，并对上级生态环境督导部门下发的督办件进行全面核查。二是分工负责、加大巡查力度。鉴于“散乱污”企业隐蔽性和反弹成本低的特点，区专班积极组织人员以台账内企业为巡查线索，以举报案件为巡查重点，对企业周边和沿线重点巡查。督导各乡镇针对自己辖区内“散乱污”企业现状开展不同规模的集中行动，各乡镇动员机关干部、生态环境、供电等执法部门参与，对“散乱污”企业进行集中清理。通过多种措施的集中行动，有效的保证“散乱污”企业治理的全力攻坚。同时以空白工业大院、遗弃厂房、闲置房屋为检查重点，创造氛围，打击隐患苗头，实现动态清零。</w:t>
      </w:r>
    </w:p>
    <w:p>
      <w:pPr>
        <w:spacing w:line="560" w:lineRule="exact"/>
        <w:ind w:firstLine="659"/>
        <w:rPr>
          <w:rFonts w:ascii="仿宋" w:hAnsi="仿宋" w:eastAsia="仿宋" w:cs="仿宋"/>
          <w:kern w:val="0"/>
          <w:sz w:val="32"/>
          <w:szCs w:val="32"/>
        </w:rPr>
      </w:pPr>
      <w:r>
        <w:rPr>
          <w:rFonts w:hint="eastAsia" w:ascii="仿宋" w:hAnsi="仿宋" w:eastAsia="仿宋" w:cs="仿宋"/>
          <w:kern w:val="0"/>
          <w:sz w:val="32"/>
          <w:szCs w:val="32"/>
        </w:rPr>
        <w:t xml:space="preserve">（5）严格落实企业新冠肺炎疫情防控常态化工作 </w:t>
      </w:r>
    </w:p>
    <w:p>
      <w:pPr>
        <w:spacing w:line="560" w:lineRule="exact"/>
        <w:ind w:firstLine="659"/>
        <w:rPr>
          <w:rFonts w:ascii="楷体_GB2312" w:eastAsia="楷体_GB2312" w:cs="Times New Roman"/>
          <w:b/>
          <w:sz w:val="32"/>
          <w:szCs w:val="32"/>
        </w:rPr>
      </w:pPr>
      <w:r>
        <w:rPr>
          <w:rFonts w:hint="eastAsia" w:ascii="仿宋" w:hAnsi="仿宋" w:eastAsia="仿宋" w:cs="仿宋"/>
          <w:kern w:val="0"/>
          <w:sz w:val="32"/>
          <w:szCs w:val="32"/>
        </w:rPr>
        <w:t>采取企业巡查和企业微信群，及时宣传落实区疫情防控指挥部文件精神，并要求企业按照文件要求，严格落实各项防控措施，做好员工排查，建立返岗人员登记制度，全面了解返岗人员信息，做好企业内部日常消毒、防护培训等相关工作，对出入厂区人员一律进行体温监测，对发现问题及出现发热、咳嗽、乏力等症状员工或来厂人员一律禁止进入厂区，并第一时间上报至我局及属地部门。</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pPr w:leftFromText="180" w:rightFromText="180" w:vertAnchor="text" w:horzAnchor="page" w:tblpX="2039" w:tblpY="839"/>
        <w:tblOverlap w:val="never"/>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50"/>
        <w:gridCol w:w="1560"/>
        <w:gridCol w:w="1830"/>
        <w:gridCol w:w="1230"/>
        <w:gridCol w:w="1380"/>
        <w:gridCol w:w="675"/>
        <w:gridCol w:w="495"/>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3" w:hRule="atLeast"/>
          <w:tblHeader/>
        </w:trPr>
        <w:tc>
          <w:tcPr>
            <w:tcW w:w="850"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一级指标</w:t>
            </w:r>
          </w:p>
        </w:tc>
        <w:tc>
          <w:tcPr>
            <w:tcW w:w="1560"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二级指标</w:t>
            </w:r>
          </w:p>
        </w:tc>
        <w:tc>
          <w:tcPr>
            <w:tcW w:w="1830"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三级指标</w:t>
            </w:r>
          </w:p>
        </w:tc>
        <w:tc>
          <w:tcPr>
            <w:tcW w:w="1230"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绩效指标描述</w:t>
            </w:r>
          </w:p>
        </w:tc>
        <w:tc>
          <w:tcPr>
            <w:tcW w:w="1380"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评（扣）分标准</w:t>
            </w:r>
          </w:p>
        </w:tc>
        <w:tc>
          <w:tcPr>
            <w:tcW w:w="2430" w:type="dxa"/>
            <w:gridSpan w:val="3"/>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指标值</w:t>
            </w:r>
          </w:p>
        </w:tc>
        <w:tc>
          <w:tcPr>
            <w:tcW w:w="1125" w:type="dxa"/>
            <w:vMerge w:val="restart"/>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9" w:hRule="atLeast"/>
          <w:tblHeader/>
        </w:trPr>
        <w:tc>
          <w:tcPr>
            <w:tcW w:w="850" w:type="dxa"/>
            <w:vMerge w:val="continue"/>
            <w:vAlign w:val="center"/>
          </w:tcPr>
          <w:p>
            <w:pPr>
              <w:jc w:val="center"/>
            </w:pPr>
          </w:p>
        </w:tc>
        <w:tc>
          <w:tcPr>
            <w:tcW w:w="1560" w:type="dxa"/>
            <w:vMerge w:val="continue"/>
            <w:vAlign w:val="center"/>
          </w:tcPr>
          <w:p>
            <w:pPr>
              <w:jc w:val="center"/>
            </w:pPr>
          </w:p>
        </w:tc>
        <w:tc>
          <w:tcPr>
            <w:tcW w:w="1830" w:type="dxa"/>
            <w:vMerge w:val="continue"/>
            <w:vAlign w:val="center"/>
          </w:tcPr>
          <w:p>
            <w:pPr>
              <w:jc w:val="center"/>
            </w:pPr>
          </w:p>
        </w:tc>
        <w:tc>
          <w:tcPr>
            <w:tcW w:w="1230" w:type="dxa"/>
            <w:vMerge w:val="continue"/>
            <w:vAlign w:val="center"/>
          </w:tcPr>
          <w:p>
            <w:pPr>
              <w:jc w:val="center"/>
            </w:pPr>
          </w:p>
        </w:tc>
        <w:tc>
          <w:tcPr>
            <w:tcW w:w="1380" w:type="dxa"/>
            <w:vMerge w:val="continue"/>
            <w:vAlign w:val="center"/>
          </w:tcPr>
          <w:p>
            <w:pPr>
              <w:jc w:val="center"/>
            </w:pPr>
          </w:p>
        </w:tc>
        <w:tc>
          <w:tcPr>
            <w:tcW w:w="675" w:type="dxa"/>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符号</w:t>
            </w:r>
          </w:p>
        </w:tc>
        <w:tc>
          <w:tcPr>
            <w:tcW w:w="495" w:type="dxa"/>
            <w:vAlign w:val="center"/>
          </w:tcPr>
          <w:p>
            <w:pPr>
              <w:widowControl/>
              <w:jc w:val="center"/>
              <w:textAlignment w:val="center"/>
            </w:pPr>
            <w:r>
              <w:rPr>
                <w:rFonts w:hint="eastAsia" w:ascii="宋体" w:hAnsi="宋体" w:cs="宋体"/>
                <w:b/>
                <w:color w:val="000000"/>
                <w:kern w:val="0"/>
                <w:sz w:val="18"/>
                <w:szCs w:val="18"/>
                <w:lang w:bidi="ar"/>
              </w:rPr>
              <w:t>值</w:t>
            </w:r>
          </w:p>
        </w:tc>
        <w:tc>
          <w:tcPr>
            <w:tcW w:w="1260" w:type="dxa"/>
            <w:vAlign w:val="center"/>
          </w:tcPr>
          <w:p>
            <w:pPr>
              <w:widowControl/>
              <w:jc w:val="center"/>
              <w:textAlignment w:val="center"/>
              <w:rPr>
                <w:rFonts w:ascii="方正书宋_GBK" w:eastAsia="方正书宋_GBK"/>
                <w:b/>
              </w:rPr>
            </w:pPr>
            <w:r>
              <w:rPr>
                <w:rFonts w:hint="eastAsia" w:ascii="宋体" w:hAnsi="宋体" w:cs="宋体"/>
                <w:b/>
                <w:color w:val="000000"/>
                <w:kern w:val="0"/>
                <w:sz w:val="18"/>
                <w:szCs w:val="18"/>
                <w:lang w:bidi="ar"/>
              </w:rPr>
              <w:t>单位（文字描述）</w:t>
            </w:r>
          </w:p>
        </w:tc>
        <w:tc>
          <w:tcPr>
            <w:tcW w:w="112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8" w:hRule="atLeast"/>
        </w:trPr>
        <w:tc>
          <w:tcPr>
            <w:tcW w:w="850" w:type="dxa"/>
            <w:vMerge w:val="restart"/>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lang w:bidi="ar"/>
              </w:rPr>
              <w:t>产出指标</w:t>
            </w:r>
          </w:p>
        </w:tc>
        <w:tc>
          <w:tcPr>
            <w:tcW w:w="15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数量指标</w:t>
            </w:r>
          </w:p>
        </w:tc>
        <w:tc>
          <w:tcPr>
            <w:tcW w:w="18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发放工资及社保的保障人数</w:t>
            </w:r>
          </w:p>
        </w:tc>
        <w:tc>
          <w:tcPr>
            <w:tcW w:w="12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发放工资及社保的保障人数</w:t>
            </w:r>
          </w:p>
        </w:tc>
        <w:tc>
          <w:tcPr>
            <w:tcW w:w="1380" w:type="dxa"/>
          </w:tcPr>
          <w:p>
            <w:pPr>
              <w:widowControl/>
              <w:jc w:val="left"/>
              <w:textAlignment w:val="top"/>
              <w:rPr>
                <w:rFonts w:ascii="方正书宋_GBK" w:eastAsia="方正书宋_GBK"/>
              </w:rPr>
            </w:pPr>
            <w:r>
              <w:rPr>
                <w:rFonts w:hint="eastAsia" w:ascii="宋体" w:hAnsi="宋体" w:cs="宋体"/>
                <w:color w:val="000000"/>
                <w:kern w:val="0"/>
                <w:sz w:val="18"/>
                <w:szCs w:val="18"/>
                <w:lang w:bidi="ar"/>
              </w:rPr>
              <w:t>发放工资及社保的保障人数比例</w:t>
            </w:r>
          </w:p>
        </w:tc>
        <w:tc>
          <w:tcPr>
            <w:tcW w:w="67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w:t>
            </w:r>
          </w:p>
        </w:tc>
        <w:tc>
          <w:tcPr>
            <w:tcW w:w="495" w:type="dxa"/>
            <w:vAlign w:val="center"/>
          </w:tcPr>
          <w:p>
            <w:pPr>
              <w:widowControl/>
              <w:jc w:val="right"/>
              <w:textAlignment w:val="center"/>
            </w:pPr>
            <w:r>
              <w:rPr>
                <w:rFonts w:hint="eastAsia" w:ascii="宋体" w:hAnsi="宋体" w:cs="宋体"/>
                <w:color w:val="000000"/>
                <w:kern w:val="0"/>
                <w:sz w:val="18"/>
                <w:szCs w:val="18"/>
                <w:lang w:bidi="ar"/>
              </w:rPr>
              <w:t>95</w:t>
            </w:r>
          </w:p>
        </w:tc>
        <w:tc>
          <w:tcPr>
            <w:tcW w:w="12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w:t>
            </w:r>
          </w:p>
        </w:tc>
        <w:tc>
          <w:tcPr>
            <w:tcW w:w="112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发放工资及社保的保障人数比例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850" w:type="dxa"/>
            <w:vMerge w:val="continue"/>
            <w:vAlign w:val="center"/>
          </w:tcPr>
          <w:p>
            <w:pPr>
              <w:jc w:val="center"/>
            </w:pPr>
          </w:p>
        </w:tc>
        <w:tc>
          <w:tcPr>
            <w:tcW w:w="15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质量指标</w:t>
            </w:r>
          </w:p>
        </w:tc>
        <w:tc>
          <w:tcPr>
            <w:tcW w:w="18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公务用车正常运行</w:t>
            </w:r>
          </w:p>
        </w:tc>
        <w:tc>
          <w:tcPr>
            <w:tcW w:w="12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公务用车正常运行率(%)</w:t>
            </w:r>
          </w:p>
        </w:tc>
        <w:tc>
          <w:tcPr>
            <w:tcW w:w="1380" w:type="dxa"/>
          </w:tcPr>
          <w:p>
            <w:pPr>
              <w:widowControl/>
              <w:jc w:val="left"/>
              <w:textAlignment w:val="top"/>
              <w:rPr>
                <w:rFonts w:ascii="方正书宋_GBK" w:eastAsia="方正书宋_GBK"/>
              </w:rPr>
            </w:pPr>
            <w:r>
              <w:rPr>
                <w:rFonts w:hint="eastAsia" w:ascii="宋体" w:hAnsi="宋体" w:cs="宋体"/>
                <w:color w:val="000000"/>
                <w:kern w:val="0"/>
                <w:sz w:val="18"/>
                <w:szCs w:val="18"/>
                <w:lang w:bidi="ar"/>
              </w:rPr>
              <w:t>公务用车正常运行率(%)</w:t>
            </w:r>
          </w:p>
        </w:tc>
        <w:tc>
          <w:tcPr>
            <w:tcW w:w="67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w:t>
            </w:r>
          </w:p>
        </w:tc>
        <w:tc>
          <w:tcPr>
            <w:tcW w:w="495" w:type="dxa"/>
            <w:vAlign w:val="center"/>
          </w:tcPr>
          <w:p>
            <w:pPr>
              <w:widowControl/>
              <w:jc w:val="right"/>
              <w:textAlignment w:val="center"/>
            </w:pPr>
            <w:r>
              <w:rPr>
                <w:rFonts w:hint="eastAsia" w:ascii="宋体" w:hAnsi="宋体" w:cs="宋体"/>
                <w:color w:val="000000"/>
                <w:kern w:val="0"/>
                <w:sz w:val="18"/>
                <w:szCs w:val="18"/>
                <w:lang w:bidi="ar"/>
              </w:rPr>
              <w:t>90</w:t>
            </w:r>
          </w:p>
        </w:tc>
        <w:tc>
          <w:tcPr>
            <w:tcW w:w="12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w:t>
            </w:r>
          </w:p>
        </w:tc>
        <w:tc>
          <w:tcPr>
            <w:tcW w:w="112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公务用车正常运行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3" w:hRule="atLeast"/>
        </w:trPr>
        <w:tc>
          <w:tcPr>
            <w:tcW w:w="850" w:type="dxa"/>
            <w:vMerge w:val="continue"/>
            <w:vAlign w:val="center"/>
          </w:tcPr>
          <w:p>
            <w:pPr>
              <w:jc w:val="center"/>
            </w:pPr>
          </w:p>
        </w:tc>
        <w:tc>
          <w:tcPr>
            <w:tcW w:w="15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时效指标</w:t>
            </w:r>
          </w:p>
        </w:tc>
        <w:tc>
          <w:tcPr>
            <w:tcW w:w="18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按期完成率</w:t>
            </w:r>
          </w:p>
        </w:tc>
        <w:tc>
          <w:tcPr>
            <w:tcW w:w="12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按时发放工资</w:t>
            </w:r>
          </w:p>
        </w:tc>
        <w:tc>
          <w:tcPr>
            <w:tcW w:w="1380" w:type="dxa"/>
          </w:tcPr>
          <w:p>
            <w:pPr>
              <w:widowControl/>
              <w:jc w:val="left"/>
              <w:textAlignment w:val="top"/>
              <w:rPr>
                <w:rFonts w:ascii="方正书宋_GBK" w:eastAsia="方正书宋_GBK"/>
              </w:rPr>
            </w:pPr>
            <w:r>
              <w:rPr>
                <w:rFonts w:hint="eastAsia" w:ascii="宋体" w:hAnsi="宋体" w:cs="宋体"/>
                <w:color w:val="000000"/>
                <w:kern w:val="0"/>
                <w:sz w:val="18"/>
                <w:szCs w:val="18"/>
                <w:lang w:bidi="ar"/>
              </w:rPr>
              <w:t>按时发放工资</w:t>
            </w:r>
          </w:p>
        </w:tc>
        <w:tc>
          <w:tcPr>
            <w:tcW w:w="67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文字描述</w:t>
            </w:r>
          </w:p>
        </w:tc>
        <w:tc>
          <w:tcPr>
            <w:tcW w:w="495" w:type="dxa"/>
            <w:vAlign w:val="center"/>
          </w:tcPr>
          <w:p>
            <w:pPr>
              <w:jc w:val="right"/>
            </w:pPr>
          </w:p>
        </w:tc>
        <w:tc>
          <w:tcPr>
            <w:tcW w:w="12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按时发放</w:t>
            </w:r>
          </w:p>
        </w:tc>
        <w:tc>
          <w:tcPr>
            <w:tcW w:w="112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850" w:type="dxa"/>
            <w:vMerge w:val="restart"/>
            <w:vAlign w:val="center"/>
          </w:tcPr>
          <w:p>
            <w:pPr>
              <w:widowControl/>
              <w:jc w:val="center"/>
              <w:textAlignment w:val="center"/>
            </w:pPr>
            <w:r>
              <w:rPr>
                <w:rFonts w:hint="eastAsia" w:ascii="宋体" w:hAnsi="宋体" w:cs="宋体"/>
                <w:b/>
                <w:color w:val="000000"/>
                <w:kern w:val="0"/>
                <w:sz w:val="18"/>
                <w:szCs w:val="18"/>
                <w:lang w:bidi="ar"/>
              </w:rPr>
              <w:t>效益指标</w:t>
            </w:r>
          </w:p>
        </w:tc>
        <w:tc>
          <w:tcPr>
            <w:tcW w:w="15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社会效益指标</w:t>
            </w:r>
          </w:p>
        </w:tc>
        <w:tc>
          <w:tcPr>
            <w:tcW w:w="18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充分认可度</w:t>
            </w:r>
          </w:p>
        </w:tc>
        <w:tc>
          <w:tcPr>
            <w:tcW w:w="12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企业了解政策的便捷性</w:t>
            </w:r>
          </w:p>
        </w:tc>
        <w:tc>
          <w:tcPr>
            <w:tcW w:w="1380" w:type="dxa"/>
          </w:tcPr>
          <w:p>
            <w:pPr>
              <w:widowControl/>
              <w:jc w:val="left"/>
              <w:textAlignment w:val="top"/>
              <w:rPr>
                <w:rFonts w:ascii="方正书宋_GBK" w:eastAsia="方正书宋_GBK"/>
              </w:rPr>
            </w:pPr>
            <w:r>
              <w:rPr>
                <w:rFonts w:hint="eastAsia" w:ascii="宋体" w:hAnsi="宋体" w:cs="宋体"/>
                <w:color w:val="000000"/>
                <w:kern w:val="0"/>
                <w:sz w:val="18"/>
                <w:szCs w:val="18"/>
                <w:lang w:bidi="ar"/>
              </w:rPr>
              <w:t>企业了解政策的便捷性</w:t>
            </w:r>
          </w:p>
        </w:tc>
        <w:tc>
          <w:tcPr>
            <w:tcW w:w="67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文字描述</w:t>
            </w:r>
          </w:p>
        </w:tc>
        <w:tc>
          <w:tcPr>
            <w:tcW w:w="495" w:type="dxa"/>
            <w:vAlign w:val="center"/>
          </w:tcPr>
          <w:p>
            <w:pPr>
              <w:jc w:val="right"/>
            </w:pPr>
          </w:p>
        </w:tc>
        <w:tc>
          <w:tcPr>
            <w:tcW w:w="12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企业认可度</w:t>
            </w:r>
          </w:p>
        </w:tc>
        <w:tc>
          <w:tcPr>
            <w:tcW w:w="112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企业了解政策的便捷性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850" w:type="dxa"/>
            <w:vMerge w:val="continue"/>
            <w:vAlign w:val="center"/>
          </w:tcPr>
          <w:p>
            <w:pPr>
              <w:jc w:val="center"/>
              <w:rPr>
                <w:rFonts w:ascii="方正书宋_GBK" w:eastAsia="方正书宋_GBK"/>
              </w:rPr>
            </w:pPr>
          </w:p>
        </w:tc>
        <w:tc>
          <w:tcPr>
            <w:tcW w:w="1560" w:type="dxa"/>
            <w:vAlign w:val="center"/>
          </w:tcPr>
          <w:p>
            <w:pPr>
              <w:rPr>
                <w:rFonts w:ascii="方正书宋_GBK" w:eastAsia="方正书宋_GBK"/>
              </w:rPr>
            </w:pPr>
          </w:p>
        </w:tc>
        <w:tc>
          <w:tcPr>
            <w:tcW w:w="1830" w:type="dxa"/>
            <w:vAlign w:val="center"/>
          </w:tcPr>
          <w:p>
            <w:pPr>
              <w:rPr>
                <w:rFonts w:ascii="方正书宋_GBK" w:eastAsia="方正书宋_GBK"/>
              </w:rPr>
            </w:pPr>
          </w:p>
        </w:tc>
        <w:tc>
          <w:tcPr>
            <w:tcW w:w="1230" w:type="dxa"/>
            <w:vAlign w:val="center"/>
          </w:tcPr>
          <w:p>
            <w:pPr>
              <w:jc w:val="left"/>
              <w:rPr>
                <w:rFonts w:ascii="方正书宋_GBK" w:eastAsia="方正书宋_GBK"/>
              </w:rPr>
            </w:pPr>
          </w:p>
        </w:tc>
        <w:tc>
          <w:tcPr>
            <w:tcW w:w="1380" w:type="dxa"/>
          </w:tcPr>
          <w:p>
            <w:pPr>
              <w:jc w:val="left"/>
            </w:pPr>
          </w:p>
        </w:tc>
        <w:tc>
          <w:tcPr>
            <w:tcW w:w="675" w:type="dxa"/>
            <w:vAlign w:val="center"/>
          </w:tcPr>
          <w:p>
            <w:pPr>
              <w:jc w:val="left"/>
              <w:rPr>
                <w:rFonts w:ascii="方正书宋_GBK" w:eastAsia="方正书宋_GBK"/>
              </w:rPr>
            </w:pPr>
          </w:p>
        </w:tc>
        <w:tc>
          <w:tcPr>
            <w:tcW w:w="495" w:type="dxa"/>
            <w:vAlign w:val="center"/>
          </w:tcPr>
          <w:p>
            <w:pPr>
              <w:jc w:val="right"/>
            </w:pPr>
          </w:p>
        </w:tc>
        <w:tc>
          <w:tcPr>
            <w:tcW w:w="1260" w:type="dxa"/>
            <w:vAlign w:val="center"/>
          </w:tcPr>
          <w:p>
            <w:pPr>
              <w:jc w:val="left"/>
              <w:rPr>
                <w:rFonts w:ascii="方正书宋_GBK" w:eastAsia="方正书宋_GBK"/>
              </w:rPr>
            </w:pPr>
          </w:p>
        </w:tc>
        <w:tc>
          <w:tcPr>
            <w:tcW w:w="1125" w:type="dxa"/>
            <w:vAlign w:val="center"/>
          </w:tcPr>
          <w:p>
            <w:pPr>
              <w:jc w:val="left"/>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850" w:type="dxa"/>
            <w:vMerge w:val="continue"/>
            <w:vAlign w:val="center"/>
          </w:tcPr>
          <w:p>
            <w:pPr>
              <w:jc w:val="center"/>
            </w:pPr>
          </w:p>
        </w:tc>
        <w:tc>
          <w:tcPr>
            <w:tcW w:w="1560" w:type="dxa"/>
            <w:vAlign w:val="center"/>
          </w:tcPr>
          <w:p>
            <w:pPr>
              <w:rPr>
                <w:rFonts w:ascii="方正书宋_GBK" w:eastAsia="方正书宋_GBK"/>
              </w:rPr>
            </w:pPr>
          </w:p>
        </w:tc>
        <w:tc>
          <w:tcPr>
            <w:tcW w:w="1830" w:type="dxa"/>
            <w:vAlign w:val="center"/>
          </w:tcPr>
          <w:p>
            <w:pPr>
              <w:rPr>
                <w:rFonts w:ascii="方正书宋_GBK" w:eastAsia="方正书宋_GBK"/>
              </w:rPr>
            </w:pPr>
          </w:p>
        </w:tc>
        <w:tc>
          <w:tcPr>
            <w:tcW w:w="1230" w:type="dxa"/>
            <w:vAlign w:val="center"/>
          </w:tcPr>
          <w:p>
            <w:pPr>
              <w:jc w:val="left"/>
              <w:rPr>
                <w:rFonts w:ascii="方正书宋_GBK" w:eastAsia="方正书宋_GBK"/>
              </w:rPr>
            </w:pPr>
          </w:p>
        </w:tc>
        <w:tc>
          <w:tcPr>
            <w:tcW w:w="1380" w:type="dxa"/>
          </w:tcPr>
          <w:p>
            <w:pPr>
              <w:jc w:val="left"/>
              <w:rPr>
                <w:rFonts w:ascii="方正书宋_GBK" w:eastAsia="方正书宋_GBK"/>
              </w:rPr>
            </w:pPr>
          </w:p>
        </w:tc>
        <w:tc>
          <w:tcPr>
            <w:tcW w:w="675" w:type="dxa"/>
            <w:vAlign w:val="center"/>
          </w:tcPr>
          <w:p>
            <w:pPr>
              <w:jc w:val="left"/>
              <w:rPr>
                <w:rFonts w:ascii="方正书宋_GBK" w:eastAsia="方正书宋_GBK"/>
              </w:rPr>
            </w:pPr>
          </w:p>
        </w:tc>
        <w:tc>
          <w:tcPr>
            <w:tcW w:w="495" w:type="dxa"/>
            <w:vAlign w:val="center"/>
          </w:tcPr>
          <w:p>
            <w:pPr>
              <w:jc w:val="right"/>
            </w:pPr>
          </w:p>
        </w:tc>
        <w:tc>
          <w:tcPr>
            <w:tcW w:w="1260" w:type="dxa"/>
            <w:vAlign w:val="center"/>
          </w:tcPr>
          <w:p>
            <w:pPr>
              <w:jc w:val="left"/>
              <w:rPr>
                <w:rFonts w:ascii="方正书宋_GBK" w:eastAsia="方正书宋_GBK"/>
              </w:rPr>
            </w:pPr>
          </w:p>
        </w:tc>
        <w:tc>
          <w:tcPr>
            <w:tcW w:w="1125" w:type="dxa"/>
            <w:vAlign w:val="center"/>
          </w:tcPr>
          <w:p>
            <w:pPr>
              <w:jc w:val="left"/>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850" w:type="dxa"/>
            <w:vAlign w:val="center"/>
          </w:tcPr>
          <w:p>
            <w:pPr>
              <w:widowControl/>
              <w:jc w:val="center"/>
              <w:textAlignment w:val="center"/>
            </w:pPr>
            <w:r>
              <w:rPr>
                <w:rFonts w:hint="eastAsia" w:ascii="宋体" w:hAnsi="宋体" w:cs="宋体"/>
                <w:b/>
                <w:color w:val="000000"/>
                <w:kern w:val="0"/>
                <w:sz w:val="18"/>
                <w:szCs w:val="18"/>
                <w:lang w:bidi="ar"/>
              </w:rPr>
              <w:t>满意度指标</w:t>
            </w:r>
          </w:p>
        </w:tc>
        <w:tc>
          <w:tcPr>
            <w:tcW w:w="15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服务对象满意度指标</w:t>
            </w:r>
          </w:p>
        </w:tc>
        <w:tc>
          <w:tcPr>
            <w:tcW w:w="18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单位员工满意度</w:t>
            </w:r>
          </w:p>
        </w:tc>
        <w:tc>
          <w:tcPr>
            <w:tcW w:w="123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单位职工满意度</w:t>
            </w:r>
          </w:p>
        </w:tc>
        <w:tc>
          <w:tcPr>
            <w:tcW w:w="1380" w:type="dxa"/>
          </w:tcPr>
          <w:p>
            <w:pPr>
              <w:widowControl/>
              <w:jc w:val="left"/>
              <w:textAlignment w:val="top"/>
              <w:rPr>
                <w:rFonts w:ascii="方正书宋_GBK" w:eastAsia="方正书宋_GBK"/>
              </w:rPr>
            </w:pPr>
            <w:r>
              <w:rPr>
                <w:rFonts w:hint="eastAsia" w:ascii="宋体" w:hAnsi="宋体" w:cs="宋体"/>
                <w:color w:val="000000"/>
                <w:kern w:val="0"/>
                <w:sz w:val="18"/>
                <w:szCs w:val="18"/>
                <w:lang w:bidi="ar"/>
              </w:rPr>
              <w:t>单位职工满意率</w:t>
            </w:r>
          </w:p>
        </w:tc>
        <w:tc>
          <w:tcPr>
            <w:tcW w:w="67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文字描述</w:t>
            </w:r>
          </w:p>
        </w:tc>
        <w:tc>
          <w:tcPr>
            <w:tcW w:w="495" w:type="dxa"/>
            <w:vAlign w:val="center"/>
          </w:tcPr>
          <w:p>
            <w:pPr>
              <w:jc w:val="right"/>
            </w:pPr>
          </w:p>
        </w:tc>
        <w:tc>
          <w:tcPr>
            <w:tcW w:w="1260"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问题调查</w:t>
            </w:r>
          </w:p>
        </w:tc>
        <w:tc>
          <w:tcPr>
            <w:tcW w:w="112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lang w:bidi="ar"/>
              </w:rPr>
              <w:t>单位职工满意率</w:t>
            </w:r>
          </w:p>
        </w:tc>
      </w:tr>
    </w:tbl>
    <w:p>
      <w:pPr>
        <w:spacing w:line="584" w:lineRule="exact"/>
        <w:sectPr>
          <w:pgSz w:w="16839" w:h="11907" w:orient="landscape"/>
          <w:pgMar w:top="1304" w:right="1984" w:bottom="1304" w:left="1134" w:header="851" w:footer="992" w:gutter="0"/>
          <w:cols w:space="720" w:num="1"/>
          <w:docGrid w:type="line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1280" w:firstLineChars="400"/>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Times New Roman" w:cs="Times New Roman"/>
        </w:rPr>
      </w:pPr>
    </w:p>
    <w:p>
      <w:pPr>
        <w:jc w:val="center"/>
        <w:outlineLvl w:val="1"/>
        <w:rPr>
          <w:rFonts w:ascii="Times New Roman" w:hAnsi="Times New Roman" w:cs="Times New Roman"/>
          <w:sz w:val="32"/>
        </w:rPr>
      </w:pPr>
      <w:bookmarkStart w:id="3" w:name="_Toc64920910"/>
      <w:r>
        <w:rPr>
          <w:rFonts w:hint="eastAsia" w:ascii="方正小标宋_GBK" w:eastAsia="方正小标宋_GBK" w:cs="Times New Roman"/>
          <w:sz w:val="32"/>
        </w:rPr>
        <w:t>部门政府采购预算</w:t>
      </w:r>
      <w:bookmarkEnd w:id="3"/>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740廊坊市广阳区工业和信息化局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Times New Roman"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firstLineChars="200"/>
        <w:outlineLvl w:val="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廊坊市广阳区工业和信息化局（含所属单位）上年末固定资产金额为35.730795万元（详见下表），本年度我部门拟购置固定资产总额为0万元。</w:t>
      </w:r>
    </w:p>
    <w:p>
      <w:pPr>
        <w:spacing w:line="584" w:lineRule="exact"/>
        <w:ind w:firstLine="640"/>
        <w:rPr>
          <w:rFonts w:ascii="Times New Roman" w:hAnsi="Times New Roman" w:eastAsia="Times New Roman" w:cs="Times New Roman"/>
          <w:sz w:val="32"/>
          <w:szCs w:val="32"/>
        </w:rPr>
      </w:pP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廊坊市广阳区工业和信息化局固定资产占用情况表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编制部门：廊坊市广阳区工业和信息化局</w:t>
            </w:r>
          </w:p>
        </w:tc>
        <w:tc>
          <w:tcPr>
            <w:tcW w:w="5103" w:type="dxa"/>
            <w:tcBorders>
              <w:top w:val="nil"/>
              <w:left w:val="nil"/>
              <w:bottom w:val="nil"/>
              <w:right w:val="nil"/>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项</w:t>
            </w:r>
            <w:r>
              <w:rPr>
                <w:rFonts w:ascii="Times New Roman" w:hAnsi="Times New Roman" w:eastAsia="仿宋_GB2312" w:cs="Times New Roman"/>
                <w:kern w:val="0"/>
                <w:sz w:val="22"/>
              </w:rPr>
              <w:t xml:space="preserve">   </w:t>
            </w:r>
            <w:r>
              <w:rPr>
                <w:rFonts w:hint="eastAsia" w:ascii="Times New Roman" w:hAnsi="Times New Roman" w:eastAsia="仿宋_GB2312" w:cs="Times New Roman"/>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35.730795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w:t>
            </w: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p>
        </w:tc>
        <w:tc>
          <w:tcPr>
            <w:tcW w:w="5103" w:type="dxa"/>
            <w:tcBorders>
              <w:top w:val="nil"/>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17.730795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w:t>
    </w:r>
    <w:r>
      <w:fldChar w:fldCharType="begin"/>
    </w:r>
    <w:r>
      <w:instrText xml:space="preserve">PAGE   \* MERGEFORMAT</w:instrText>
    </w:r>
    <w:r>
      <w:fldChar w:fldCharType="separate"/>
    </w:r>
    <w:r>
      <w:rPr>
        <w:lang w:val="zh-CN"/>
      </w:rPr>
      <w:t>21</w:t>
    </w:r>
    <w:r>
      <w:rPr>
        <w:lang w:val="zh-CN"/>
      </w:rPr>
      <w:fldChar w:fldCharType="end"/>
    </w:r>
    <w: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32522"/>
    <w:rsid w:val="004A54AA"/>
    <w:rsid w:val="004E5968"/>
    <w:rsid w:val="00613B76"/>
    <w:rsid w:val="00632C6B"/>
    <w:rsid w:val="00676546"/>
    <w:rsid w:val="006C0383"/>
    <w:rsid w:val="00807A76"/>
    <w:rsid w:val="008B2111"/>
    <w:rsid w:val="008F0EB4"/>
    <w:rsid w:val="00A04154"/>
    <w:rsid w:val="00A218C6"/>
    <w:rsid w:val="00B17B32"/>
    <w:rsid w:val="00B80935"/>
    <w:rsid w:val="00C36CC5"/>
    <w:rsid w:val="00C52295"/>
    <w:rsid w:val="00C750B9"/>
    <w:rsid w:val="00CB58FC"/>
    <w:rsid w:val="00CD4B0F"/>
    <w:rsid w:val="00CF6E70"/>
    <w:rsid w:val="00D347CC"/>
    <w:rsid w:val="00D91C86"/>
    <w:rsid w:val="00DE547A"/>
    <w:rsid w:val="00E27CE3"/>
    <w:rsid w:val="01A948D1"/>
    <w:rsid w:val="03D5777A"/>
    <w:rsid w:val="15745CD6"/>
    <w:rsid w:val="1657770D"/>
    <w:rsid w:val="16D13557"/>
    <w:rsid w:val="203C7232"/>
    <w:rsid w:val="21E4631A"/>
    <w:rsid w:val="28B34F90"/>
    <w:rsid w:val="2BEC50D9"/>
    <w:rsid w:val="2C49662F"/>
    <w:rsid w:val="2E641ACE"/>
    <w:rsid w:val="33E56BF4"/>
    <w:rsid w:val="350E16AD"/>
    <w:rsid w:val="36BB1B3F"/>
    <w:rsid w:val="3E1A7A06"/>
    <w:rsid w:val="40B9514A"/>
    <w:rsid w:val="418542E0"/>
    <w:rsid w:val="436D3CAC"/>
    <w:rsid w:val="49F177D6"/>
    <w:rsid w:val="4CE82326"/>
    <w:rsid w:val="542359E3"/>
    <w:rsid w:val="56A6400D"/>
    <w:rsid w:val="572543BE"/>
    <w:rsid w:val="5910567C"/>
    <w:rsid w:val="5DA85E42"/>
    <w:rsid w:val="61A85CE1"/>
    <w:rsid w:val="67E60C61"/>
    <w:rsid w:val="69DA5E48"/>
    <w:rsid w:val="6D292116"/>
    <w:rsid w:val="6E3B0F93"/>
    <w:rsid w:val="73756C28"/>
    <w:rsid w:val="74092A0E"/>
    <w:rsid w:val="7522038F"/>
    <w:rsid w:val="7A492B09"/>
    <w:rsid w:val="7C862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0"/>
    <w:qFormat/>
    <w:locked/>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99"/>
    <w:rPr>
      <w:rFonts w:ascii="Times New Roman" w:hAnsi="Times New Roman" w:cs="Times New Roman"/>
      <w:szCs w:val="24"/>
    </w:rPr>
  </w:style>
  <w:style w:type="paragraph" w:styleId="8">
    <w:name w:val="footnote text"/>
    <w:basedOn w:val="1"/>
    <w:link w:val="16"/>
    <w:qFormat/>
    <w:uiPriority w:val="99"/>
    <w:pPr>
      <w:snapToGrid w:val="0"/>
      <w:jc w:val="left"/>
    </w:pPr>
    <w:rPr>
      <w:rFonts w:cs="Times New Roman"/>
      <w:sz w:val="18"/>
      <w:szCs w:val="18"/>
    </w:rPr>
  </w:style>
  <w:style w:type="paragraph" w:styleId="9">
    <w:name w:val="toc 2"/>
    <w:basedOn w:val="1"/>
    <w:next w:val="1"/>
    <w:qFormat/>
    <w:uiPriority w:val="99"/>
    <w:pPr>
      <w:ind w:left="200" w:leftChars="200"/>
    </w:pPr>
    <w:rPr>
      <w:rFonts w:ascii="Times New Roman" w:hAnsi="Times New Roman" w:cs="Times New Roman"/>
      <w:szCs w:val="24"/>
    </w:rPr>
  </w:style>
  <w:style w:type="character" w:styleId="12">
    <w:name w:val="footnote reference"/>
    <w:qFormat/>
    <w:uiPriority w:val="99"/>
    <w:rPr>
      <w:rFonts w:cs="Times New Roman"/>
      <w:vertAlign w:val="superscript"/>
    </w:rPr>
  </w:style>
  <w:style w:type="character" w:customStyle="1" w:styleId="13">
    <w:name w:val="批注框文本 Char"/>
    <w:link w:val="4"/>
    <w:semiHidden/>
    <w:qFormat/>
    <w:uiPriority w:val="99"/>
    <w:rPr>
      <w:rFonts w:ascii="Calibri" w:hAnsi="Calibri" w:cs="Arial"/>
      <w:sz w:val="0"/>
      <w:szCs w:val="0"/>
    </w:rPr>
  </w:style>
  <w:style w:type="character" w:customStyle="1" w:styleId="14">
    <w:name w:val="页脚 Char"/>
    <w:link w:val="5"/>
    <w:semiHidden/>
    <w:qFormat/>
    <w:uiPriority w:val="99"/>
    <w:rPr>
      <w:rFonts w:ascii="Calibri" w:hAnsi="Calibri" w:cs="Arial"/>
      <w:sz w:val="18"/>
      <w:szCs w:val="18"/>
    </w:rPr>
  </w:style>
  <w:style w:type="character" w:customStyle="1" w:styleId="15">
    <w:name w:val="页眉 Char"/>
    <w:link w:val="6"/>
    <w:semiHidden/>
    <w:qFormat/>
    <w:uiPriority w:val="99"/>
    <w:rPr>
      <w:rFonts w:ascii="Calibri" w:hAnsi="Calibri" w:cs="Arial"/>
      <w:sz w:val="18"/>
      <w:szCs w:val="18"/>
    </w:rPr>
  </w:style>
  <w:style w:type="character" w:customStyle="1" w:styleId="16">
    <w:name w:val="脚注文本 Char"/>
    <w:link w:val="8"/>
    <w:semiHidden/>
    <w:qFormat/>
    <w:uiPriority w:val="99"/>
    <w:rPr>
      <w:rFonts w:ascii="Calibri" w:hAnsi="Calibri" w:cs="Arial"/>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0"/>
    <w:pPr>
      <w:ind w:firstLine="200" w:firstLineChars="200"/>
    </w:pPr>
  </w:style>
  <w:style w:type="character" w:customStyle="1" w:styleId="20">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1552</Words>
  <Characters>8848</Characters>
  <Lines>73</Lines>
  <Paragraphs>20</Paragraphs>
  <TotalTime>0</TotalTime>
  <ScaleCrop>false</ScaleCrop>
  <LinksUpToDate>false</LinksUpToDate>
  <CharactersWithSpaces>10380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2024-05-15T08:34:00Z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2BF6356FD02D4826B73BF999AE25E81F</vt:lpwstr>
  </property>
</Properties>
</file>