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hint="eastAsia" w:ascii="Times New Roman" w:hAnsi="Times New Roman" w:eastAsia="方正小标宋简体" w:cs="Times New Roman"/>
          <w:sz w:val="44"/>
          <w:szCs w:val="44"/>
        </w:rPr>
      </w:pPr>
      <w:bookmarkStart w:id="2" w:name="_GoBack"/>
      <w:r>
        <w:rPr>
          <w:rFonts w:hint="eastAsia" w:ascii="Times New Roman" w:hAnsi="Times New Roman" w:eastAsia="方正小标宋简体" w:cs="Times New Roman"/>
          <w:sz w:val="44"/>
          <w:szCs w:val="44"/>
        </w:rPr>
        <w:t>中共</w:t>
      </w: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广阳区委区直机关工作委员会</w:t>
      </w:r>
    </w:p>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仿宋_GB2312" w:hAnsi="仿宋_GB2312" w:eastAsia="仿宋_GB2312" w:cs="仿宋_GB2312"/>
          <w:sz w:val="32"/>
          <w:szCs w:val="32"/>
        </w:rPr>
        <w:t>中共廊坊市广阳区委区直机关工作委员会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根据《中共廊坊市广阳区委区直机关工作委员会职能配置、内设机构和人员编制规定》， 中共廊坊市广阳区委区直机关工作委员会的主要职责是：</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(一）统一组织、规划、部署区直机关党的工作，提出加强和改进机关党的建设的意见和建议，研究制定工作规划，并抓好组织实施。</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(二）指导区直机关党的政治建设、思想建设、组织建设、作风建设、纪律建设，把制度建设贯彻其中，深入推进反腐败斗争。</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(三）指导区直机关各级党组织和广大党员学习马克思列宁主义、毛泽东思想、邓小平理论、“三个代表”重要思想、科学发展观、习近平新时代中国特色社会主义思想。</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(四）对区直机关各级党组织、党员领导干部落实党建责任制、遵守政治纪律和政治规矩情况进行监督检查，并向区委报告。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(五）指导区直机关各级党组织实施对党员特别是党员领导干部的监督和管理，监督党员领导干部过好双重组织生活。</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(六）督促指导区直机关各部门机关党委按期换届，审批关于召开党员大会或党员代表大会的请示。按照党章和基层党组织选举工作暂行条例规定，负责审批区直机关直属党组织设置及委员会组成。</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(七）指导各级党组织加强基层组织建设，做好党员发展、教育管理等工作。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(八）了解掌握区直机关工作人员的思想状况，指导区直机关各级党组织加强思想政治工作和精神文明建设。</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(九）协同有关部门指导、规划、协调、监督区直机关党员干部教育培训工作，组织实施有关党员干部教育培训重点任务。</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（十）协助有关部门协调区直机关各部门做好维护稳定等工作。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(十一）完成区委交办的其他任务。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中共廊坊市广阳区委区直机关工作委员会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行政机关</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00" w:lineRule="exact"/>
        <w:ind w:firstLine="640" w:firstLineChars="200"/>
        <w:jc w:val="left"/>
        <w:rPr>
          <w:rFonts w:ascii="仿宋_GB2312" w:hAnsi="仿宋_GB2312" w:eastAsia="仿宋_GB2312" w:cs="仿宋_GB2312"/>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仿宋_GB2312" w:hAnsi="仿宋_GB2312" w:eastAsia="仿宋_GB2312" w:cs="仿宋_GB2312"/>
          <w:sz w:val="32"/>
          <w:szCs w:val="32"/>
        </w:rPr>
        <w:t>中共廊坊市广阳区委区直机关工作委员会机关及所属事业单位的收支包含在部门预算中。</w:t>
      </w:r>
    </w:p>
    <w:p>
      <w:pPr>
        <w:spacing w:line="584" w:lineRule="exact"/>
        <w:ind w:firstLine="64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1、收入说明</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反映本部门当年全部收入。2021年预算收入151.65万元，其中：一般公共预算收入151.65万元，基金预算收入0万元，财政专户核拨收入0万元，其他来源收入0万元。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中共廊坊市广阳区委区直机关工作委员会2021年度部门预算中支出预算的总体情况。2021年支出预算151.65万元，其中基本支出151.65万元，包括</w:t>
      </w:r>
      <w:r>
        <w:rPr>
          <w:rFonts w:ascii="Times New Roman" w:hAnsi="Times New Roman" w:eastAsia="仿宋_GB2312" w:cs="Times New Roman"/>
          <w:sz w:val="32"/>
          <w:szCs w:val="32"/>
        </w:rPr>
        <w:t>人员类项目经费</w:t>
      </w:r>
      <w:r>
        <w:rPr>
          <w:rFonts w:hint="eastAsia" w:ascii="仿宋_GB2312" w:hAnsi="仿宋_GB2312" w:eastAsia="仿宋_GB2312" w:cs="仿宋_GB2312"/>
          <w:sz w:val="32"/>
          <w:szCs w:val="32"/>
        </w:rPr>
        <w:t>130.86万元和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仿宋_GB2312" w:hAnsi="仿宋_GB2312" w:eastAsia="仿宋_GB2312" w:cs="仿宋_GB2312"/>
          <w:sz w:val="32"/>
          <w:szCs w:val="32"/>
        </w:rPr>
        <w:t>20.79万元。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autoSpaceDE w:val="0"/>
        <w:autoSpaceDN w:val="0"/>
        <w:adjustRightInd w:val="0"/>
        <w:spacing w:line="584" w:lineRule="exact"/>
        <w:ind w:firstLine="640" w:firstLineChars="200"/>
        <w:jc w:val="left"/>
        <w:rPr>
          <w:rFonts w:ascii="Times New Roman" w:eastAsia="方正仿宋_GBK"/>
          <w:sz w:val="28"/>
        </w:rPr>
      </w:pPr>
      <w:r>
        <w:rPr>
          <w:rFonts w:hint="eastAsia" w:ascii="仿宋_GB2312" w:hAnsi="仿宋_GB2312" w:eastAsia="仿宋_GB2312" w:cs="仿宋_GB2312"/>
          <w:sz w:val="32"/>
          <w:szCs w:val="32"/>
        </w:rPr>
        <w:t>2021年预算收支安排151.65万元，较2020年预算增加60.97万元，其中：基本支出增加60.97万元，主要为增加人员经费支出、日常公用经费。</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20.79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区直工委</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我单位财政拨款“三公”经费预算安排2.19万元。其中，因公出国（境）费0万元；公务用车购置及运维费2.19万元（其中：公务用车购置费为0万元，公务用车运维费2.19万元)；公务接待费0万元。与2020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通过重点推进党员培训教育、区直党建督查、廉政文化宣传以及区直违纪案件审理等工作，全面提升区直机关党建工作水平，促进区直机关及窗口单位作风转变，为区直各项工作的良好推进打牢思想政治基础。</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加强区直机关学习型、创新型、服务型党组织建设力度，发挥党建工作的政治优势推动事业发展。</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全年完成区直机关党务干部培训2次，提升区直机关党员政治素质。2、促进党员干部素质提升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进一步提升区直机关党员干部职工践行社会主义核心价值观的能力，提振精神状态，提升服务质量，为提升廊坊软实力夯实基础。</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组织75%以上区直单位党务干部培训2次，持续提升区直机关党员干部整体素质。</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开拓创新工作思路，确保区直机关党建工作提升、作风转变、效能提高。</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年度内对区直单位进行至少3次培训，至少每季度组织一次对区直机关党建的督查。</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进一步推进区直机关作风转变，推进区直机关党风廉政建设和反腐败工作扎实开展。</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年度内开展3次以上廉政教育培训，对80%以上的区直单位进行作风纪律督导，积极审理科级以及下党员违纪案件。</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完善制度建设。结合本部门实际情况，制定和完善切实可行的预算绩效管理制度、资金管理办法、工作保障制度等，明确各科室各项工作职责，为全年绩效目标的实现奠定制度基础。在制度执行过程中，不断发现问题，优化制度，切实发挥制度效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2、加强支出管理。实施台账化管理，将全年工作与预算执行相结合，细化各项工作的资金安排。督促各职能科室尽快启动项目、及时支付资金等措施，确保支出进度达标。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3、加强绩效运行监控。按照预算绩效管理制度安排，严格开展绩效运行监控，发现问题及时采取措施，确保绩效目标如期保质实现。</w:t>
      </w:r>
    </w:p>
    <w:p>
      <w:pPr>
        <w:spacing w:line="500" w:lineRule="exact"/>
        <w:ind w:firstLine="640" w:firstLineChars="200"/>
        <w:jc w:val="left"/>
        <w:rPr>
          <w:rFonts w:ascii="仿宋" w:hAnsi="仿宋" w:eastAsia="仿宋"/>
          <w:sz w:val="32"/>
          <w:szCs w:val="32"/>
        </w:rPr>
      </w:pPr>
      <w:r>
        <w:rPr>
          <w:rFonts w:ascii="仿宋" w:hAnsi="仿宋" w:eastAsia="仿宋"/>
          <w:sz w:val="32"/>
          <w:szCs w:val="32"/>
        </w:rPr>
        <w:t>4、做好绩效评价。按要求认真细化开展上年度部门预算绩效自评和重点评价工作。在评价中发现问题，在评价中挖掘原因，商讨对策。所有问题建立责任清单，及时对照整改，逐步销号。针对已经出现过的问题，及时调整优化支出结构，提高财政资金使用效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5、规范财务资产管理。根据实际情况，定期完善财务管理制度。对已经制度化的管理措施，严格执行，规范资金支出审批程序，加强固定资产登记、使用和报废处置管理，做到支出合理，物尽其用。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6、加强内部监控。加强内部监督制度建设，充分发挥市直纪检监察工委的内部监督职能，加强对绩效运行情况、重大支出决策、资产处置及其他重要经济业务事项的决策和执行进行督导，对会计资料进行内部审计。财务人员每年按期将上年度财务账目报送会计师事务所审计，并配合做好审计、财政监督等外部监督工作，确保财政资金安全有效。</w:t>
      </w:r>
    </w:p>
    <w:p>
      <w:pPr>
        <w:spacing w:line="500" w:lineRule="exact"/>
        <w:ind w:firstLine="640" w:firstLineChars="200"/>
        <w:jc w:val="left"/>
        <w:rPr>
          <w:rFonts w:ascii="仿宋" w:hAnsi="仿宋" w:eastAsia="仿宋"/>
          <w:sz w:val="32"/>
          <w:szCs w:val="32"/>
        </w:rPr>
      </w:pPr>
      <w:r>
        <w:rPr>
          <w:rFonts w:ascii="仿宋" w:hAnsi="仿宋" w:eastAsia="仿宋"/>
          <w:sz w:val="32"/>
          <w:szCs w:val="32"/>
        </w:rPr>
        <w:t>7、加强宣传培训调研。根据财务最新规则，定期对本部门人员进行培训，提高本部门职工业务素质，使部门内所有人员懂财务懂绩效，在工作中能够更高效的使用财政资金；加强调研，加强与其他单位的交流学习，汲取优化财政资金配置、提高资金使用效益的方式方法；加大宣传力度，强化预算绩效管理意识，促进预算绩效管理水平进一步提升。</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发放率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实际发放数占总发放数的比例</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宋体" w:hAnsi="宋体" w:cs="宋体"/>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工资按月发放</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10</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工资按月发放</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一周工作日</w:t>
            </w: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保证工作正常运转</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保障工资正常发放，维护社会稳定</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基本维护</w:t>
            </w: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p>
        </w:tc>
        <w:tc>
          <w:tcPr>
            <w:tcW w:w="2172" w:type="dxa"/>
            <w:tcBorders>
              <w:tl2br w:val="nil"/>
              <w:tr2bl w:val="nil"/>
            </w:tcBorders>
            <w:noWrap/>
            <w:vAlign w:val="center"/>
          </w:tcPr>
          <w:p>
            <w:pPr>
              <w:widowControl/>
              <w:adjustRightInd w:val="0"/>
              <w:snapToGrid w:val="0"/>
              <w:rPr>
                <w:rFonts w:ascii="方正书宋_GBK" w:eastAsia="方正书宋_GBK"/>
              </w:rPr>
            </w:pPr>
          </w:p>
        </w:tc>
        <w:tc>
          <w:tcPr>
            <w:tcW w:w="1483" w:type="dxa"/>
            <w:tcBorders>
              <w:tl2br w:val="nil"/>
              <w:tr2bl w:val="nil"/>
            </w:tcBorders>
            <w:noWrap/>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服务对象满意度</w:t>
            </w:r>
          </w:p>
        </w:tc>
        <w:tc>
          <w:tcPr>
            <w:tcW w:w="217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10</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服务对象满意</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宋体" w:hAnsi="宋体" w:cs="宋体"/>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64920910"/>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p>
      <w:pPr>
        <w:jc w:val="center"/>
        <w:outlineLvl w:val="1"/>
        <w:rPr>
          <w:rFonts w:ascii="Times New Roman" w:hAnsi="Times New Roman" w:cs="Times New Roman"/>
          <w:sz w:val="32"/>
        </w:rPr>
      </w:pPr>
      <w:r>
        <w:rPr>
          <w:rFonts w:hint="eastAsia" w:ascii="方正小标宋_GBK" w:eastAsia="方正小标宋_GBK" w:cs="Times New Roman"/>
          <w:sz w:val="32"/>
        </w:rPr>
        <w:t>部门政府采购预算</w:t>
      </w:r>
      <w:bookmarkEnd w:id="0"/>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283</w:t>
            </w:r>
            <w:r>
              <w:rPr>
                <w:rFonts w:ascii="方正书宋_GBK" w:eastAsia="方正书宋_GBK" w:cs="Times New Roman"/>
                <w:sz w:val="24"/>
              </w:rPr>
              <w:t>中共廊坊市广阳区委区直机关工作委员会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bookmarkEnd w:id="1"/>
    </w:tbl>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00" w:lineRule="exact"/>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中共廊坊市广阳区委区直机关工作委员会（</w:t>
      </w:r>
      <w:r>
        <w:rPr>
          <w:rFonts w:ascii="宋体" w:hAnsi="宋体" w:cs="宋体"/>
          <w:sz w:val="32"/>
          <w:szCs w:val="32"/>
        </w:rPr>
        <w:t>含所属单位）</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5.01</w:t>
      </w:r>
      <w:r>
        <w:rPr>
          <w:rFonts w:ascii="Times New Roman" w:hAnsi="Times New Roman" w:eastAsia="仿宋_GB2312" w:cs="Times New Roman"/>
          <w:sz w:val="32"/>
          <w:szCs w:val="32"/>
        </w:rPr>
        <w:t>万元（详见下表），本年度我部门拟购置固定资产总额为0万元。</w:t>
      </w:r>
    </w:p>
    <w:p>
      <w:pPr>
        <w:spacing w:line="500" w:lineRule="exact"/>
        <w:jc w:val="left"/>
        <w:rPr>
          <w:rFonts w:hint="eastAsia" w:ascii="Times New Roman" w:hAnsi="Times New Roman" w:eastAsia="仿宋_GB2312" w:cs="Times New Roman"/>
          <w:sz w:val="32"/>
          <w:szCs w:val="32"/>
        </w:rPr>
      </w:pPr>
    </w:p>
    <w:p>
      <w:pPr>
        <w:spacing w:line="500" w:lineRule="exact"/>
        <w:jc w:val="left"/>
        <w:rPr>
          <w:rFonts w:hint="eastAsia"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中共廊坊市广阳区委区直机关工作委员会</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中共廊坊市广阳区委区直机关工作委员会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12</w:t>
            </w:r>
          </w:p>
        </w:tc>
        <w:tc>
          <w:tcPr>
            <w:tcW w:w="5103" w:type="dxa"/>
            <w:tcBorders>
              <w:top w:val="nil"/>
              <w:left w:val="nil"/>
              <w:bottom w:val="single" w:color="auto" w:sz="4" w:space="0"/>
              <w:right w:val="single" w:color="auto" w:sz="4" w:space="0"/>
            </w:tcBorders>
            <w:shd w:val="clear" w:color="auto" w:fill="auto"/>
            <w:noWrap/>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5.01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0</w:t>
            </w:r>
          </w:p>
        </w:tc>
        <w:tc>
          <w:tcPr>
            <w:tcW w:w="5103" w:type="dxa"/>
            <w:tcBorders>
              <w:top w:val="nil"/>
              <w:left w:val="nil"/>
              <w:bottom w:val="single" w:color="auto" w:sz="4" w:space="0"/>
              <w:right w:val="single" w:color="auto" w:sz="4" w:space="0"/>
            </w:tcBorders>
            <w:shd w:val="clear" w:color="auto" w:fill="auto"/>
            <w:noWrap/>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0</w:t>
            </w:r>
          </w:p>
        </w:tc>
        <w:tc>
          <w:tcPr>
            <w:tcW w:w="5103" w:type="dxa"/>
            <w:tcBorders>
              <w:top w:val="nil"/>
              <w:left w:val="nil"/>
              <w:bottom w:val="single" w:color="auto" w:sz="4" w:space="0"/>
              <w:right w:val="single" w:color="auto" w:sz="4" w:space="0"/>
            </w:tcBorders>
            <w:shd w:val="clear" w:color="auto" w:fill="auto"/>
            <w:noWrap/>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1</w:t>
            </w:r>
          </w:p>
        </w:tc>
        <w:tc>
          <w:tcPr>
            <w:tcW w:w="5103" w:type="dxa"/>
            <w:tcBorders>
              <w:top w:val="nil"/>
              <w:left w:val="nil"/>
              <w:bottom w:val="single" w:color="auto" w:sz="4" w:space="0"/>
              <w:right w:val="single" w:color="auto" w:sz="4" w:space="0"/>
            </w:tcBorders>
            <w:shd w:val="clear" w:color="auto" w:fill="auto"/>
            <w:noWrap/>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3.1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0</w:t>
            </w:r>
          </w:p>
        </w:tc>
        <w:tc>
          <w:tcPr>
            <w:tcW w:w="5103" w:type="dxa"/>
            <w:tcBorders>
              <w:top w:val="nil"/>
              <w:left w:val="nil"/>
              <w:bottom w:val="single" w:color="auto" w:sz="4" w:space="0"/>
              <w:right w:val="single" w:color="auto" w:sz="4" w:space="0"/>
            </w:tcBorders>
            <w:shd w:val="clear" w:color="auto" w:fill="auto"/>
            <w:noWrap/>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11</w:t>
            </w:r>
          </w:p>
        </w:tc>
        <w:tc>
          <w:tcPr>
            <w:tcW w:w="5103" w:type="dxa"/>
            <w:tcBorders>
              <w:top w:val="nil"/>
              <w:left w:val="nil"/>
              <w:bottom w:val="single" w:color="auto" w:sz="4" w:space="0"/>
              <w:right w:val="single" w:color="auto" w:sz="4" w:space="0"/>
            </w:tcBorders>
            <w:shd w:val="clear" w:color="auto" w:fill="auto"/>
            <w:noWrap/>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1.91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73E0A"/>
    <w:rsid w:val="0014010B"/>
    <w:rsid w:val="00301F9F"/>
    <w:rsid w:val="00356683"/>
    <w:rsid w:val="003613F3"/>
    <w:rsid w:val="0046139B"/>
    <w:rsid w:val="004637AF"/>
    <w:rsid w:val="004A54AA"/>
    <w:rsid w:val="0072010D"/>
    <w:rsid w:val="00807A76"/>
    <w:rsid w:val="008871EE"/>
    <w:rsid w:val="008B5394"/>
    <w:rsid w:val="008F0EB4"/>
    <w:rsid w:val="00A218C6"/>
    <w:rsid w:val="00B17B32"/>
    <w:rsid w:val="00B80935"/>
    <w:rsid w:val="00D347CC"/>
    <w:rsid w:val="00E27CE3"/>
    <w:rsid w:val="09B93C1B"/>
    <w:rsid w:val="18DC60B9"/>
    <w:rsid w:val="445B68D1"/>
    <w:rsid w:val="48DD0F0F"/>
    <w:rsid w:val="6FE02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655</Words>
  <Characters>3738</Characters>
  <Lines>31</Lines>
  <Paragraphs>8</Paragraphs>
  <TotalTime>14</TotalTime>
  <ScaleCrop>false</ScaleCrop>
  <LinksUpToDate>false</LinksUpToDate>
  <CharactersWithSpaces>4385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2022-07-08T08:47:09Z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7B5AC6EB1B1E48C480CE72A12AA4EC61</vt:lpwstr>
  </property>
</Properties>
</file>