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方正小标宋简体" w:hAnsi="Times New Roman" w:eastAsia="方正小标宋简体" w:cs="Times New Roman"/>
          <w:sz w:val="44"/>
          <w:szCs w:val="44"/>
        </w:rPr>
      </w:pPr>
      <w:bookmarkStart w:id="3" w:name="_GoBack"/>
      <w:r>
        <w:rPr>
          <w:rFonts w:hint="eastAsia" w:ascii="方正小标宋简体" w:hAnsi="Times New Roman" w:eastAsia="方正小标宋简体" w:cs="Times New Roman"/>
          <w:sz w:val="44"/>
          <w:szCs w:val="44"/>
        </w:rPr>
        <w:t>廊坊市广阳区银河北路街道办事处2020年部门预算信息公开</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广阳区银河北路街道办事处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部门职责：</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银河北路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1、宣传、贯彻、落实党的路线、方针、政策和国家的法律法规，执行上级党委、政府的决定和命令；</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2、制定并组织实施本行政区域内的经济和社会发展规划，促进经济和社会事业的全面发展；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3、加强街道、社区党的建设，领导和支持群团组织依法独立开展工作；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5、加强街道、社区精神文明建设和文化建设，促进社会文明进步；</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6、加强街道、社区社会治安综合治理工作，维护社会稳定；</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7、兴建社区服务设施，强化服务功能，提供多种形式的公共服务；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8、加大城市建设与经营管理力度，发展社会公共事业，加快城市建设和发展步伐；</w:t>
      </w:r>
    </w:p>
    <w:p>
      <w:pPr>
        <w:spacing w:line="57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9、完成区委、区政府交办的其它工作任务。</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廊坊市广阳区银河北路街道办事处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广阳区银河北路街道办事处</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1814.74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1814.74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广阳区银河北路街道办事处</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1814.74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1711.57</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1587.65</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123.92</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103.17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为社区聘用人员经费</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1814.74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111.63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113.65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增加人员</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减少2.02</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社区聘用人员保险比例下调</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123.92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银河北路街道办事处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color w:val="000000" w:themeColor="text1"/>
          <w:sz w:val="32"/>
          <w:szCs w:val="32"/>
        </w:rPr>
        <w:t>与20</w:t>
      </w:r>
      <w:r>
        <w:rPr>
          <w:rFonts w:hint="eastAsia" w:ascii="Times New Roman" w:hAnsi="Times New Roman" w:eastAsia="仿宋_GB2312" w:cs="Times New Roman"/>
          <w:color w:val="000000" w:themeColor="text1"/>
          <w:sz w:val="32"/>
          <w:szCs w:val="32"/>
        </w:rPr>
        <w:t>19</w:t>
      </w:r>
      <w:r>
        <w:rPr>
          <w:rFonts w:ascii="Times New Roman" w:hAnsi="Times New Roman" w:eastAsia="仿宋_GB2312" w:cs="Times New Roman"/>
          <w:color w:val="000000" w:themeColor="text1"/>
          <w:sz w:val="32"/>
          <w:szCs w:val="32"/>
        </w:rPr>
        <w:t>年相比</w:t>
      </w:r>
      <w:r>
        <w:rPr>
          <w:rFonts w:hint="eastAsia" w:ascii="Times New Roman" w:hAnsi="Times New Roman" w:eastAsia="仿宋_GB2312" w:cs="Times New Roman"/>
          <w:color w:val="000000" w:themeColor="text1"/>
          <w:sz w:val="32"/>
          <w:szCs w:val="32"/>
        </w:rPr>
        <w:t>持平。</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pStyle w:val="16"/>
        <w:ind w:firstLine="630" w:firstLineChars="196"/>
        <w:rPr>
          <w:rFonts w:ascii="楷体" w:hAnsi="楷体" w:eastAsia="楷体"/>
          <w:b/>
          <w:kern w:val="2"/>
          <w:sz w:val="32"/>
          <w:szCs w:val="32"/>
          <w:lang w:eastAsia="zh-CN"/>
        </w:rPr>
      </w:pPr>
      <w:bookmarkStart w:id="0" w:name="_Toc471398463"/>
      <w:r>
        <w:rPr>
          <w:rFonts w:hint="eastAsia" w:ascii="楷体" w:hAnsi="楷体" w:eastAsia="楷体"/>
          <w:b/>
          <w:kern w:val="2"/>
          <w:sz w:val="32"/>
          <w:szCs w:val="32"/>
          <w:lang w:eastAsia="zh-CN"/>
        </w:rPr>
        <w:t>第一部分  部门整体绩效目标</w:t>
      </w:r>
    </w:p>
    <w:p>
      <w:pPr>
        <w:pStyle w:val="18"/>
        <w:numPr>
          <w:ilvl w:val="0"/>
          <w:numId w:val="1"/>
        </w:numPr>
        <w:spacing w:line="584" w:lineRule="exact"/>
        <w:ind w:firstLineChars="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43"/>
        <w:jc w:val="left"/>
        <w:rPr>
          <w:color w:val="000000"/>
          <w:sz w:val="32"/>
        </w:rPr>
      </w:pPr>
      <w:r>
        <w:rPr>
          <w:rFonts w:ascii="Times New Roman" w:hAnsi="Times New Roman" w:eastAsia="仿宋_GB2312" w:cs="Times New Roman"/>
          <w:sz w:val="32"/>
          <w:szCs w:val="32"/>
        </w:rPr>
        <w:t>一是推进经济持续增长。狠抓招商引资，坚持“区域突破，扩大规模，内外联动”策略，力争多招商、招好商。同时，力推项目建设，结合去年的项目建设，一些扩建项目还要继续推进，争取更大更多的项目。二是加强社区民生服务。进一步强化社区网格服务功能，坚持以党建带社管、管理与服务相结合，不断提升网格承载的社会管理和公共服务的能力。推行了解民情零距离、答复民疑零延迟、解决民难零推脱的“三零”标准。把就业、计生、司法、民政、环保、大气防治等服务不断充实到网格里，实现网格员和网格长上门服务居民。三是创新社区文化品牌。多形式设计活动载体，充分发挥公益性社会群团组织作用，激发社区文化活力，提高原创作品的创作能力，提升社区文化品质，打造文化街道品牌。四是坚持维护稳定大局。深入排查化解矛盾纠纷，积极预防和妥善处置群体性事件，坚持做到涉稳问题排查化解到位、重点涉稳人员稳控到位、预防和处置非访事件准备工作到位，为实现广阳又好又快发展做出更大的贡献。五是实行科技</w:t>
      </w:r>
      <w:r>
        <w:rPr>
          <w:rFonts w:hint="eastAsia" w:ascii="Times New Roman" w:hAnsi="Times New Roman" w:eastAsia="仿宋_GB2312" w:cs="Times New Roman"/>
          <w:sz w:val="32"/>
          <w:szCs w:val="32"/>
          <w:lang w:eastAsia="zh-CN"/>
        </w:rPr>
        <w:t>环保督察</w:t>
      </w:r>
      <w:r>
        <w:rPr>
          <w:rFonts w:ascii="Times New Roman" w:hAnsi="Times New Roman" w:eastAsia="仿宋_GB2312" w:cs="Times New Roman"/>
          <w:sz w:val="32"/>
          <w:szCs w:val="32"/>
        </w:rPr>
        <w:t>。在继续推行网格员巡查的同时，加大对网格员的培训力度，发动全员治霾的同时，加大无人机和监测仪在实际检查中的应用，让数据说话，真正做到精准治霾，科技治霾。全力推进各社区数字化信息管理平台和环保网格数据平台的建设工作，增加专业业务知识培训次数。六是加大隐患整治力度。对街道辖区内的安全生产重点监管单位、重大危险源进行重点监管检查，对一般单位实施定期或不定期专项检查，通过检查及时发现隐患，遏制一般事故，杜绝重大事故，确保各类检查和整治活动取得成效，完成各项控制指标</w:t>
      </w:r>
      <w:r>
        <w:rPr>
          <w:rFonts w:ascii="新宋体" w:hAnsi="新宋体" w:eastAsia="新宋体"/>
          <w:color w:val="000000"/>
          <w:sz w:val="32"/>
        </w:rPr>
        <w:t>。</w:t>
      </w:r>
    </w:p>
    <w:p>
      <w:pPr>
        <w:pStyle w:val="18"/>
        <w:numPr>
          <w:ilvl w:val="0"/>
          <w:numId w:val="1"/>
        </w:numPr>
        <w:spacing w:line="584" w:lineRule="exact"/>
        <w:ind w:firstLineChars="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分项绩效目标</w:t>
      </w:r>
    </w:p>
    <w:p>
      <w:pPr>
        <w:pStyle w:val="16"/>
        <w:ind w:left="643" w:leftChars="306" w:firstLine="640" w:firstLineChars="200"/>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银河北路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4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1、宣传、贯彻、落实党的路线、方针、政策和国家的法律法规，执行上级党委、政府的决定和命令；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4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2、制定并组织实施本行政区域内的经济和社会发展规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4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划，促进经济和社会事业的全面发展；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4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3、加强街道、社区党的建设，领导和支持群团组织依法独立开展工作；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38" w:leftChars="304"/>
        <w:rPr>
          <w:rFonts w:ascii="Times New Roman" w:hAnsi="Times New Roman" w:eastAsia="仿宋_GB2312" w:cs="Times New Roman"/>
          <w:sz w:val="32"/>
          <w:szCs w:val="32"/>
        </w:rPr>
      </w:pPr>
      <w:r>
        <w:rPr>
          <w:rFonts w:ascii="Times New Roman" w:hAnsi="Times New Roman" w:eastAsia="仿宋_GB2312" w:cs="Times New Roman"/>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加强街道、社区精神文明建设和文化建设，促进社会文明进步；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加强街道、社区社会治安综合治理工作，维护社会稳定；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7、兴建社区服务设施，强化服务功能，提供多种形式的公共服务；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8、加大城市建设与经营管理力度，发展社会公共事业，加快城市建设和发展步伐；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9、完成区委、区政府交办的其它工作任务。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43"/>
        <w:jc w:val="left"/>
        <w:rPr>
          <w:rFonts w:ascii="楷体" w:hAnsi="楷体" w:eastAsia="楷体" w:cs="Times New Roman"/>
          <w:b/>
          <w:sz w:val="32"/>
          <w:szCs w:val="32"/>
        </w:rPr>
      </w:pPr>
      <w:r>
        <w:rPr>
          <w:rFonts w:hint="eastAsia" w:ascii="楷体" w:hAnsi="楷体" w:eastAsia="楷体"/>
          <w:color w:val="000000"/>
          <w:sz w:val="32"/>
        </w:rPr>
        <w:t>（三）</w:t>
      </w:r>
      <w:r>
        <w:rPr>
          <w:rFonts w:hint="eastAsia" w:ascii="楷体" w:hAnsi="楷体" w:eastAsia="楷体" w:cs="Times New Roman"/>
          <w:b/>
          <w:sz w:val="32"/>
          <w:szCs w:val="32"/>
        </w:rPr>
        <w:t>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0" w:after="100" w:line="360" w:lineRule="auto"/>
        <w:ind w:firstLine="64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 基层党建促提质。一是在强化服务意识上下功夫。培养树立街道干部群众第一的理念，以求真务实的精神深入群众之中，体察民情、了解民意，为群众诚心诚意办实事、尽心尽力解难事、坚持不懈做好事。二是在提升综合素质上下功夫。加强街居干部理论知识、前沿科技知识和先进经验的学习，研究新政策，吃透新情况，不断提升自身素质。坚持“学中干，干中学”，深入社区、深入居民，在基层实践中锻炼提高。三是在提升工作效能上下功夫。继续建立健全各项规章制度，加强机关作风建设，充分发挥纪检部门的监督作用，不断增强街居干部的纪律意识、责任意识和大局意识，坚决杜绝纪律松</w:t>
      </w:r>
      <w:r>
        <w:rPr>
          <w:rFonts w:hint="eastAsia" w:ascii="Times New Roman" w:hAnsi="Times New Roman" w:eastAsia="仿宋_GB2312" w:cs="Times New Roman"/>
          <w:sz w:val="32"/>
          <w:szCs w:val="32"/>
          <w:lang w:eastAsia="zh-CN"/>
        </w:rPr>
        <w:t>弛</w:t>
      </w:r>
      <w:r>
        <w:rPr>
          <w:rFonts w:ascii="Times New Roman" w:hAnsi="Times New Roman" w:eastAsia="仿宋_GB2312" w:cs="Times New Roman"/>
          <w:sz w:val="32"/>
          <w:szCs w:val="32"/>
        </w:rPr>
        <w:t>、工作拖延、自由散漫等消极怠工现象，努力提高工作效率。四是在创新服务载体上下功夫。积极推广在职党员进社区、结对帮扶等做法，运用多种形式和手段开展服务；广泛开展以党员为骨干的各类志愿服务；充分调动广大群众自我管理、自我服务的积极性，构建以党组织为核心、全社会共同参与的服务格局。</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（二） 项目引建求突破。不断优化招商结构和投资环境，注重引进规模大、质量好的项目，特别是高端现代服务业项目，高科技、高附加值、高税收项目。加大重点项目的推进力度，找准联建户突破口，形成多部门执法合力，实现对土地和资源的有效利用，加快辖区土地的全面盘活，培育辖区经济增长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 社区创建增亮点。一是深化社区服务功能。紧紧围绕志愿者服务开展工作，进一步创新服务形式，以“特色专业志愿服务团队”建设为侧重点，细化服务方向，提高服务质量，不断开创银河北路街道惠民利民新品牌。二是创新社区管理机制体制。鼓励辖区各类组织、单位和个人共驻共建，力争建立起覆盖社区全体成员、服务主体多元、服务功能完善、服务质量和管理模式都达到领先水平的社区服务体系。三是挖掘特色精品社区创建内涵。将8个社区划分为“三个三分之一”，其中三分之一老旧社区加强社区建设，摸索建立社区特色；三分之一已有特色社区加大挖掘力度，出亮点，立标杆；三分之一重点社区强化街道扶持，树品牌，建口碑，争取取得各社区特色各异，百花齐放的良好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 和谐共建保稳定。一是强化维稳意识。在原有上访点有效地化解的基础上，将防复发、防新发的任务作为重点，时刻紧绷维护稳定这根弦，将问题想在困难处，想在发生前，将隐患消除在萌芽状态。二是强化安全意识。进一步推动落实企业主体责任，强化重点领域专项整治，健全隐患排查长效管理机制，强化安全生产培训教育，加强和有关部门的协调配合，从源头打击控制非法、违法行为，创造良好平稳的安全生产环境。三是强化大气污染防治。细化大气污染防治网格化管理，明确责任，工作有的放矢。并加强督导，强化机制。同时不断加大宣传教育力度，营造干群齐心协力防治大气污染、改善生态环境的浓厚氛围。</w:t>
      </w:r>
    </w:p>
    <w:p>
      <w:pPr>
        <w:pStyle w:val="16"/>
        <w:rPr>
          <w:rFonts w:ascii="楷体" w:hAnsi="楷体" w:eastAsia="楷体"/>
          <w:b/>
          <w:kern w:val="2"/>
          <w:sz w:val="32"/>
          <w:szCs w:val="32"/>
          <w:lang w:eastAsia="zh-CN"/>
        </w:rPr>
      </w:pPr>
      <w:r>
        <w:rPr>
          <w:rFonts w:hint="eastAsia" w:ascii="楷体" w:hAnsi="楷体" w:eastAsia="楷体"/>
          <w:b/>
          <w:kern w:val="2"/>
          <w:sz w:val="32"/>
          <w:szCs w:val="32"/>
          <w:lang w:eastAsia="zh-CN"/>
        </w:rPr>
        <w:t>第二部分   资金绩效目标</w:t>
      </w:r>
    </w:p>
    <w:p>
      <w:pPr>
        <w:pStyle w:val="16"/>
        <w:ind w:firstLine="321" w:firstLineChars="100"/>
        <w:rPr>
          <w:rFonts w:ascii="楷体" w:hAnsi="楷体" w:eastAsia="楷体"/>
          <w:b/>
          <w:sz w:val="32"/>
          <w:lang w:eastAsia="zh-CN"/>
        </w:rPr>
      </w:pPr>
      <w:r>
        <w:rPr>
          <w:rFonts w:hint="eastAsia" w:ascii="楷体" w:hAnsi="楷体" w:eastAsia="楷体"/>
          <w:b/>
          <w:sz w:val="32"/>
          <w:lang w:eastAsia="zh-CN"/>
        </w:rPr>
        <w:t>1.社区经费绩效目标表</w:t>
      </w:r>
    </w:p>
    <w:p>
      <w:pPr>
        <w:pStyle w:val="16"/>
        <w:ind w:firstLine="321" w:firstLineChars="100"/>
        <w:rPr>
          <w:rFonts w:ascii="楷体" w:hAnsi="楷体" w:eastAsia="楷体"/>
          <w:b/>
          <w:sz w:val="32"/>
          <w:lang w:eastAsia="zh-CN"/>
        </w:rPr>
      </w:pPr>
    </w:p>
    <w:p>
      <w:pPr>
        <w:pStyle w:val="16"/>
        <w:tabs>
          <w:tab w:val="left" w:pos="10043"/>
        </w:tabs>
        <w:ind w:firstLine="9600" w:firstLineChars="3000"/>
        <w:rPr>
          <w:sz w:val="32"/>
          <w:lang w:eastAsia="zh-C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、加强社区建设和管理，建立健全充满活力的社区居民自治机制，推进和谐社区建设。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、积极开展社区服务工作</w:t>
            </w:r>
            <w:r>
              <w:rPr>
                <w:rFonts w:ascii="方正书宋_GBK" w:eastAsia="方正书宋_GBK"/>
              </w:rPr>
              <w:t>.</w:t>
            </w:r>
            <w:r>
              <w:rPr>
                <w:rFonts w:hint="eastAsia" w:ascii="方正书宋_GBK" w:eastAsia="方正书宋_GBK"/>
              </w:rPr>
              <w:t>按人员及时发放工资，保证按时到账。养老、医疗、工伤保险按时缴纳。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全员发放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廊办发</w:t>
            </w:r>
            <w:r>
              <w:rPr>
                <w:rFonts w:ascii="方正书宋_GBK" w:eastAsia="方正书宋_GBK"/>
              </w:rPr>
              <w:t>(2012)6</w:t>
            </w:r>
            <w:r>
              <w:rPr>
                <w:rFonts w:hint="eastAsia" w:ascii="方正书宋_GBK" w:eastAsia="方正书宋_GBK"/>
              </w:rPr>
              <w:t>号</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发放工资到位数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103.17</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廊办发</w:t>
            </w:r>
            <w:r>
              <w:rPr>
                <w:rFonts w:ascii="方正书宋_GBK" w:eastAsia="方正书宋_GBK"/>
              </w:rPr>
              <w:t>(2012)6</w:t>
            </w:r>
            <w:r>
              <w:rPr>
                <w:rFonts w:hint="eastAsia" w:ascii="方正书宋_GBK" w:eastAsia="方正书宋_GBK"/>
              </w:rPr>
              <w:t>号</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广大受众的充分认可。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廊办发</w:t>
            </w:r>
            <w:r>
              <w:rPr>
                <w:rFonts w:ascii="方正书宋_GBK" w:eastAsia="方正书宋_GBK"/>
              </w:rPr>
              <w:t>(2012)6</w:t>
            </w:r>
            <w:r>
              <w:rPr>
                <w:rFonts w:hint="eastAsia" w:ascii="方正书宋_GBK" w:eastAsia="方正书宋_GBK"/>
              </w:rPr>
              <w:t>号</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社会基本稳定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&gt;0</w:t>
            </w:r>
            <w:r>
              <w:rPr>
                <w:rFonts w:hint="eastAsia" w:ascii="方正书宋_GBK" w:eastAsia="方正书宋_GBK"/>
              </w:rPr>
              <w:t>基本稳定</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廊办发</w:t>
            </w:r>
            <w:r>
              <w:rPr>
                <w:rFonts w:ascii="方正书宋_GBK" w:eastAsia="方正书宋_GBK"/>
              </w:rPr>
              <w:t>(2012)6</w:t>
            </w:r>
            <w:r>
              <w:rPr>
                <w:rFonts w:hint="eastAsia" w:ascii="方正书宋_GBK" w:eastAsia="方正书宋_GBK"/>
              </w:rPr>
              <w:t>号</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群众对当年整体工作的满意度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廊办发</w:t>
            </w:r>
            <w:r>
              <w:rPr>
                <w:rFonts w:ascii="方正书宋_GBK" w:eastAsia="方正书宋_GBK"/>
              </w:rPr>
              <w:t>(2012)6</w:t>
            </w:r>
            <w:r>
              <w:rPr>
                <w:rFonts w:hint="eastAsia" w:ascii="方正书宋_GBK" w:eastAsia="方正书宋_GBK"/>
              </w:rPr>
              <w:t>号</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群众满意数量占中暑的比例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廊办发</w:t>
            </w:r>
            <w:r>
              <w:rPr>
                <w:rFonts w:ascii="方正书宋_GBK" w:eastAsia="方正书宋_GBK"/>
              </w:rPr>
              <w:t>(2012)6</w:t>
            </w:r>
            <w:r>
              <w:rPr>
                <w:rFonts w:hint="eastAsia" w:ascii="方正书宋_GBK" w:eastAsia="方正书宋_GBK"/>
              </w:rPr>
              <w:t>号</w:t>
            </w:r>
            <w:r>
              <w:rPr>
                <w:rFonts w:ascii="方正书宋_GBK" w:eastAsia="方正书宋_GBK"/>
              </w:rPr>
              <w:t>)</w:t>
            </w:r>
          </w:p>
        </w:tc>
      </w:tr>
    </w:tbl>
    <w:p>
      <w:pPr>
        <w:spacing w:line="300" w:lineRule="exact"/>
        <w:ind w:firstLine="420" w:firstLineChars="200"/>
        <w:jc w:val="left"/>
        <w:sectPr>
          <w:type w:val="continuous"/>
          <w:pgSz w:w="16839" w:h="11907" w:orient="landscape"/>
          <w:pgMar w:top="1304" w:right="1134" w:bottom="1304" w:left="1984" w:header="851" w:footer="992" w:gutter="0"/>
          <w:cols w:space="425" w:num="1"/>
          <w:docGrid w:type="lines" w:linePitch="312" w:charSpace="0"/>
        </w:sectPr>
      </w:pPr>
    </w:p>
    <w:bookmarkEnd w:id="0"/>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left="210" w:leftChars="100" w:firstLine="640" w:firstLineChars="200"/>
        <w:outlineLvl w:val="0"/>
        <w:rPr>
          <w:rFonts w:ascii="Times New Roman" w:hAnsi="Times New Roman" w:eastAsia="仿宋_GB2312" w:cs="Times New Roman"/>
          <w:sz w:val="32"/>
          <w:szCs w:val="32"/>
        </w:rPr>
      </w:pPr>
      <w:bookmarkStart w:id="1" w:name="_Toc471398468"/>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年，我部门安排政府采购预算</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p>
      <w:pPr>
        <w:spacing w:line="584" w:lineRule="exact"/>
        <w:jc w:val="left"/>
        <w:outlineLvl w:val="0"/>
        <w:rPr>
          <w:rFonts w:ascii="Times New Roman" w:hAnsi="Times New Roman" w:eastAsia="仿宋_GB2312" w:cs="Times New Roman"/>
        </w:rPr>
      </w:pPr>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[917]廊坊市广阳区银河北路街道办事处</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广阳区银河北路街道办事处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160.40</w:t>
      </w:r>
      <w:r>
        <w:rPr>
          <w:rFonts w:ascii="Times New Roman" w:hAnsi="Times New Roman" w:eastAsia="仿宋_GB2312" w:cs="Times New Roman"/>
          <w:sz w:val="32"/>
          <w:szCs w:val="32"/>
        </w:rPr>
        <w:t>万元，本年度我部门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广阳区银河北路街道办事处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160.40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113.64</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 w:hAnsi="楷体" w:eastAsia="楷体"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66A18"/>
    <w:multiLevelType w:val="multilevel"/>
    <w:tmpl w:val="59666A18"/>
    <w:lvl w:ilvl="0" w:tentative="0">
      <w:start w:val="1"/>
      <w:numFmt w:val="japaneseCounting"/>
      <w:lvlText w:val="（%1）"/>
      <w:lvlJc w:val="left"/>
      <w:pPr>
        <w:ind w:left="1647" w:hanging="1080"/>
      </w:pPr>
      <w:rPr>
        <w:rFonts w:hint="default"/>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2672D"/>
    <w:rsid w:val="00037AF6"/>
    <w:rsid w:val="000410F2"/>
    <w:rsid w:val="0004565F"/>
    <w:rsid w:val="00072187"/>
    <w:rsid w:val="00075D5F"/>
    <w:rsid w:val="00080AE5"/>
    <w:rsid w:val="0008180F"/>
    <w:rsid w:val="0009142D"/>
    <w:rsid w:val="00093DA3"/>
    <w:rsid w:val="000B529B"/>
    <w:rsid w:val="000C24E6"/>
    <w:rsid w:val="000C3A19"/>
    <w:rsid w:val="000C715A"/>
    <w:rsid w:val="000E4305"/>
    <w:rsid w:val="000F0D09"/>
    <w:rsid w:val="00123A08"/>
    <w:rsid w:val="001245BB"/>
    <w:rsid w:val="001251A3"/>
    <w:rsid w:val="0014070E"/>
    <w:rsid w:val="0015229A"/>
    <w:rsid w:val="00160266"/>
    <w:rsid w:val="001643E8"/>
    <w:rsid w:val="00176C13"/>
    <w:rsid w:val="00181138"/>
    <w:rsid w:val="001919C4"/>
    <w:rsid w:val="0019723B"/>
    <w:rsid w:val="001A0943"/>
    <w:rsid w:val="001B5C1D"/>
    <w:rsid w:val="001E0757"/>
    <w:rsid w:val="001E6DDC"/>
    <w:rsid w:val="001E70E9"/>
    <w:rsid w:val="001F5C92"/>
    <w:rsid w:val="001F7873"/>
    <w:rsid w:val="002262A7"/>
    <w:rsid w:val="002264C7"/>
    <w:rsid w:val="00230E48"/>
    <w:rsid w:val="00232C2A"/>
    <w:rsid w:val="00236E29"/>
    <w:rsid w:val="00241FD4"/>
    <w:rsid w:val="00246317"/>
    <w:rsid w:val="00251B12"/>
    <w:rsid w:val="00265318"/>
    <w:rsid w:val="00265F39"/>
    <w:rsid w:val="002835D7"/>
    <w:rsid w:val="00290FD6"/>
    <w:rsid w:val="00292821"/>
    <w:rsid w:val="00296113"/>
    <w:rsid w:val="002A673A"/>
    <w:rsid w:val="002C0F7B"/>
    <w:rsid w:val="002C5E13"/>
    <w:rsid w:val="002C62BC"/>
    <w:rsid w:val="002E0EB8"/>
    <w:rsid w:val="002F3E58"/>
    <w:rsid w:val="0030542C"/>
    <w:rsid w:val="00311B7A"/>
    <w:rsid w:val="003126B6"/>
    <w:rsid w:val="00313D9C"/>
    <w:rsid w:val="003215F9"/>
    <w:rsid w:val="00325215"/>
    <w:rsid w:val="0033339C"/>
    <w:rsid w:val="00335660"/>
    <w:rsid w:val="003A0332"/>
    <w:rsid w:val="003A103D"/>
    <w:rsid w:val="003A6C4F"/>
    <w:rsid w:val="003B6D37"/>
    <w:rsid w:val="003D771B"/>
    <w:rsid w:val="0040002C"/>
    <w:rsid w:val="00414BD3"/>
    <w:rsid w:val="00424943"/>
    <w:rsid w:val="0042727E"/>
    <w:rsid w:val="0043175C"/>
    <w:rsid w:val="00437296"/>
    <w:rsid w:val="0045124D"/>
    <w:rsid w:val="00451590"/>
    <w:rsid w:val="00451871"/>
    <w:rsid w:val="004706DE"/>
    <w:rsid w:val="00472923"/>
    <w:rsid w:val="00486DCD"/>
    <w:rsid w:val="0049120C"/>
    <w:rsid w:val="00494F0F"/>
    <w:rsid w:val="004A485B"/>
    <w:rsid w:val="004B0C3A"/>
    <w:rsid w:val="004C49A8"/>
    <w:rsid w:val="004C58D3"/>
    <w:rsid w:val="004D5788"/>
    <w:rsid w:val="004E3066"/>
    <w:rsid w:val="004E419C"/>
    <w:rsid w:val="004E74CD"/>
    <w:rsid w:val="004F40FF"/>
    <w:rsid w:val="0051077E"/>
    <w:rsid w:val="00524EFD"/>
    <w:rsid w:val="00551607"/>
    <w:rsid w:val="00572067"/>
    <w:rsid w:val="00573562"/>
    <w:rsid w:val="00590ECE"/>
    <w:rsid w:val="005C0E90"/>
    <w:rsid w:val="005D0C27"/>
    <w:rsid w:val="005D37CA"/>
    <w:rsid w:val="005F13ED"/>
    <w:rsid w:val="005F385E"/>
    <w:rsid w:val="005F5714"/>
    <w:rsid w:val="005F7AE1"/>
    <w:rsid w:val="00611D03"/>
    <w:rsid w:val="00614A29"/>
    <w:rsid w:val="00627A0A"/>
    <w:rsid w:val="006310D7"/>
    <w:rsid w:val="006379B0"/>
    <w:rsid w:val="00644C72"/>
    <w:rsid w:val="00651BA2"/>
    <w:rsid w:val="00654FB9"/>
    <w:rsid w:val="00673D76"/>
    <w:rsid w:val="006809D4"/>
    <w:rsid w:val="006854F0"/>
    <w:rsid w:val="00693C85"/>
    <w:rsid w:val="0069487B"/>
    <w:rsid w:val="006A0ECE"/>
    <w:rsid w:val="006B1C4A"/>
    <w:rsid w:val="006B610D"/>
    <w:rsid w:val="006C206A"/>
    <w:rsid w:val="006E49F5"/>
    <w:rsid w:val="007013C8"/>
    <w:rsid w:val="007062BB"/>
    <w:rsid w:val="00724928"/>
    <w:rsid w:val="00727C84"/>
    <w:rsid w:val="0074338E"/>
    <w:rsid w:val="00753836"/>
    <w:rsid w:val="0075393C"/>
    <w:rsid w:val="00754592"/>
    <w:rsid w:val="00776C08"/>
    <w:rsid w:val="00790ABF"/>
    <w:rsid w:val="007B49AA"/>
    <w:rsid w:val="007C219A"/>
    <w:rsid w:val="007C5EEF"/>
    <w:rsid w:val="007E1DA8"/>
    <w:rsid w:val="007E2D6C"/>
    <w:rsid w:val="007E4B05"/>
    <w:rsid w:val="007E72B2"/>
    <w:rsid w:val="007F1335"/>
    <w:rsid w:val="007F6C26"/>
    <w:rsid w:val="00800F72"/>
    <w:rsid w:val="00811795"/>
    <w:rsid w:val="00813208"/>
    <w:rsid w:val="00814C81"/>
    <w:rsid w:val="00815157"/>
    <w:rsid w:val="0082541E"/>
    <w:rsid w:val="0083321A"/>
    <w:rsid w:val="0083348E"/>
    <w:rsid w:val="008334AE"/>
    <w:rsid w:val="00836FED"/>
    <w:rsid w:val="0083724E"/>
    <w:rsid w:val="00841D53"/>
    <w:rsid w:val="00843DF8"/>
    <w:rsid w:val="00845C20"/>
    <w:rsid w:val="00845CD2"/>
    <w:rsid w:val="00852B0D"/>
    <w:rsid w:val="0085425A"/>
    <w:rsid w:val="00862CE4"/>
    <w:rsid w:val="00864B7F"/>
    <w:rsid w:val="00881692"/>
    <w:rsid w:val="00882539"/>
    <w:rsid w:val="008858FF"/>
    <w:rsid w:val="008A6576"/>
    <w:rsid w:val="008B3CC5"/>
    <w:rsid w:val="008B52CD"/>
    <w:rsid w:val="008C73FE"/>
    <w:rsid w:val="008C7C4D"/>
    <w:rsid w:val="008E4261"/>
    <w:rsid w:val="008E70D4"/>
    <w:rsid w:val="008F4662"/>
    <w:rsid w:val="0090563F"/>
    <w:rsid w:val="00905D08"/>
    <w:rsid w:val="00925753"/>
    <w:rsid w:val="00937F8B"/>
    <w:rsid w:val="009425F4"/>
    <w:rsid w:val="00942E12"/>
    <w:rsid w:val="00943BD8"/>
    <w:rsid w:val="00954B2C"/>
    <w:rsid w:val="00955851"/>
    <w:rsid w:val="0095677C"/>
    <w:rsid w:val="00966C5C"/>
    <w:rsid w:val="009676A1"/>
    <w:rsid w:val="00973104"/>
    <w:rsid w:val="00984065"/>
    <w:rsid w:val="009842F6"/>
    <w:rsid w:val="00984E9A"/>
    <w:rsid w:val="00995BF0"/>
    <w:rsid w:val="00996540"/>
    <w:rsid w:val="009A16D5"/>
    <w:rsid w:val="009A353D"/>
    <w:rsid w:val="009B0B77"/>
    <w:rsid w:val="009B511E"/>
    <w:rsid w:val="009B5215"/>
    <w:rsid w:val="009C49EE"/>
    <w:rsid w:val="009C6C86"/>
    <w:rsid w:val="009D0C4F"/>
    <w:rsid w:val="009D25C0"/>
    <w:rsid w:val="009D37D3"/>
    <w:rsid w:val="009D3807"/>
    <w:rsid w:val="009F3910"/>
    <w:rsid w:val="00A10882"/>
    <w:rsid w:val="00A15060"/>
    <w:rsid w:val="00A16E6C"/>
    <w:rsid w:val="00A40F60"/>
    <w:rsid w:val="00A44E3D"/>
    <w:rsid w:val="00A72D2E"/>
    <w:rsid w:val="00A74447"/>
    <w:rsid w:val="00A74CE5"/>
    <w:rsid w:val="00A77500"/>
    <w:rsid w:val="00A81A03"/>
    <w:rsid w:val="00A81ADB"/>
    <w:rsid w:val="00A83960"/>
    <w:rsid w:val="00A8536F"/>
    <w:rsid w:val="00A911E7"/>
    <w:rsid w:val="00A939D9"/>
    <w:rsid w:val="00AB77AA"/>
    <w:rsid w:val="00AC0E98"/>
    <w:rsid w:val="00AC4748"/>
    <w:rsid w:val="00AD47F4"/>
    <w:rsid w:val="00AD5259"/>
    <w:rsid w:val="00B01D36"/>
    <w:rsid w:val="00B078CD"/>
    <w:rsid w:val="00B20712"/>
    <w:rsid w:val="00B40832"/>
    <w:rsid w:val="00B43238"/>
    <w:rsid w:val="00B45DD3"/>
    <w:rsid w:val="00B54B90"/>
    <w:rsid w:val="00B6358B"/>
    <w:rsid w:val="00B64FA8"/>
    <w:rsid w:val="00B72364"/>
    <w:rsid w:val="00B73582"/>
    <w:rsid w:val="00B75216"/>
    <w:rsid w:val="00B755A2"/>
    <w:rsid w:val="00B9104C"/>
    <w:rsid w:val="00B91D52"/>
    <w:rsid w:val="00B93F6B"/>
    <w:rsid w:val="00B9490F"/>
    <w:rsid w:val="00BA1ACD"/>
    <w:rsid w:val="00BB21A4"/>
    <w:rsid w:val="00BB591D"/>
    <w:rsid w:val="00BD09F8"/>
    <w:rsid w:val="00BE356A"/>
    <w:rsid w:val="00C005B2"/>
    <w:rsid w:val="00C1565C"/>
    <w:rsid w:val="00C21E0F"/>
    <w:rsid w:val="00C362CA"/>
    <w:rsid w:val="00C37A99"/>
    <w:rsid w:val="00C76F55"/>
    <w:rsid w:val="00C772C1"/>
    <w:rsid w:val="00C93D22"/>
    <w:rsid w:val="00C9774B"/>
    <w:rsid w:val="00CA39BF"/>
    <w:rsid w:val="00CA7176"/>
    <w:rsid w:val="00CB51D7"/>
    <w:rsid w:val="00CC75B0"/>
    <w:rsid w:val="00CD2773"/>
    <w:rsid w:val="00CE01BA"/>
    <w:rsid w:val="00CE143B"/>
    <w:rsid w:val="00CE3A91"/>
    <w:rsid w:val="00D05B43"/>
    <w:rsid w:val="00D07DBA"/>
    <w:rsid w:val="00D23C16"/>
    <w:rsid w:val="00D27003"/>
    <w:rsid w:val="00D324AD"/>
    <w:rsid w:val="00D679ED"/>
    <w:rsid w:val="00D77ECB"/>
    <w:rsid w:val="00D9301F"/>
    <w:rsid w:val="00D9307A"/>
    <w:rsid w:val="00DA45AE"/>
    <w:rsid w:val="00DB4322"/>
    <w:rsid w:val="00DC2433"/>
    <w:rsid w:val="00DD1D0C"/>
    <w:rsid w:val="00DE186D"/>
    <w:rsid w:val="00DF7B0A"/>
    <w:rsid w:val="00E167C7"/>
    <w:rsid w:val="00E251C4"/>
    <w:rsid w:val="00E440CF"/>
    <w:rsid w:val="00E55B78"/>
    <w:rsid w:val="00E76361"/>
    <w:rsid w:val="00E84020"/>
    <w:rsid w:val="00E86997"/>
    <w:rsid w:val="00EA74C7"/>
    <w:rsid w:val="00EB7A80"/>
    <w:rsid w:val="00EC47F6"/>
    <w:rsid w:val="00EE6D6D"/>
    <w:rsid w:val="00EF08C9"/>
    <w:rsid w:val="00EF4D4B"/>
    <w:rsid w:val="00EF535E"/>
    <w:rsid w:val="00F041A9"/>
    <w:rsid w:val="00F15CF0"/>
    <w:rsid w:val="00F20D5E"/>
    <w:rsid w:val="00F2669E"/>
    <w:rsid w:val="00F471F7"/>
    <w:rsid w:val="00F66032"/>
    <w:rsid w:val="00F7062B"/>
    <w:rsid w:val="00F83B96"/>
    <w:rsid w:val="00F8441D"/>
    <w:rsid w:val="00F86E37"/>
    <w:rsid w:val="00F87C1E"/>
    <w:rsid w:val="00F958C2"/>
    <w:rsid w:val="00FA740E"/>
    <w:rsid w:val="00FC06C7"/>
    <w:rsid w:val="00FD5DB4"/>
    <w:rsid w:val="00FE1724"/>
    <w:rsid w:val="00FE753C"/>
    <w:rsid w:val="00FF2346"/>
    <w:rsid w:val="07560752"/>
    <w:rsid w:val="0A2173E5"/>
    <w:rsid w:val="0DED2961"/>
    <w:rsid w:val="33FD1717"/>
    <w:rsid w:val="47DF44DC"/>
    <w:rsid w:val="57B16DA7"/>
    <w:rsid w:val="667F1733"/>
    <w:rsid w:val="7A585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Normal]"/>
    <w:qFormat/>
    <w:uiPriority w:val="0"/>
    <w:rPr>
      <w:rFonts w:ascii="宋体" w:hAnsi="宋体" w:eastAsia="宋体" w:cs="Times New Roman"/>
      <w:sz w:val="24"/>
      <w:lang w:val="en-US" w:eastAsia="en-US" w:bidi="ar-SA"/>
    </w:rPr>
  </w:style>
  <w:style w:type="paragraph" w:customStyle="1" w:styleId="17">
    <w:name w:val="p.MsoNormal"/>
    <w:basedOn w:val="16"/>
    <w:qFormat/>
    <w:uiPriority w:val="0"/>
    <w:pPr>
      <w:jc w:val="both"/>
    </w:pPr>
    <w:rPr>
      <w:rFonts w:ascii="Calibri" w:hAnsi="Calibri" w:eastAsia="Calibri"/>
      <w:sz w:val="21"/>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CC98-9BC7-45A8-9780-7BE9482E866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797</Words>
  <Characters>4548</Characters>
  <Lines>37</Lines>
  <Paragraphs>10</Paragraphs>
  <TotalTime>1215</TotalTime>
  <ScaleCrop>false</ScaleCrop>
  <LinksUpToDate>false</LinksUpToDate>
  <CharactersWithSpaces>5335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2024-07-22T09:16:09Z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0600FA96A4304E98AE4ACEEA51D8941F</vt:lpwstr>
  </property>
</Properties>
</file>