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32" w:rsidRDefault="00762432">
      <w:pPr>
        <w:spacing w:line="584" w:lineRule="exact"/>
        <w:rPr>
          <w:rFonts w:ascii="Times New Roman" w:eastAsia="仿宋_GB2312" w:hAnsi="Times New Roman" w:cs="Times New Roman"/>
          <w:sz w:val="44"/>
          <w:szCs w:val="44"/>
        </w:rPr>
      </w:pPr>
    </w:p>
    <w:p w:rsidR="00762432" w:rsidRDefault="004D2D93">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廊坊市</w:t>
      </w:r>
      <w:r>
        <w:rPr>
          <w:rFonts w:ascii="Times New Roman" w:eastAsia="方正小标宋简体" w:hAnsi="Times New Roman" w:cs="Times New Roman" w:hint="eastAsia"/>
          <w:sz w:val="44"/>
          <w:szCs w:val="44"/>
        </w:rPr>
        <w:t>广阳区信访局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762432" w:rsidRDefault="00762432">
      <w:pPr>
        <w:spacing w:line="584" w:lineRule="exact"/>
        <w:ind w:firstLineChars="200" w:firstLine="880"/>
        <w:jc w:val="center"/>
        <w:rPr>
          <w:rFonts w:ascii="Times New Roman" w:eastAsia="仿宋_GB2312" w:hAnsi="Times New Roman" w:cs="Times New Roman"/>
          <w:sz w:val="44"/>
          <w:szCs w:val="44"/>
        </w:rPr>
      </w:pPr>
    </w:p>
    <w:p w:rsidR="00762432" w:rsidRDefault="004D2D93">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Pr>
          <w:rFonts w:ascii="Times New Roman" w:eastAsia="仿宋_GB2312" w:hAnsi="Times New Roman" w:cs="Times New Roman" w:hint="eastAsia"/>
          <w:sz w:val="32"/>
          <w:szCs w:val="32"/>
        </w:rPr>
        <w:t>广阳区信访局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年部门预算公开如下：</w:t>
      </w:r>
    </w:p>
    <w:p w:rsidR="00762432" w:rsidRDefault="004D2D93">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762432" w:rsidRDefault="004D2D93">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研究提出全区信访工作思路，拟定全区信访工作有关政策、规定。</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办理人民群众来信，接待群众来访，受理群众网上诉求，查办信访案件；负责人民群众建议征集工作。</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调查研究和综合分析全区信访形势及信访工作状况，总结推广各地各部门信访工作经验，提出改进和加强信访工作的意见和建议。</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参与组织、协调、指导全区社会治安综合治理和维护社会政治稳定工作，协助保障国家、省、市、区重大政治活动顺利进行，参与处理影响社会政治稳定的突发性、群体性事件。</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督促检查和指导各乡镇、街道办事处和区直部门的信访工作，对各乡镇、街道办事处和区直部门信访工作年度责任目标进行考核，对全区社会治安综合治理和维护社会政治稳定年度责任目标中有关信</w:t>
      </w:r>
      <w:r w:rsidRPr="00895FD5">
        <w:rPr>
          <w:rFonts w:ascii="华文仿宋" w:eastAsia="华文仿宋" w:hAnsi="华文仿宋" w:cs="华文仿宋" w:hint="eastAsia"/>
          <w:sz w:val="32"/>
          <w:szCs w:val="32"/>
        </w:rPr>
        <w:lastRenderedPageBreak/>
        <w:t>访工作进行考核。</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协助国家信访局、省信访局、市信访局处理群众进京、赴省、到市上访工作，综合协调处理跨地区、跨部门、跨行业的重要信访问题，协助公安机关维护区委、区政府机关正常工作秩序。</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负责区级领导和区直部门领导公开接访和包联案件的组织协调工作。</w:t>
      </w:r>
    </w:p>
    <w:p w:rsidR="00895FD5"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承担区信访工作联席会议的日常工作，督促落实联席会议决定的事项。</w:t>
      </w:r>
    </w:p>
    <w:p w:rsidR="00762432" w:rsidRPr="00895FD5" w:rsidRDefault="004D2D93" w:rsidP="00895FD5">
      <w:pPr>
        <w:pStyle w:val="a8"/>
        <w:numPr>
          <w:ilvl w:val="0"/>
          <w:numId w:val="2"/>
        </w:numPr>
        <w:adjustRightInd w:val="0"/>
        <w:snapToGrid w:val="0"/>
        <w:spacing w:line="560" w:lineRule="exact"/>
        <w:ind w:left="0" w:firstLineChars="0" w:firstLine="641"/>
        <w:rPr>
          <w:rFonts w:ascii="仿宋_GB2312" w:eastAsia="仿宋_GB2312"/>
          <w:sz w:val="32"/>
          <w:szCs w:val="32"/>
        </w:rPr>
      </w:pPr>
      <w:r w:rsidRPr="00895FD5">
        <w:rPr>
          <w:rFonts w:ascii="华文仿宋" w:eastAsia="华文仿宋" w:hAnsi="华文仿宋" w:cs="华文仿宋" w:hint="eastAsia"/>
          <w:sz w:val="32"/>
          <w:szCs w:val="32"/>
        </w:rPr>
        <w:t>完成区委、区政府和国家信访局、省信访局、市信访局交办的其他任务。</w:t>
      </w:r>
    </w:p>
    <w:p w:rsidR="00762432" w:rsidRDefault="004D2D93" w:rsidP="00895FD5">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762432" w:rsidRDefault="004D2D93">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762432">
        <w:trPr>
          <w:trHeight w:val="584"/>
          <w:tblHeader/>
          <w:jc w:val="center"/>
        </w:trPr>
        <w:tc>
          <w:tcPr>
            <w:tcW w:w="4443" w:type="dxa"/>
            <w:vMerge w:val="restart"/>
            <w:shd w:val="clear" w:color="auto" w:fill="auto"/>
            <w:vAlign w:val="center"/>
          </w:tcPr>
          <w:p w:rsidR="00762432" w:rsidRDefault="004D2D93">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762432" w:rsidRDefault="004D2D93">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762432" w:rsidRDefault="004D2D93">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762432" w:rsidRDefault="004D2D93">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762432">
        <w:trPr>
          <w:trHeight w:val="584"/>
          <w:tblHeader/>
          <w:jc w:val="center"/>
        </w:trPr>
        <w:tc>
          <w:tcPr>
            <w:tcW w:w="4443" w:type="dxa"/>
            <w:vMerge/>
            <w:shd w:val="clear" w:color="auto" w:fill="auto"/>
            <w:vAlign w:val="center"/>
          </w:tcPr>
          <w:p w:rsidR="00762432" w:rsidRDefault="00762432">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762432" w:rsidRDefault="00762432">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762432" w:rsidRDefault="00762432">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762432" w:rsidRDefault="00762432">
            <w:pPr>
              <w:spacing w:line="584" w:lineRule="exact"/>
              <w:jc w:val="left"/>
              <w:outlineLvl w:val="0"/>
              <w:rPr>
                <w:rFonts w:ascii="Times New Roman" w:eastAsia="仿宋_GB2312" w:hAnsi="Times New Roman" w:cs="Times New Roman"/>
                <w:szCs w:val="24"/>
              </w:rPr>
            </w:pPr>
          </w:p>
        </w:tc>
      </w:tr>
      <w:tr w:rsidR="00762432">
        <w:trPr>
          <w:trHeight w:val="227"/>
          <w:jc w:val="center"/>
        </w:trPr>
        <w:tc>
          <w:tcPr>
            <w:tcW w:w="4443" w:type="dxa"/>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廊坊市广阳区信访局</w:t>
            </w:r>
          </w:p>
        </w:tc>
        <w:tc>
          <w:tcPr>
            <w:tcW w:w="1134" w:type="dxa"/>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bl>
    <w:p w:rsidR="00762432" w:rsidRDefault="004D2D93">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762432" w:rsidRDefault="004D2D93">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部门预算的编制实行综合预算制度，即全部收入和支出都反映在预算中。廊坊市</w:t>
      </w:r>
      <w:r>
        <w:rPr>
          <w:rFonts w:ascii="Times New Roman" w:eastAsia="仿宋_GB2312" w:hAnsi="Times New Roman" w:cs="Times New Roman" w:hint="eastAsia"/>
          <w:sz w:val="32"/>
          <w:szCs w:val="32"/>
        </w:rPr>
        <w:t>广阳区信访局</w:t>
      </w:r>
      <w:r w:rsidR="00895FD5">
        <w:rPr>
          <w:rFonts w:ascii="Times New Roman" w:eastAsia="仿宋_GB2312" w:hAnsi="Times New Roman" w:cs="Times New Roman" w:hint="eastAsia"/>
          <w:sz w:val="32"/>
          <w:szCs w:val="32"/>
        </w:rPr>
        <w:t>机关及所属事业单位</w:t>
      </w:r>
      <w:r>
        <w:rPr>
          <w:rFonts w:ascii="Times New Roman" w:eastAsia="仿宋_GB2312" w:hAnsi="Times New Roman" w:cs="Times New Roman"/>
          <w:sz w:val="32"/>
          <w:szCs w:val="32"/>
        </w:rPr>
        <w:t>的收支包含在部门预算中。</w:t>
      </w:r>
    </w:p>
    <w:p w:rsidR="00762432" w:rsidRPr="00895FD5" w:rsidRDefault="004D2D93" w:rsidP="00895FD5">
      <w:pPr>
        <w:spacing w:line="584" w:lineRule="exact"/>
        <w:ind w:firstLineChars="200" w:firstLine="643"/>
        <w:rPr>
          <w:rFonts w:ascii="Times New Roman" w:eastAsia="楷体_GB2312" w:hAnsi="Times New Roman" w:cs="Times New Roman"/>
          <w:b/>
          <w:sz w:val="32"/>
          <w:szCs w:val="32"/>
        </w:rPr>
      </w:pPr>
      <w:r w:rsidRPr="00895FD5">
        <w:rPr>
          <w:rFonts w:ascii="Times New Roman" w:eastAsia="楷体_GB2312" w:hAnsi="Times New Roman" w:cs="Times New Roman"/>
          <w:b/>
          <w:sz w:val="32"/>
          <w:szCs w:val="32"/>
        </w:rPr>
        <w:t>1</w:t>
      </w:r>
      <w:r w:rsidRPr="00895FD5">
        <w:rPr>
          <w:rFonts w:ascii="Times New Roman" w:eastAsia="楷体_GB2312" w:hAnsi="Times New Roman" w:cs="Times New Roman"/>
          <w:b/>
          <w:sz w:val="32"/>
          <w:szCs w:val="32"/>
        </w:rPr>
        <w:t>、收入说明</w:t>
      </w:r>
    </w:p>
    <w:p w:rsidR="00762432" w:rsidRDefault="004D2D9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246.43</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246.43</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762432" w:rsidRPr="00895FD5" w:rsidRDefault="004D2D93" w:rsidP="00895FD5">
      <w:pPr>
        <w:spacing w:line="584" w:lineRule="exact"/>
        <w:ind w:firstLineChars="200" w:firstLine="643"/>
        <w:rPr>
          <w:rFonts w:ascii="Times New Roman" w:eastAsia="楷体_GB2312" w:hAnsi="Times New Roman" w:cs="Times New Roman"/>
          <w:b/>
          <w:sz w:val="32"/>
          <w:szCs w:val="32"/>
        </w:rPr>
      </w:pPr>
      <w:r w:rsidRPr="00895FD5">
        <w:rPr>
          <w:rFonts w:ascii="Times New Roman" w:eastAsia="楷体_GB2312" w:hAnsi="Times New Roman" w:cs="Times New Roman"/>
          <w:b/>
          <w:sz w:val="32"/>
          <w:szCs w:val="32"/>
        </w:rPr>
        <w:t>2</w:t>
      </w:r>
      <w:r w:rsidRPr="00895FD5">
        <w:rPr>
          <w:rFonts w:ascii="Times New Roman" w:eastAsia="楷体_GB2312" w:hAnsi="Times New Roman" w:cs="Times New Roman"/>
          <w:b/>
          <w:sz w:val="32"/>
          <w:szCs w:val="32"/>
        </w:rPr>
        <w:t>、支出说明</w:t>
      </w:r>
    </w:p>
    <w:p w:rsidR="00762432" w:rsidRDefault="004D2D9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Pr>
          <w:rFonts w:ascii="Times New Roman" w:eastAsia="仿宋_GB2312" w:hAnsi="Times New Roman" w:cs="Times New Roman" w:hint="eastAsia"/>
          <w:sz w:val="32"/>
          <w:szCs w:val="32"/>
        </w:rPr>
        <w:t>广阳区信访局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246.43</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245.43</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223.2</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22.23</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762432" w:rsidRPr="00895FD5" w:rsidRDefault="004D2D93" w:rsidP="00895FD5">
      <w:pPr>
        <w:spacing w:line="584" w:lineRule="exact"/>
        <w:ind w:firstLineChars="200" w:firstLine="643"/>
        <w:rPr>
          <w:rFonts w:ascii="Times New Roman" w:eastAsia="楷体_GB2312" w:hAnsi="Times New Roman" w:cs="Times New Roman"/>
          <w:b/>
          <w:sz w:val="32"/>
          <w:szCs w:val="32"/>
        </w:rPr>
      </w:pPr>
      <w:r w:rsidRPr="00895FD5">
        <w:rPr>
          <w:rFonts w:ascii="Times New Roman" w:eastAsia="楷体_GB2312" w:hAnsi="Times New Roman" w:cs="Times New Roman"/>
          <w:b/>
          <w:sz w:val="32"/>
          <w:szCs w:val="32"/>
        </w:rPr>
        <w:t>3</w:t>
      </w:r>
      <w:r w:rsidRPr="00895FD5">
        <w:rPr>
          <w:rFonts w:ascii="Times New Roman" w:eastAsia="楷体_GB2312" w:hAnsi="Times New Roman" w:cs="Times New Roman"/>
          <w:b/>
          <w:sz w:val="32"/>
          <w:szCs w:val="32"/>
        </w:rPr>
        <w:t>、比上年增减情况</w:t>
      </w:r>
    </w:p>
    <w:p w:rsidR="00762432" w:rsidRDefault="004D2D9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246.43</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年预算减少</w:t>
      </w:r>
      <w:r>
        <w:rPr>
          <w:rFonts w:ascii="Times New Roman" w:eastAsia="仿宋_GB2312" w:hAnsi="Times New Roman" w:cs="Times New Roman" w:hint="eastAsia"/>
          <w:sz w:val="32"/>
          <w:szCs w:val="32"/>
        </w:rPr>
        <w:t>1.84</w:t>
      </w:r>
      <w:r>
        <w:rPr>
          <w:rFonts w:ascii="Times New Roman" w:eastAsia="仿宋_GB2312" w:hAnsi="Times New Roman" w:cs="Times New Roman"/>
          <w:sz w:val="32"/>
          <w:szCs w:val="32"/>
        </w:rPr>
        <w:t>万元，其中：基本支出减少</w:t>
      </w:r>
      <w:r>
        <w:rPr>
          <w:rFonts w:ascii="Times New Roman" w:eastAsia="仿宋_GB2312" w:hAnsi="Times New Roman" w:cs="Times New Roman" w:hint="eastAsia"/>
          <w:sz w:val="32"/>
          <w:szCs w:val="32"/>
        </w:rPr>
        <w:t>0.84</w:t>
      </w:r>
      <w:r>
        <w:rPr>
          <w:rFonts w:ascii="Times New Roman" w:eastAsia="仿宋_GB2312" w:hAnsi="Times New Roman" w:cs="Times New Roman"/>
          <w:sz w:val="32"/>
          <w:szCs w:val="32"/>
        </w:rPr>
        <w:t>万元，主要为增加减少</w:t>
      </w:r>
      <w:r>
        <w:rPr>
          <w:rFonts w:ascii="Times New Roman" w:eastAsia="仿宋_GB2312" w:hAnsi="Times New Roman" w:cs="Times New Roman" w:hint="eastAsia"/>
          <w:sz w:val="32"/>
          <w:szCs w:val="32"/>
        </w:rPr>
        <w:t>人员经费</w:t>
      </w:r>
      <w:r>
        <w:rPr>
          <w:rFonts w:ascii="Times New Roman" w:eastAsia="仿宋_GB2312" w:hAnsi="Times New Roman" w:cs="Times New Roman"/>
          <w:sz w:val="32"/>
          <w:szCs w:val="32"/>
        </w:rPr>
        <w:t>支出；项目支出减少</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；其他支出无增减变化</w:t>
      </w:r>
      <w:r>
        <w:rPr>
          <w:rFonts w:ascii="Times New Roman" w:eastAsia="仿宋_GB2312" w:hAnsi="Times New Roman" w:cs="Times New Roman"/>
          <w:sz w:val="32"/>
          <w:szCs w:val="32"/>
        </w:rPr>
        <w:t>。</w:t>
      </w:r>
    </w:p>
    <w:p w:rsidR="00762432" w:rsidRDefault="004D2D9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762432" w:rsidRDefault="004D2D93">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sidR="00895FD5">
        <w:rPr>
          <w:rFonts w:ascii="Times New Roman" w:eastAsia="仿宋_GB2312" w:hAnsi="Times New Roman" w:cs="Times New Roman" w:hint="eastAsia"/>
          <w:sz w:val="32"/>
          <w:szCs w:val="32"/>
        </w:rPr>
        <w:t>22.23</w:t>
      </w:r>
      <w:r>
        <w:rPr>
          <w:rFonts w:ascii="Times New Roman" w:eastAsia="仿宋_GB2312" w:hAnsi="Times New Roman" w:cs="Times New Roman"/>
          <w:sz w:val="32"/>
          <w:szCs w:val="32"/>
        </w:rPr>
        <w:t>万元，主要用于日常维修、办公用房水电费、办公用房取暖费、办公用房物业管理费等日常运行支出。</w:t>
      </w:r>
    </w:p>
    <w:p w:rsidR="00762432" w:rsidRDefault="004D2D93">
      <w:pPr>
        <w:autoSpaceDE w:val="0"/>
        <w:autoSpaceDN w:val="0"/>
        <w:adjustRightInd w:val="0"/>
        <w:spacing w:line="584" w:lineRule="exact"/>
        <w:ind w:firstLineChars="200" w:firstLine="640"/>
        <w:jc w:val="left"/>
        <w:rPr>
          <w:rFonts w:ascii="Times New Roman" w:eastAsia="黑体" w:hAnsi="黑体" w:cs="Times New Roman"/>
          <w:sz w:val="32"/>
          <w:szCs w:val="32"/>
        </w:rPr>
      </w:pPr>
      <w:r>
        <w:rPr>
          <w:rFonts w:ascii="Times New Roman" w:eastAsia="黑体" w:hAnsi="黑体" w:cs="Times New Roman"/>
          <w:sz w:val="32"/>
          <w:szCs w:val="32"/>
        </w:rPr>
        <w:t>四、财政拨款“三公”经费预算情况及增减变化原因</w:t>
      </w:r>
    </w:p>
    <w:p w:rsidR="00762432" w:rsidRDefault="004D2D93">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持平，无增减变化。</w:t>
      </w:r>
    </w:p>
    <w:p w:rsidR="00762432" w:rsidRDefault="004D2D93">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五、绩效预算信息</w:t>
      </w:r>
    </w:p>
    <w:p w:rsidR="00762432" w:rsidRDefault="004D2D93" w:rsidP="00895FD5">
      <w:pPr>
        <w:spacing w:line="584" w:lineRule="exact"/>
        <w:ind w:firstLineChars="200" w:firstLine="643"/>
        <w:rPr>
          <w:rFonts w:ascii="Times New Roman" w:eastAsia="楷体_GB2312" w:hAnsi="Times New Roman" w:cs="Times New Roman"/>
          <w:b/>
          <w:sz w:val="32"/>
          <w:szCs w:val="32"/>
        </w:rPr>
      </w:pPr>
      <w:bookmarkStart w:id="0" w:name="_Toc471398463"/>
      <w:r>
        <w:rPr>
          <w:rFonts w:ascii="Times New Roman" w:eastAsia="楷体_GB2312" w:hAnsi="Times New Roman" w:cs="Times New Roman" w:hint="eastAsia"/>
          <w:b/>
          <w:sz w:val="32"/>
          <w:szCs w:val="32"/>
        </w:rPr>
        <w:t>第一部分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部门整体绩效目标</w:t>
      </w:r>
    </w:p>
    <w:p w:rsidR="00762432" w:rsidRDefault="004D2D93">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Pr>
          <w:rFonts w:ascii="Times New Roman" w:eastAsia="楷体_GB2312" w:hAnsi="Times New Roman" w:cs="Times New Roman"/>
          <w:b/>
          <w:sz w:val="32"/>
          <w:szCs w:val="32"/>
        </w:rPr>
        <w:t>总体绩效目标：</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rsidR="00762432" w:rsidRDefault="004D2D93">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（二）分项绩效目标</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一</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信访问题处理</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1</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信访业务办理。畅通信访渠道，提高信访事项办理质量和效率。确保及时受理的信访事项数量占信访事项数量的比例在</w:t>
      </w:r>
      <w:r>
        <w:rPr>
          <w:rFonts w:ascii="Times New Roman" w:eastAsia="仿宋_GB2312" w:hAnsi="Times New Roman" w:cs="Times New Roman"/>
          <w:bCs/>
          <w:kern w:val="2"/>
          <w:sz w:val="32"/>
          <w:szCs w:val="32"/>
          <w:lang w:eastAsia="zh-CN"/>
        </w:rPr>
        <w:t>80%</w:t>
      </w:r>
      <w:r>
        <w:rPr>
          <w:rFonts w:ascii="Times New Roman" w:eastAsia="仿宋_GB2312" w:hAnsi="Times New Roman" w:cs="Times New Roman"/>
          <w:bCs/>
          <w:kern w:val="2"/>
          <w:sz w:val="32"/>
          <w:szCs w:val="32"/>
          <w:lang w:eastAsia="zh-CN"/>
        </w:rPr>
        <w:t>以上，年度内已按期办结的案件数量占案件总数的比例在</w:t>
      </w:r>
      <w:r>
        <w:rPr>
          <w:rFonts w:ascii="Times New Roman" w:eastAsia="仿宋_GB2312" w:hAnsi="Times New Roman" w:cs="Times New Roman"/>
          <w:bCs/>
          <w:kern w:val="2"/>
          <w:sz w:val="32"/>
          <w:szCs w:val="32"/>
          <w:lang w:eastAsia="zh-CN"/>
        </w:rPr>
        <w:t>80%</w:t>
      </w:r>
      <w:r>
        <w:rPr>
          <w:rFonts w:ascii="Times New Roman" w:eastAsia="仿宋_GB2312" w:hAnsi="Times New Roman" w:cs="Times New Roman"/>
          <w:bCs/>
          <w:kern w:val="2"/>
          <w:sz w:val="32"/>
          <w:szCs w:val="32"/>
          <w:lang w:eastAsia="zh-CN"/>
        </w:rPr>
        <w:t>以上。</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2</w:t>
      </w:r>
      <w:r>
        <w:rPr>
          <w:rFonts w:ascii="Times New Roman" w:eastAsia="仿宋_GB2312" w:hAnsi="Times New Roman" w:cs="Times New Roman"/>
          <w:bCs/>
          <w:kern w:val="2"/>
          <w:sz w:val="32"/>
          <w:szCs w:val="32"/>
          <w:lang w:eastAsia="zh-CN"/>
        </w:rPr>
        <w:t>、处置非访、突发性及群体性事件。妥善处置非正常访，维护社会大局和谐稳定。确保及时受理的信访事项数量占信访事项数量的比例在</w:t>
      </w:r>
      <w:r>
        <w:rPr>
          <w:rFonts w:ascii="Times New Roman" w:eastAsia="仿宋_GB2312" w:hAnsi="Times New Roman" w:cs="Times New Roman"/>
          <w:bCs/>
          <w:kern w:val="2"/>
          <w:sz w:val="32"/>
          <w:szCs w:val="32"/>
          <w:lang w:eastAsia="zh-CN"/>
        </w:rPr>
        <w:t>80%</w:t>
      </w:r>
      <w:r>
        <w:rPr>
          <w:rFonts w:ascii="Times New Roman" w:eastAsia="仿宋_GB2312" w:hAnsi="Times New Roman" w:cs="Times New Roman"/>
          <w:bCs/>
          <w:kern w:val="2"/>
          <w:sz w:val="32"/>
          <w:szCs w:val="32"/>
          <w:lang w:eastAsia="zh-CN"/>
        </w:rPr>
        <w:t>以上，年度内已按期办结的案件数量占案件总数的比例在</w:t>
      </w:r>
      <w:r>
        <w:rPr>
          <w:rFonts w:ascii="Times New Roman" w:eastAsia="仿宋_GB2312" w:hAnsi="Times New Roman" w:cs="Times New Roman"/>
          <w:bCs/>
          <w:kern w:val="2"/>
          <w:sz w:val="32"/>
          <w:szCs w:val="32"/>
          <w:lang w:eastAsia="zh-CN"/>
        </w:rPr>
        <w:t>80%</w:t>
      </w:r>
      <w:r>
        <w:rPr>
          <w:rFonts w:ascii="Times New Roman" w:eastAsia="仿宋_GB2312" w:hAnsi="Times New Roman" w:cs="Times New Roman"/>
          <w:bCs/>
          <w:kern w:val="2"/>
          <w:sz w:val="32"/>
          <w:szCs w:val="32"/>
          <w:lang w:eastAsia="zh-CN"/>
        </w:rPr>
        <w:t>以上。</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3</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信访事项督查、案件查办、复查复核、听证。推动重要信访事项解决，规范信访事项办理、终结，用好特殊疑难信访问题专项资金。确保复查案件数量占信访事项数量的比例小于等于</w:t>
      </w:r>
      <w:r>
        <w:rPr>
          <w:rFonts w:ascii="Times New Roman" w:eastAsia="仿宋_GB2312" w:hAnsi="Times New Roman" w:cs="Times New Roman"/>
          <w:bCs/>
          <w:kern w:val="2"/>
          <w:sz w:val="32"/>
          <w:szCs w:val="32"/>
          <w:lang w:eastAsia="zh-CN"/>
        </w:rPr>
        <w:t>20%</w:t>
      </w:r>
      <w:r>
        <w:rPr>
          <w:rFonts w:ascii="Times New Roman" w:eastAsia="仿宋_GB2312" w:hAnsi="Times New Roman" w:cs="Times New Roman"/>
          <w:bCs/>
          <w:kern w:val="2"/>
          <w:sz w:val="32"/>
          <w:szCs w:val="32"/>
          <w:lang w:eastAsia="zh-CN"/>
        </w:rPr>
        <w:t>，反映年度特殊信访疑难问题解决数量大于等于</w:t>
      </w:r>
      <w:r>
        <w:rPr>
          <w:rFonts w:ascii="Times New Roman" w:eastAsia="仿宋_GB2312" w:hAnsi="Times New Roman" w:cs="Times New Roman"/>
          <w:bCs/>
          <w:kern w:val="2"/>
          <w:sz w:val="32"/>
          <w:szCs w:val="32"/>
          <w:lang w:eastAsia="zh-CN"/>
        </w:rPr>
        <w:t>4</w:t>
      </w:r>
      <w:r>
        <w:rPr>
          <w:rFonts w:ascii="Times New Roman" w:eastAsia="仿宋_GB2312" w:hAnsi="Times New Roman" w:cs="Times New Roman"/>
          <w:bCs/>
          <w:kern w:val="2"/>
          <w:sz w:val="32"/>
          <w:szCs w:val="32"/>
          <w:lang w:eastAsia="zh-CN"/>
        </w:rPr>
        <w:t>件，反映年度督办案件数量大于等于</w:t>
      </w:r>
      <w:r>
        <w:rPr>
          <w:rFonts w:ascii="Times New Roman" w:eastAsia="仿宋_GB2312" w:hAnsi="Times New Roman" w:cs="Times New Roman"/>
          <w:bCs/>
          <w:kern w:val="2"/>
          <w:sz w:val="32"/>
          <w:szCs w:val="32"/>
          <w:lang w:eastAsia="zh-CN"/>
        </w:rPr>
        <w:t>8</w:t>
      </w:r>
      <w:r>
        <w:rPr>
          <w:rFonts w:ascii="Times New Roman" w:eastAsia="仿宋_GB2312" w:hAnsi="Times New Roman" w:cs="Times New Roman"/>
          <w:bCs/>
          <w:kern w:val="2"/>
          <w:sz w:val="32"/>
          <w:szCs w:val="32"/>
          <w:lang w:eastAsia="zh-CN"/>
        </w:rPr>
        <w:t>次。</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4</w:t>
      </w:r>
      <w:r>
        <w:rPr>
          <w:rFonts w:ascii="Times New Roman" w:eastAsia="仿宋_GB2312" w:hAnsi="Times New Roman" w:cs="Times New Roman"/>
          <w:bCs/>
          <w:kern w:val="2"/>
          <w:sz w:val="32"/>
          <w:szCs w:val="32"/>
          <w:lang w:eastAsia="zh-CN"/>
        </w:rPr>
        <w:t>、群众工作。组织区直部门联合接访，协调区级领导开展接访、约访、下访活动，解释、解答群众咨询的相关问题，做好群众的思想疏导工作。确保领导干部公开接访率达到</w:t>
      </w:r>
      <w:r>
        <w:rPr>
          <w:rFonts w:ascii="Times New Roman" w:eastAsia="仿宋_GB2312" w:hAnsi="Times New Roman" w:cs="Times New Roman"/>
          <w:bCs/>
          <w:kern w:val="2"/>
          <w:sz w:val="32"/>
          <w:szCs w:val="32"/>
          <w:lang w:eastAsia="zh-CN"/>
        </w:rPr>
        <w:t>90%</w:t>
      </w:r>
      <w:r>
        <w:rPr>
          <w:rFonts w:ascii="Times New Roman" w:eastAsia="仿宋_GB2312" w:hAnsi="Times New Roman" w:cs="Times New Roman"/>
          <w:bCs/>
          <w:kern w:val="2"/>
          <w:sz w:val="32"/>
          <w:szCs w:val="32"/>
          <w:lang w:eastAsia="zh-CN"/>
        </w:rPr>
        <w:t>以上。</w:t>
      </w:r>
    </w:p>
    <w:p w:rsidR="00762432" w:rsidRDefault="004D2D93">
      <w:pPr>
        <w:pStyle w:val="pMsoNormal"/>
        <w:widowControl w:val="0"/>
        <w:ind w:firstLineChars="200" w:firstLine="64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二</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信访事务管理</w:t>
      </w:r>
    </w:p>
    <w:p w:rsidR="00762432" w:rsidRDefault="004D2D93">
      <w:pPr>
        <w:pStyle w:val="pMsoNormal"/>
        <w:widowControl w:val="0"/>
        <w:rPr>
          <w:rFonts w:ascii="Times New Roman" w:eastAsia="仿宋_GB2312" w:hAnsi="Times New Roman" w:cs="Times New Roman"/>
          <w:bCs/>
          <w:kern w:val="2"/>
          <w:sz w:val="32"/>
          <w:szCs w:val="32"/>
          <w:lang w:eastAsia="zh-CN"/>
        </w:rPr>
      </w:pPr>
      <w:r>
        <w:rPr>
          <w:rFonts w:ascii="Times New Roman" w:eastAsia="仿宋_GB2312" w:hAnsi="Times New Roman" w:cs="Times New Roman"/>
          <w:bCs/>
          <w:kern w:val="2"/>
          <w:sz w:val="32"/>
          <w:szCs w:val="32"/>
          <w:lang w:eastAsia="zh-CN"/>
        </w:rPr>
        <w:t xml:space="preserve"> </w:t>
      </w:r>
      <w:r>
        <w:rPr>
          <w:rFonts w:ascii="Times New Roman" w:eastAsia="仿宋_GB2312" w:hAnsi="Times New Roman" w:cs="Times New Roman"/>
          <w:bCs/>
          <w:kern w:val="2"/>
          <w:sz w:val="32"/>
          <w:szCs w:val="32"/>
          <w:lang w:eastAsia="zh-CN"/>
        </w:rPr>
        <w:t>其他综合事务管理。进一步提高信访干部业务能力；吸收可行建议，改进信访工作；提高信访信息化应用水平，实现办公自动化、网络化智能化。保障机要邮件正常传递和群众工作各项工作正常运转；确保各种会议正常召开。确保其他各项综合实务工作完成率达到</w:t>
      </w:r>
      <w:r>
        <w:rPr>
          <w:rFonts w:ascii="Times New Roman" w:eastAsia="仿宋_GB2312" w:hAnsi="Times New Roman" w:cs="Times New Roman"/>
          <w:bCs/>
          <w:kern w:val="2"/>
          <w:sz w:val="32"/>
          <w:szCs w:val="32"/>
          <w:lang w:eastAsia="zh-CN"/>
        </w:rPr>
        <w:t>100%</w:t>
      </w:r>
      <w:r>
        <w:rPr>
          <w:rFonts w:ascii="Times New Roman" w:eastAsia="仿宋_GB2312" w:hAnsi="Times New Roman" w:cs="Times New Roman"/>
          <w:bCs/>
          <w:kern w:val="2"/>
          <w:sz w:val="32"/>
          <w:szCs w:val="32"/>
          <w:lang w:eastAsia="zh-CN"/>
        </w:rPr>
        <w:t>。</w:t>
      </w:r>
    </w:p>
    <w:p w:rsidR="00762432" w:rsidRDefault="004D2D93">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（三）工作保障措施</w:t>
      </w:r>
    </w:p>
    <w:p w:rsidR="00762432" w:rsidRDefault="004D2D93">
      <w:pPr>
        <w:pStyle w:val="pMsoNormal"/>
        <w:widowControl w:val="0"/>
        <w:ind w:firstLineChars="200" w:firstLine="640"/>
        <w:rPr>
          <w:rFonts w:ascii="Times New Roman" w:eastAsia="楷体_GB2312" w:hAnsi="Times New Roman" w:cs="Times New Roman"/>
          <w:b/>
          <w:color w:val="FF0000"/>
          <w:sz w:val="32"/>
          <w:szCs w:val="32"/>
          <w:lang w:eastAsia="zh-CN"/>
        </w:rPr>
      </w:pPr>
      <w:r>
        <w:rPr>
          <w:rFonts w:ascii="Times New Roman" w:eastAsia="仿宋_GB2312" w:hAnsi="Times New Roman" w:cs="Times New Roman"/>
          <w:bCs/>
          <w:kern w:val="2"/>
          <w:sz w:val="32"/>
          <w:szCs w:val="32"/>
          <w:lang w:eastAsia="zh-CN"/>
        </w:rPr>
        <w:t>针对上级交办或转送的信访案件，按照</w:t>
      </w:r>
      <w:r>
        <w:rPr>
          <w:rFonts w:ascii="Times New Roman" w:eastAsia="仿宋_GB2312" w:hAnsi="Times New Roman" w:cs="Times New Roman"/>
          <w:bCs/>
          <w:kern w:val="2"/>
          <w:sz w:val="32"/>
          <w:szCs w:val="32"/>
          <w:lang w:eastAsia="zh-CN"/>
        </w:rPr>
        <w:t>“</w:t>
      </w:r>
      <w:r>
        <w:rPr>
          <w:rFonts w:ascii="Times New Roman" w:eastAsia="仿宋_GB2312" w:hAnsi="Times New Roman" w:cs="Times New Roman"/>
          <w:bCs/>
          <w:kern w:val="2"/>
          <w:sz w:val="32"/>
          <w:szCs w:val="32"/>
          <w:lang w:eastAsia="zh-CN"/>
        </w:rPr>
        <w:t>谁主管、谁负责</w:t>
      </w:r>
      <w:r>
        <w:rPr>
          <w:rFonts w:ascii="Times New Roman" w:eastAsia="仿宋_GB2312" w:hAnsi="Times New Roman" w:cs="Times New Roman"/>
          <w:bCs/>
          <w:kern w:val="2"/>
          <w:sz w:val="32"/>
          <w:szCs w:val="32"/>
          <w:lang w:eastAsia="zh-CN"/>
        </w:rPr>
        <w:t>”</w:t>
      </w:r>
      <w:r>
        <w:rPr>
          <w:rFonts w:ascii="Times New Roman" w:eastAsia="仿宋_GB2312" w:hAnsi="Times New Roman" w:cs="Times New Roman"/>
          <w:bCs/>
          <w:kern w:val="2"/>
          <w:sz w:val="32"/>
          <w:szCs w:val="32"/>
          <w:lang w:eastAsia="zh-CN"/>
        </w:rPr>
        <w:t>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bookmarkEnd w:id="0"/>
    </w:p>
    <w:p w:rsidR="00F128C7" w:rsidRDefault="00F128C7" w:rsidP="00F128C7">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第二部分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资金绩效目标</w:t>
      </w:r>
    </w:p>
    <w:p w:rsidR="00F128C7" w:rsidRPr="004B31CE" w:rsidRDefault="00F128C7" w:rsidP="003E23F7">
      <w:pPr>
        <w:ind w:firstLineChars="200" w:firstLine="560"/>
        <w:jc w:val="left"/>
        <w:outlineLvl w:val="1"/>
        <w:rPr>
          <w:rFonts w:ascii="Times New Roman" w:hAnsi="宋体"/>
          <w:b/>
          <w:sz w:val="28"/>
        </w:rPr>
      </w:pPr>
      <w:r w:rsidRPr="004B31CE">
        <w:rPr>
          <w:rFonts w:ascii="方正仿宋_GBK" w:eastAsia="方正仿宋_GBK" w:hint="eastAsia"/>
          <w:b/>
          <w:sz w:val="28"/>
        </w:rPr>
        <w:t>1、专项临时人员经费绩效目标表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128C7" w:rsidRPr="004B31CE" w:rsidTr="00202EFC">
        <w:trPr>
          <w:trHeight w:val="369"/>
          <w:jc w:val="center"/>
        </w:trPr>
        <w:tc>
          <w:tcPr>
            <w:tcW w:w="1134" w:type="dxa"/>
            <w:tcBorders>
              <w:bottom w:val="nil"/>
            </w:tcBorders>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绩效目标</w:t>
            </w:r>
          </w:p>
        </w:tc>
        <w:tc>
          <w:tcPr>
            <w:tcW w:w="8278" w:type="dxa"/>
            <w:tcBorders>
              <w:bottom w:val="nil"/>
            </w:tcBorders>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rPr>
              <w:t>1</w:t>
            </w:r>
            <w:r w:rsidRPr="004B31CE">
              <w:rPr>
                <w:rFonts w:ascii="方正书宋_GBK" w:eastAsia="方正书宋_GBK" w:hint="eastAsia"/>
              </w:rPr>
              <w:t>、妥善处置非正常访，维护社会大局和谐稳定。</w:t>
            </w:r>
          </w:p>
          <w:p w:rsidR="00F128C7" w:rsidRPr="004B31CE" w:rsidRDefault="00F128C7" w:rsidP="00202EFC">
            <w:pPr>
              <w:spacing w:line="300" w:lineRule="exact"/>
              <w:jc w:val="left"/>
              <w:rPr>
                <w:rFonts w:ascii="方正书宋_GBK" w:eastAsia="方正书宋_GBK"/>
              </w:rPr>
            </w:pPr>
            <w:r w:rsidRPr="004B31CE">
              <w:rPr>
                <w:rFonts w:ascii="方正书宋_GBK" w:eastAsia="方正书宋_GBK"/>
              </w:rPr>
              <w:t>2</w:t>
            </w:r>
            <w:r w:rsidRPr="004B31CE">
              <w:rPr>
                <w:rFonts w:ascii="方正书宋_GBK" w:eastAsia="方正书宋_GBK" w:hint="eastAsia"/>
              </w:rPr>
              <w:t>、畅通信访渠道，提高信访事项办理质量和效率。</w:t>
            </w:r>
          </w:p>
        </w:tc>
      </w:tr>
    </w:tbl>
    <w:p w:rsidR="00F128C7" w:rsidRPr="004B31CE" w:rsidRDefault="00F128C7" w:rsidP="00F128C7">
      <w:pPr>
        <w:spacing w:line="14" w:lineRule="exact"/>
        <w:ind w:firstLineChars="200" w:firstLine="420"/>
        <w:jc w:val="center"/>
        <w:rPr>
          <w:rFonts w:ascii="Times New Roman" w:hAnsi="宋体"/>
        </w:rPr>
      </w:pPr>
      <w:r w:rsidRPr="004B31C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128C7" w:rsidRPr="004B31CE" w:rsidTr="00202EFC">
        <w:trPr>
          <w:cantSplit/>
          <w:trHeight w:val="397"/>
          <w:tblHeader/>
          <w:jc w:val="center"/>
        </w:trPr>
        <w:tc>
          <w:tcPr>
            <w:tcW w:w="1134"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一级指标</w:t>
            </w:r>
          </w:p>
        </w:tc>
        <w:tc>
          <w:tcPr>
            <w:tcW w:w="1134"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二级指标</w:t>
            </w:r>
          </w:p>
        </w:tc>
        <w:tc>
          <w:tcPr>
            <w:tcW w:w="1276"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三级指标</w:t>
            </w:r>
          </w:p>
        </w:tc>
        <w:tc>
          <w:tcPr>
            <w:tcW w:w="2891"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绩效指标描述</w:t>
            </w:r>
          </w:p>
        </w:tc>
        <w:tc>
          <w:tcPr>
            <w:tcW w:w="1276"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指标值</w:t>
            </w:r>
          </w:p>
        </w:tc>
        <w:tc>
          <w:tcPr>
            <w:tcW w:w="1701" w:type="dxa"/>
            <w:shd w:val="clear" w:color="auto" w:fill="auto"/>
            <w:vAlign w:val="center"/>
          </w:tcPr>
          <w:p w:rsidR="00F128C7" w:rsidRPr="004B31CE" w:rsidRDefault="00F128C7" w:rsidP="00202EFC">
            <w:pPr>
              <w:spacing w:line="300" w:lineRule="exact"/>
              <w:jc w:val="center"/>
              <w:rPr>
                <w:rFonts w:ascii="方正书宋_GBK" w:eastAsia="方正书宋_GBK"/>
                <w:b/>
              </w:rPr>
            </w:pPr>
            <w:r w:rsidRPr="004B31CE">
              <w:rPr>
                <w:rFonts w:ascii="方正书宋_GBK" w:eastAsia="方正书宋_GBK" w:hint="eastAsia"/>
                <w:b/>
              </w:rPr>
              <w:t>指标值确定依据</w:t>
            </w:r>
          </w:p>
        </w:tc>
      </w:tr>
      <w:tr w:rsidR="00F128C7" w:rsidRPr="004B31CE" w:rsidTr="00202EFC">
        <w:trPr>
          <w:cantSplit/>
          <w:trHeight w:val="369"/>
          <w:jc w:val="center"/>
        </w:trPr>
        <w:tc>
          <w:tcPr>
            <w:tcW w:w="1134" w:type="dxa"/>
            <w:vMerge w:val="restart"/>
            <w:shd w:val="clear" w:color="auto" w:fill="auto"/>
            <w:vAlign w:val="center"/>
          </w:tcPr>
          <w:p w:rsidR="00F128C7" w:rsidRPr="004B31CE" w:rsidRDefault="00F128C7" w:rsidP="00202EFC">
            <w:pPr>
              <w:spacing w:line="300" w:lineRule="exact"/>
              <w:jc w:val="center"/>
              <w:rPr>
                <w:rFonts w:ascii="方正书宋_GBK" w:eastAsia="方正书宋_GBK"/>
              </w:rPr>
            </w:pPr>
            <w:r w:rsidRPr="004B31CE">
              <w:rPr>
                <w:rFonts w:ascii="方正书宋_GBK" w:eastAsia="方正书宋_GBK" w:hint="eastAsia"/>
              </w:rPr>
              <w:t>产出指标</w:t>
            </w:r>
          </w:p>
        </w:tc>
        <w:tc>
          <w:tcPr>
            <w:tcW w:w="1134"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质量指标</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补贴人数</w:t>
            </w:r>
          </w:p>
        </w:tc>
        <w:tc>
          <w:tcPr>
            <w:tcW w:w="289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补贴人数</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rPr>
              <w:t>1</w:t>
            </w:r>
            <w:r w:rsidRPr="004B31CE">
              <w:rPr>
                <w:rFonts w:ascii="方正书宋_GBK" w:eastAsia="方正书宋_GBK" w:hint="eastAsia"/>
              </w:rPr>
              <w:t>人</w:t>
            </w:r>
          </w:p>
        </w:tc>
        <w:tc>
          <w:tcPr>
            <w:tcW w:w="170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廊广信【</w:t>
            </w:r>
            <w:r w:rsidRPr="004B31CE">
              <w:rPr>
                <w:rFonts w:ascii="方正书宋_GBK" w:eastAsia="方正书宋_GBK"/>
              </w:rPr>
              <w:t>2018</w:t>
            </w:r>
            <w:r w:rsidRPr="004B31CE">
              <w:rPr>
                <w:rFonts w:ascii="方正书宋_GBK" w:eastAsia="方正书宋_GBK" w:hint="eastAsia"/>
              </w:rPr>
              <w:t>】</w:t>
            </w:r>
            <w:r w:rsidRPr="004B31CE">
              <w:rPr>
                <w:rFonts w:ascii="方正书宋_GBK" w:eastAsia="方正书宋_GBK"/>
              </w:rPr>
              <w:t>3</w:t>
            </w:r>
            <w:r w:rsidRPr="004B31CE">
              <w:rPr>
                <w:rFonts w:ascii="方正书宋_GBK" w:eastAsia="方正书宋_GBK" w:hint="eastAsia"/>
              </w:rPr>
              <w:t>号</w:t>
            </w:r>
          </w:p>
        </w:tc>
      </w:tr>
      <w:tr w:rsidR="00F128C7" w:rsidRPr="004B31CE" w:rsidTr="00202EFC">
        <w:trPr>
          <w:cantSplit/>
          <w:trHeight w:val="369"/>
          <w:jc w:val="center"/>
        </w:trPr>
        <w:tc>
          <w:tcPr>
            <w:tcW w:w="1134" w:type="dxa"/>
            <w:vMerge/>
            <w:shd w:val="clear" w:color="auto" w:fill="auto"/>
            <w:vAlign w:val="center"/>
          </w:tcPr>
          <w:p w:rsidR="00F128C7" w:rsidRPr="004B31CE" w:rsidRDefault="00F128C7" w:rsidP="00202EFC">
            <w:pPr>
              <w:spacing w:line="300" w:lineRule="exact"/>
              <w:jc w:val="center"/>
              <w:rPr>
                <w:rFonts w:ascii="方正书宋_GBK" w:eastAsia="方正书宋_GBK"/>
              </w:rPr>
            </w:pPr>
          </w:p>
        </w:tc>
        <w:tc>
          <w:tcPr>
            <w:tcW w:w="1134"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数量指标</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补贴发放率</w:t>
            </w:r>
          </w:p>
        </w:tc>
        <w:tc>
          <w:tcPr>
            <w:tcW w:w="289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发放人数占应发放人数的比例</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rPr>
              <w:t>100%</w:t>
            </w:r>
          </w:p>
        </w:tc>
        <w:tc>
          <w:tcPr>
            <w:tcW w:w="1701" w:type="dxa"/>
            <w:shd w:val="clear" w:color="auto" w:fill="auto"/>
            <w:vAlign w:val="center"/>
          </w:tcPr>
          <w:p w:rsidR="00F128C7" w:rsidRPr="004B31CE" w:rsidRDefault="00F128C7" w:rsidP="00202EFC">
            <w:pPr>
              <w:spacing w:line="300" w:lineRule="exact"/>
              <w:jc w:val="left"/>
              <w:rPr>
                <w:rFonts w:ascii="方正书宋_GBK" w:eastAsia="方正书宋_GBK"/>
              </w:rPr>
            </w:pPr>
          </w:p>
        </w:tc>
      </w:tr>
      <w:tr w:rsidR="00F128C7" w:rsidRPr="004B31CE" w:rsidTr="00202EFC">
        <w:trPr>
          <w:cantSplit/>
          <w:trHeight w:val="369"/>
          <w:jc w:val="center"/>
        </w:trPr>
        <w:tc>
          <w:tcPr>
            <w:tcW w:w="1134" w:type="dxa"/>
            <w:shd w:val="clear" w:color="auto" w:fill="auto"/>
            <w:vAlign w:val="center"/>
          </w:tcPr>
          <w:p w:rsidR="00F128C7" w:rsidRPr="004B31CE" w:rsidRDefault="00F128C7" w:rsidP="00202EFC">
            <w:pPr>
              <w:spacing w:line="300" w:lineRule="exact"/>
              <w:jc w:val="center"/>
              <w:rPr>
                <w:rFonts w:ascii="方正书宋_GBK" w:eastAsia="方正书宋_GBK"/>
              </w:rPr>
            </w:pPr>
            <w:r w:rsidRPr="004B31CE">
              <w:rPr>
                <w:rFonts w:ascii="方正书宋_GBK" w:eastAsia="方正书宋_GBK" w:hint="eastAsia"/>
              </w:rPr>
              <w:t>效果指标</w:t>
            </w:r>
          </w:p>
        </w:tc>
        <w:tc>
          <w:tcPr>
            <w:tcW w:w="1134"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社会效益指标</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社会稳定水平</w:t>
            </w:r>
          </w:p>
        </w:tc>
        <w:tc>
          <w:tcPr>
            <w:tcW w:w="289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促进社会稳定水平</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确保群众各级信访信件渠道畅通，信访群众依法有序信访</w:t>
            </w:r>
          </w:p>
        </w:tc>
        <w:tc>
          <w:tcPr>
            <w:tcW w:w="170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廊广信【</w:t>
            </w:r>
            <w:r w:rsidRPr="004B31CE">
              <w:rPr>
                <w:rFonts w:ascii="方正书宋_GBK" w:eastAsia="方正书宋_GBK"/>
              </w:rPr>
              <w:t>2018</w:t>
            </w:r>
            <w:r w:rsidRPr="004B31CE">
              <w:rPr>
                <w:rFonts w:ascii="方正书宋_GBK" w:eastAsia="方正书宋_GBK" w:hint="eastAsia"/>
              </w:rPr>
              <w:t>】</w:t>
            </w:r>
            <w:r w:rsidRPr="004B31CE">
              <w:rPr>
                <w:rFonts w:ascii="方正书宋_GBK" w:eastAsia="方正书宋_GBK"/>
              </w:rPr>
              <w:t>3</w:t>
            </w:r>
            <w:r w:rsidRPr="004B31CE">
              <w:rPr>
                <w:rFonts w:ascii="方正书宋_GBK" w:eastAsia="方正书宋_GBK" w:hint="eastAsia"/>
              </w:rPr>
              <w:t>号</w:t>
            </w:r>
          </w:p>
        </w:tc>
      </w:tr>
      <w:tr w:rsidR="00F128C7" w:rsidRPr="004B31CE" w:rsidTr="00202EFC">
        <w:trPr>
          <w:cantSplit/>
          <w:trHeight w:val="369"/>
          <w:jc w:val="center"/>
        </w:trPr>
        <w:tc>
          <w:tcPr>
            <w:tcW w:w="1134" w:type="dxa"/>
            <w:shd w:val="clear" w:color="auto" w:fill="auto"/>
            <w:vAlign w:val="center"/>
          </w:tcPr>
          <w:p w:rsidR="00F128C7" w:rsidRPr="004B31CE" w:rsidRDefault="00F128C7" w:rsidP="00202EFC">
            <w:pPr>
              <w:spacing w:line="300" w:lineRule="exact"/>
              <w:jc w:val="center"/>
              <w:rPr>
                <w:rFonts w:ascii="方正书宋_GBK" w:eastAsia="方正书宋_GBK"/>
              </w:rPr>
            </w:pPr>
            <w:r w:rsidRPr="004B31CE">
              <w:rPr>
                <w:rFonts w:ascii="方正书宋_GBK" w:eastAsia="方正书宋_GBK" w:hint="eastAsia"/>
              </w:rPr>
              <w:t>满意度指标</w:t>
            </w:r>
          </w:p>
        </w:tc>
        <w:tc>
          <w:tcPr>
            <w:tcW w:w="1134"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服务对象满意度指标</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服务对象满意度</w:t>
            </w:r>
          </w:p>
        </w:tc>
        <w:tc>
          <w:tcPr>
            <w:tcW w:w="289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满意人数占发放人数的比例</w:t>
            </w:r>
          </w:p>
        </w:tc>
        <w:tc>
          <w:tcPr>
            <w:tcW w:w="1276"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w:t>
            </w:r>
            <w:r w:rsidRPr="004B31CE">
              <w:rPr>
                <w:rFonts w:ascii="方正书宋_GBK" w:eastAsia="方正书宋_GBK"/>
              </w:rPr>
              <w:t>90%</w:t>
            </w:r>
          </w:p>
        </w:tc>
        <w:tc>
          <w:tcPr>
            <w:tcW w:w="1701" w:type="dxa"/>
            <w:shd w:val="clear" w:color="auto" w:fill="auto"/>
            <w:vAlign w:val="center"/>
          </w:tcPr>
          <w:p w:rsidR="00F128C7" w:rsidRPr="004B31CE" w:rsidRDefault="00F128C7" w:rsidP="00202EFC">
            <w:pPr>
              <w:spacing w:line="300" w:lineRule="exact"/>
              <w:jc w:val="left"/>
              <w:rPr>
                <w:rFonts w:ascii="方正书宋_GBK" w:eastAsia="方正书宋_GBK"/>
              </w:rPr>
            </w:pPr>
            <w:r w:rsidRPr="004B31CE">
              <w:rPr>
                <w:rFonts w:ascii="方正书宋_GBK" w:eastAsia="方正书宋_GBK" w:hint="eastAsia"/>
              </w:rPr>
              <w:t>廊广信【</w:t>
            </w:r>
            <w:r w:rsidRPr="004B31CE">
              <w:rPr>
                <w:rFonts w:ascii="方正书宋_GBK" w:eastAsia="方正书宋_GBK"/>
              </w:rPr>
              <w:t>2018</w:t>
            </w:r>
            <w:r w:rsidRPr="004B31CE">
              <w:rPr>
                <w:rFonts w:ascii="方正书宋_GBK" w:eastAsia="方正书宋_GBK" w:hint="eastAsia"/>
              </w:rPr>
              <w:t>】</w:t>
            </w:r>
            <w:r w:rsidRPr="004B31CE">
              <w:rPr>
                <w:rFonts w:ascii="方正书宋_GBK" w:eastAsia="方正书宋_GBK"/>
              </w:rPr>
              <w:t>3</w:t>
            </w:r>
            <w:r w:rsidRPr="004B31CE">
              <w:rPr>
                <w:rFonts w:ascii="方正书宋_GBK" w:eastAsia="方正书宋_GBK" w:hint="eastAsia"/>
              </w:rPr>
              <w:t>号</w:t>
            </w:r>
          </w:p>
        </w:tc>
      </w:tr>
    </w:tbl>
    <w:p w:rsidR="00DF47A8" w:rsidRDefault="00DF47A8">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F128C7" w:rsidRDefault="00F128C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F128C7" w:rsidRDefault="00F128C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F128C7" w:rsidRDefault="00F128C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3E23F7" w:rsidRDefault="003E23F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3E23F7" w:rsidRDefault="003E23F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762432" w:rsidRDefault="004D2D9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六、政府采</w:t>
      </w:r>
      <w:r>
        <w:rPr>
          <w:rFonts w:ascii="Times New Roman" w:eastAsia="黑体" w:hAnsi="黑体" w:cs="Times New Roman"/>
          <w:sz w:val="30"/>
          <w:szCs w:val="30"/>
        </w:rPr>
        <w:t>购预算</w:t>
      </w:r>
      <w:r>
        <w:rPr>
          <w:rFonts w:ascii="Times New Roman" w:eastAsia="黑体" w:hAnsi="黑体" w:cs="Times New Roman"/>
          <w:sz w:val="32"/>
          <w:szCs w:val="32"/>
        </w:rPr>
        <w:t>情况</w:t>
      </w:r>
    </w:p>
    <w:p w:rsidR="00762432" w:rsidRDefault="004D2D93">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20</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762432" w:rsidRDefault="004D2D93">
      <w:pPr>
        <w:spacing w:line="584" w:lineRule="exact"/>
        <w:jc w:val="center"/>
        <w:outlineLvl w:val="0"/>
        <w:rPr>
          <w:rFonts w:ascii="Times New Roman" w:eastAsia="仿宋_GB2312" w:hAnsi="Times New Roman" w:cs="Times New Roman"/>
          <w:sz w:val="32"/>
        </w:rPr>
      </w:pPr>
      <w:bookmarkStart w:id="2" w:name="_Toc504489153"/>
      <w:bookmarkEnd w:id="1"/>
      <w:r>
        <w:rPr>
          <w:rFonts w:ascii="Times New Roman" w:eastAsia="仿宋_GB2312" w:hAnsi="Times New Roman" w:cs="Times New Roman"/>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06"/>
        <w:gridCol w:w="1061"/>
        <w:gridCol w:w="932"/>
        <w:gridCol w:w="1372"/>
        <w:gridCol w:w="720"/>
        <w:gridCol w:w="740"/>
        <w:gridCol w:w="950"/>
        <w:gridCol w:w="956"/>
        <w:gridCol w:w="1238"/>
        <w:gridCol w:w="991"/>
        <w:gridCol w:w="1136"/>
        <w:gridCol w:w="1189"/>
        <w:gridCol w:w="877"/>
      </w:tblGrid>
      <w:tr w:rsidR="00762432">
        <w:trPr>
          <w:tblHeader/>
          <w:jc w:val="center"/>
        </w:trPr>
        <w:tc>
          <w:tcPr>
            <w:tcW w:w="2808" w:type="pct"/>
            <w:gridSpan w:val="7"/>
            <w:tcBorders>
              <w:top w:val="single" w:sz="6" w:space="0" w:color="FFFFFF"/>
              <w:left w:val="single" w:sz="6" w:space="0" w:color="FFFFFF"/>
              <w:right w:val="single" w:sz="6" w:space="0" w:color="FFFFFF"/>
            </w:tcBorders>
            <w:shd w:val="clear" w:color="auto" w:fill="auto"/>
            <w:vAlign w:val="center"/>
          </w:tcPr>
          <w:p w:rsidR="00762432" w:rsidRDefault="00071C92" w:rsidP="00071C92">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w:t>
            </w:r>
            <w:r w:rsidR="004D2D93">
              <w:rPr>
                <w:rFonts w:ascii="Times New Roman" w:eastAsia="仿宋_GB2312" w:hAnsi="Times New Roman" w:cs="Times New Roman" w:hint="eastAsia"/>
                <w:sz w:val="24"/>
              </w:rPr>
              <w:t>287</w:t>
            </w:r>
            <w:r>
              <w:rPr>
                <w:rFonts w:ascii="Times New Roman" w:eastAsia="仿宋_GB2312" w:hAnsi="Times New Roman" w:cs="Times New Roman" w:hint="eastAsia"/>
                <w:sz w:val="24"/>
              </w:rPr>
              <w:t>]</w:t>
            </w:r>
            <w:r w:rsidR="004D2D93">
              <w:rPr>
                <w:rFonts w:ascii="Times New Roman" w:eastAsia="仿宋_GB2312" w:hAnsi="Times New Roman" w:cs="Times New Roman" w:hint="eastAsia"/>
                <w:sz w:val="24"/>
              </w:rPr>
              <w:t>廊坊市广阳区信访局</w:t>
            </w:r>
          </w:p>
        </w:tc>
        <w:tc>
          <w:tcPr>
            <w:tcW w:w="2192" w:type="pct"/>
            <w:gridSpan w:val="6"/>
            <w:tcBorders>
              <w:top w:val="single" w:sz="6" w:space="0" w:color="FFFFFF"/>
              <w:left w:val="single" w:sz="6" w:space="0" w:color="FFFFFF"/>
              <w:right w:val="single" w:sz="6" w:space="0" w:color="FFFFFF"/>
            </w:tcBorders>
            <w:shd w:val="clear" w:color="auto" w:fill="auto"/>
            <w:vAlign w:val="center"/>
          </w:tcPr>
          <w:p w:rsidR="00762432" w:rsidRDefault="004D2D93">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762432">
        <w:trPr>
          <w:tblHeader/>
          <w:jc w:val="center"/>
        </w:trPr>
        <w:tc>
          <w:tcPr>
            <w:tcW w:w="1190" w:type="pct"/>
            <w:gridSpan w:val="2"/>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320" w:type="pct"/>
            <w:vMerge w:val="restar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471" w:type="pct"/>
            <w:vMerge w:val="restar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247" w:type="pct"/>
            <w:vMerge w:val="restar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计</w:t>
            </w:r>
            <w:r>
              <w:rPr>
                <w:rFonts w:ascii="Times New Roman" w:eastAsia="仿宋_GB2312" w:hAnsi="Times New Roman" w:cs="Times New Roman"/>
                <w:b/>
              </w:rPr>
              <w:t>量单位</w:t>
            </w:r>
          </w:p>
        </w:tc>
        <w:tc>
          <w:tcPr>
            <w:tcW w:w="254" w:type="pct"/>
            <w:vMerge w:val="restar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326" w:type="pct"/>
            <w:vMerge w:val="restar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2192" w:type="pct"/>
            <w:gridSpan w:val="6"/>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r>
              <w:rPr>
                <w:rFonts w:ascii="Times New Roman" w:eastAsia="仿宋_GB2312" w:hAnsi="Times New Roman" w:cs="Times New Roman" w:hint="eastAsia"/>
                <w:b/>
              </w:rPr>
              <w:t>（当年部门预算安排资金）</w:t>
            </w:r>
          </w:p>
        </w:tc>
      </w:tr>
      <w:tr w:rsidR="00762432">
        <w:trPr>
          <w:tblHeader/>
          <w:jc w:val="center"/>
        </w:trPr>
        <w:tc>
          <w:tcPr>
            <w:tcW w:w="826" w:type="pct"/>
            <w:shd w:val="clear" w:color="auto" w:fill="auto"/>
            <w:vAlign w:val="center"/>
          </w:tcPr>
          <w:p w:rsidR="00762432" w:rsidRDefault="004D2D93">
            <w:pPr>
              <w:spacing w:line="584" w:lineRule="exact"/>
              <w:jc w:val="center"/>
              <w:outlineLvl w:val="0"/>
              <w:rPr>
                <w:rFonts w:ascii="Times New Roman" w:eastAsia="仿宋_GB2312" w:hAnsi="Times New Roman" w:cs="Times New Roman"/>
                <w:b/>
              </w:rPr>
            </w:pPr>
            <w:r>
              <w:rPr>
                <w:rFonts w:ascii="Times New Roman" w:eastAsia="仿宋_GB2312" w:hAnsi="Times New Roman" w:cs="Times New Roman" w:hint="eastAsia"/>
                <w:b/>
              </w:rPr>
              <w:t>项目名称</w:t>
            </w:r>
          </w:p>
        </w:tc>
        <w:tc>
          <w:tcPr>
            <w:tcW w:w="364" w:type="pct"/>
            <w:shd w:val="clear" w:color="auto" w:fill="auto"/>
            <w:vAlign w:val="center"/>
          </w:tcPr>
          <w:p w:rsidR="00762432" w:rsidRDefault="004D2D93">
            <w:pPr>
              <w:spacing w:line="584" w:lineRule="exact"/>
              <w:jc w:val="left"/>
              <w:outlineLvl w:val="0"/>
              <w:rPr>
                <w:rFonts w:ascii="Times New Roman" w:eastAsia="仿宋_GB2312" w:hAnsi="Times New Roman" w:cs="Times New Roman"/>
                <w:b/>
              </w:rPr>
            </w:pPr>
            <w:r>
              <w:rPr>
                <w:rFonts w:ascii="Times New Roman" w:eastAsia="仿宋_GB2312" w:hAnsi="Times New Roman" w:cs="Times New Roman" w:hint="eastAsia"/>
                <w:b/>
              </w:rPr>
              <w:t>预算资金</w:t>
            </w:r>
          </w:p>
        </w:tc>
        <w:tc>
          <w:tcPr>
            <w:tcW w:w="320" w:type="pct"/>
            <w:vMerge/>
            <w:shd w:val="clear" w:color="auto" w:fill="auto"/>
            <w:vAlign w:val="center"/>
          </w:tcPr>
          <w:p w:rsidR="00762432" w:rsidRDefault="00762432">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762432" w:rsidRDefault="00762432">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762432" w:rsidRDefault="00762432">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762432" w:rsidRDefault="00762432">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762432" w:rsidRDefault="00762432">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425" w:type="pct"/>
            <w:tcBorders>
              <w:top w:val="nil"/>
            </w:tcBorders>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340" w:type="pct"/>
            <w:tcBorders>
              <w:top w:val="nil"/>
              <w:right w:val="single" w:sz="4" w:space="0" w:color="auto"/>
            </w:tcBorders>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390" w:type="pct"/>
            <w:tcBorders>
              <w:top w:val="nil"/>
              <w:left w:val="single" w:sz="4" w:space="0" w:color="auto"/>
              <w:right w:val="single" w:sz="4" w:space="0" w:color="auto"/>
            </w:tcBorders>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国有资本经营预算</w:t>
            </w:r>
          </w:p>
        </w:tc>
        <w:tc>
          <w:tcPr>
            <w:tcW w:w="408" w:type="pct"/>
            <w:tcBorders>
              <w:top w:val="nil"/>
              <w:left w:val="single" w:sz="4" w:space="0" w:color="auto"/>
            </w:tcBorders>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301" w:type="pct"/>
            <w:shd w:val="clear" w:color="auto" w:fill="auto"/>
            <w:vAlign w:val="center"/>
          </w:tcPr>
          <w:p w:rsidR="00762432" w:rsidRDefault="004D2D93">
            <w:pPr>
              <w:spacing w:line="584" w:lineRule="exact"/>
              <w:jc w:val="left"/>
              <w:outlineLvl w:val="0"/>
              <w:rPr>
                <w:rFonts w:ascii="Times New Roman" w:eastAsia="仿宋_GB2312" w:hAnsi="Times New Roman" w:cs="Times New Roman"/>
              </w:rPr>
            </w:pPr>
            <w:r>
              <w:rPr>
                <w:rFonts w:ascii="Times New Roman" w:eastAsia="仿宋_GB2312" w:hAnsi="Times New Roman" w:cs="Times New Roman"/>
                <w:b/>
              </w:rPr>
              <w:t>其他来源收入</w:t>
            </w:r>
          </w:p>
        </w:tc>
      </w:tr>
      <w:tr w:rsidR="00762432">
        <w:trPr>
          <w:jc w:val="center"/>
        </w:trPr>
        <w:tc>
          <w:tcPr>
            <w:tcW w:w="826" w:type="pct"/>
            <w:shd w:val="clear" w:color="auto" w:fill="auto"/>
            <w:vAlign w:val="center"/>
          </w:tcPr>
          <w:p w:rsidR="00762432" w:rsidRDefault="004D2D93">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r>
      <w:tr w:rsidR="00762432">
        <w:trPr>
          <w:jc w:val="center"/>
        </w:trPr>
        <w:tc>
          <w:tcPr>
            <w:tcW w:w="826" w:type="pct"/>
            <w:shd w:val="clear" w:color="auto" w:fill="auto"/>
            <w:vAlign w:val="center"/>
          </w:tcPr>
          <w:p w:rsidR="00762432" w:rsidRDefault="00762432">
            <w:pPr>
              <w:spacing w:line="584" w:lineRule="exact"/>
              <w:jc w:val="center"/>
              <w:rPr>
                <w:rFonts w:ascii="Times New Roman" w:eastAsia="仿宋_GB2312" w:hAnsi="Times New Roman" w:cs="Times New Roman"/>
                <w:b/>
              </w:rPr>
            </w:pP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b/>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b/>
              </w:rPr>
            </w:pPr>
          </w:p>
        </w:tc>
      </w:tr>
      <w:tr w:rsidR="00762432">
        <w:trPr>
          <w:jc w:val="center"/>
        </w:trPr>
        <w:tc>
          <w:tcPr>
            <w:tcW w:w="826"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r>
      <w:tr w:rsidR="00762432">
        <w:trPr>
          <w:jc w:val="center"/>
        </w:trPr>
        <w:tc>
          <w:tcPr>
            <w:tcW w:w="826"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r>
      <w:tr w:rsidR="00762432">
        <w:trPr>
          <w:jc w:val="center"/>
        </w:trPr>
        <w:tc>
          <w:tcPr>
            <w:tcW w:w="826"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r>
      <w:tr w:rsidR="00762432">
        <w:trPr>
          <w:jc w:val="center"/>
        </w:trPr>
        <w:tc>
          <w:tcPr>
            <w:tcW w:w="826"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36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0"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471"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47" w:type="pct"/>
            <w:shd w:val="clear" w:color="auto" w:fill="auto"/>
            <w:vAlign w:val="center"/>
          </w:tcPr>
          <w:p w:rsidR="00762432" w:rsidRDefault="00762432">
            <w:pPr>
              <w:spacing w:line="584" w:lineRule="exact"/>
              <w:jc w:val="left"/>
              <w:rPr>
                <w:rFonts w:ascii="Times New Roman" w:eastAsia="仿宋_GB2312" w:hAnsi="Times New Roman" w:cs="Times New Roman"/>
              </w:rPr>
            </w:pPr>
          </w:p>
        </w:tc>
        <w:tc>
          <w:tcPr>
            <w:tcW w:w="254"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6"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2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25"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4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90"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408"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c>
          <w:tcPr>
            <w:tcW w:w="301" w:type="pct"/>
            <w:shd w:val="clear" w:color="auto" w:fill="auto"/>
            <w:vAlign w:val="center"/>
          </w:tcPr>
          <w:p w:rsidR="00762432" w:rsidRDefault="00762432">
            <w:pPr>
              <w:spacing w:line="584" w:lineRule="exact"/>
              <w:jc w:val="right"/>
              <w:rPr>
                <w:rFonts w:ascii="Times New Roman" w:eastAsia="仿宋_GB2312" w:hAnsi="Times New Roman" w:cs="Times New Roman"/>
              </w:rPr>
            </w:pPr>
          </w:p>
        </w:tc>
      </w:tr>
    </w:tbl>
    <w:p w:rsidR="00762432" w:rsidRDefault="00762432">
      <w:pPr>
        <w:spacing w:line="584" w:lineRule="exact"/>
        <w:jc w:val="left"/>
        <w:outlineLvl w:val="0"/>
        <w:rPr>
          <w:rFonts w:ascii="Times New Roman" w:eastAsia="仿宋_GB2312" w:hAnsi="Times New Roman" w:cs="Times New Roman"/>
        </w:rPr>
        <w:sectPr w:rsidR="00762432">
          <w:footerReference w:type="default" r:id="rId10"/>
          <w:footerReference w:type="first" r:id="rId11"/>
          <w:pgSz w:w="16839" w:h="11907" w:orient="landscape"/>
          <w:pgMar w:top="1361" w:right="1020" w:bottom="1361" w:left="1020" w:header="851" w:footer="992" w:gutter="0"/>
          <w:cols w:space="425"/>
          <w:docGrid w:type="lines" w:linePitch="312"/>
        </w:sectPr>
      </w:pPr>
    </w:p>
    <w:p w:rsidR="00762432" w:rsidRDefault="004D2D9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七、国有资产信息</w:t>
      </w:r>
    </w:p>
    <w:p w:rsidR="00762432" w:rsidRPr="00F128C7" w:rsidRDefault="004D2D9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广阳区信访局</w:t>
      </w:r>
      <w:r>
        <w:rPr>
          <w:rFonts w:ascii="Times New Roman" w:eastAsia="仿宋_GB2312" w:hAnsi="Times New Roman" w:cs="Times New Roman"/>
          <w:sz w:val="32"/>
          <w:szCs w:val="32"/>
        </w:rPr>
        <w:t>（含所属单位）上年末固定资产金额为</w:t>
      </w:r>
      <w:r w:rsidRPr="00F128C7">
        <w:rPr>
          <w:rFonts w:ascii="Times New Roman" w:eastAsia="仿宋_GB2312" w:hAnsi="Times New Roman" w:cs="Times New Roman" w:hint="eastAsia"/>
          <w:sz w:val="32"/>
          <w:szCs w:val="32"/>
        </w:rPr>
        <w:t>8</w:t>
      </w:r>
      <w:r w:rsidR="00F128C7" w:rsidRPr="00F128C7">
        <w:rPr>
          <w:rFonts w:ascii="Times New Roman" w:eastAsia="仿宋_GB2312" w:hAnsi="Times New Roman" w:cs="Times New Roman" w:hint="eastAsia"/>
          <w:sz w:val="32"/>
          <w:szCs w:val="32"/>
        </w:rPr>
        <w:t>7</w:t>
      </w:r>
      <w:r w:rsidRPr="00F128C7">
        <w:rPr>
          <w:rFonts w:ascii="Times New Roman" w:eastAsia="仿宋_GB2312" w:hAnsi="Times New Roman" w:cs="Times New Roman" w:hint="eastAsia"/>
          <w:sz w:val="32"/>
          <w:szCs w:val="32"/>
        </w:rPr>
        <w:t>.0</w:t>
      </w:r>
      <w:r w:rsidR="00F128C7" w:rsidRPr="00F128C7">
        <w:rPr>
          <w:rFonts w:ascii="Times New Roman" w:eastAsia="仿宋_GB2312" w:hAnsi="Times New Roman" w:cs="Times New Roman" w:hint="eastAsia"/>
          <w:sz w:val="32"/>
          <w:szCs w:val="32"/>
        </w:rPr>
        <w:t>6</w:t>
      </w:r>
      <w:r w:rsidRPr="00F128C7">
        <w:rPr>
          <w:rFonts w:ascii="Times New Roman" w:eastAsia="仿宋_GB2312" w:hAnsi="Times New Roman" w:cs="Times New Roman"/>
          <w:sz w:val="32"/>
          <w:szCs w:val="32"/>
        </w:rPr>
        <w:t>万元，</w:t>
      </w:r>
      <w:r w:rsidRPr="00F128C7">
        <w:rPr>
          <w:rFonts w:ascii="Times New Roman" w:eastAsia="仿宋_GB2312" w:hAnsi="Times New Roman" w:cs="Times New Roman" w:hint="eastAsia"/>
          <w:sz w:val="32"/>
          <w:szCs w:val="32"/>
        </w:rPr>
        <w:t>本年度我部门无拟购置固定资产。</w:t>
      </w:r>
      <w:r w:rsidR="00DF47A8" w:rsidRPr="00F128C7">
        <w:rPr>
          <w:rFonts w:ascii="Times New Roman" w:eastAsia="仿宋_GB2312" w:hAnsi="Times New Roman" w:cs="Times New Roman" w:hint="eastAsia"/>
          <w:sz w:val="32"/>
          <w:szCs w:val="32"/>
        </w:rPr>
        <w:t>详见下表。</w:t>
      </w:r>
    </w:p>
    <w:tbl>
      <w:tblPr>
        <w:tblW w:w="13325" w:type="dxa"/>
        <w:tblInd w:w="93" w:type="dxa"/>
        <w:tblLook w:val="04A0" w:firstRow="1" w:lastRow="0" w:firstColumn="1" w:lastColumn="0" w:noHBand="0" w:noVBand="1"/>
      </w:tblPr>
      <w:tblGrid>
        <w:gridCol w:w="5224"/>
        <w:gridCol w:w="3155"/>
        <w:gridCol w:w="5103"/>
      </w:tblGrid>
      <w:tr w:rsidR="00762432" w:rsidRPr="00F128C7">
        <w:trPr>
          <w:trHeight w:val="705"/>
        </w:trPr>
        <w:tc>
          <w:tcPr>
            <w:tcW w:w="13482" w:type="dxa"/>
            <w:gridSpan w:val="3"/>
            <w:tcBorders>
              <w:top w:val="nil"/>
              <w:left w:val="nil"/>
              <w:bottom w:val="nil"/>
              <w:right w:val="nil"/>
            </w:tcBorders>
            <w:shd w:val="clear" w:color="auto" w:fill="auto"/>
            <w:noWrap/>
            <w:vAlign w:val="center"/>
          </w:tcPr>
          <w:p w:rsidR="00762432" w:rsidRPr="00F128C7" w:rsidRDefault="004D2D93">
            <w:pPr>
              <w:widowControl/>
              <w:spacing w:line="584" w:lineRule="exact"/>
              <w:jc w:val="center"/>
              <w:rPr>
                <w:rFonts w:ascii="Times New Roman" w:eastAsia="仿宋_GB2312" w:hAnsi="Times New Roman" w:cs="Times New Roman"/>
                <w:b/>
                <w:bCs/>
                <w:kern w:val="0"/>
                <w:sz w:val="32"/>
                <w:szCs w:val="32"/>
              </w:rPr>
            </w:pPr>
            <w:r w:rsidRPr="00F128C7">
              <w:rPr>
                <w:rFonts w:ascii="Times New Roman" w:eastAsia="仿宋_GB2312" w:hAnsi="Times New Roman" w:cs="Times New Roman"/>
                <w:b/>
                <w:bCs/>
                <w:kern w:val="0"/>
                <w:sz w:val="32"/>
                <w:szCs w:val="32"/>
              </w:rPr>
              <w:t>廊坊市</w:t>
            </w:r>
            <w:r w:rsidRPr="00F128C7">
              <w:rPr>
                <w:rFonts w:ascii="Times New Roman" w:eastAsia="仿宋_GB2312" w:hAnsi="Times New Roman" w:cs="Times New Roman" w:hint="eastAsia"/>
                <w:b/>
                <w:bCs/>
                <w:kern w:val="0"/>
                <w:sz w:val="32"/>
                <w:szCs w:val="32"/>
              </w:rPr>
              <w:t>广阳区区</w:t>
            </w:r>
            <w:r w:rsidRPr="00F128C7">
              <w:rPr>
                <w:rFonts w:ascii="Times New Roman" w:eastAsia="仿宋_GB2312" w:hAnsi="Times New Roman" w:cs="Times New Roman"/>
                <w:b/>
                <w:bCs/>
                <w:kern w:val="0"/>
                <w:sz w:val="32"/>
                <w:szCs w:val="32"/>
              </w:rPr>
              <w:t>直部门固定资产占用情况表</w:t>
            </w:r>
          </w:p>
        </w:tc>
      </w:tr>
      <w:tr w:rsidR="00762432" w:rsidRPr="00F128C7">
        <w:trPr>
          <w:trHeight w:val="510"/>
        </w:trPr>
        <w:tc>
          <w:tcPr>
            <w:tcW w:w="8379" w:type="dxa"/>
            <w:gridSpan w:val="2"/>
            <w:tcBorders>
              <w:top w:val="nil"/>
              <w:left w:val="nil"/>
              <w:bottom w:val="nil"/>
              <w:right w:val="nil"/>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编制部门：廊坊市</w:t>
            </w:r>
            <w:r w:rsidRPr="00F128C7">
              <w:rPr>
                <w:rFonts w:ascii="Times New Roman" w:eastAsia="仿宋_GB2312" w:hAnsi="Times New Roman" w:cs="Times New Roman" w:hint="eastAsia"/>
                <w:kern w:val="0"/>
                <w:sz w:val="22"/>
              </w:rPr>
              <w:t>广阳区</w:t>
            </w:r>
            <w:r w:rsidR="00B271B7" w:rsidRPr="00B271B7">
              <w:rPr>
                <w:rFonts w:ascii="Times New Roman" w:eastAsia="仿宋_GB2312" w:hAnsi="Times New Roman" w:cs="Times New Roman" w:hint="eastAsia"/>
                <w:kern w:val="0"/>
                <w:sz w:val="22"/>
              </w:rPr>
              <w:t>信访局</w:t>
            </w:r>
          </w:p>
        </w:tc>
        <w:tc>
          <w:tcPr>
            <w:tcW w:w="5103" w:type="dxa"/>
            <w:tcBorders>
              <w:top w:val="nil"/>
              <w:left w:val="nil"/>
              <w:bottom w:val="nil"/>
              <w:right w:val="nil"/>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截止时间：</w:t>
            </w:r>
            <w:r w:rsidRPr="00F128C7">
              <w:rPr>
                <w:rFonts w:ascii="Times New Roman" w:eastAsia="仿宋_GB2312" w:hAnsi="Times New Roman" w:cs="Times New Roman"/>
                <w:kern w:val="0"/>
                <w:sz w:val="22"/>
              </w:rPr>
              <w:t>201</w:t>
            </w:r>
            <w:r w:rsidRPr="00F128C7">
              <w:rPr>
                <w:rFonts w:ascii="Times New Roman" w:eastAsia="仿宋_GB2312" w:hAnsi="Times New Roman" w:cs="Times New Roman" w:hint="eastAsia"/>
                <w:kern w:val="0"/>
                <w:sz w:val="22"/>
              </w:rPr>
              <w:t>9</w:t>
            </w:r>
            <w:r w:rsidRPr="00F128C7">
              <w:rPr>
                <w:rFonts w:ascii="Times New Roman" w:eastAsia="仿宋_GB2312" w:hAnsi="Times New Roman" w:cs="Times New Roman"/>
                <w:kern w:val="0"/>
                <w:sz w:val="22"/>
              </w:rPr>
              <w:t>年</w:t>
            </w:r>
            <w:r w:rsidRPr="00F128C7">
              <w:rPr>
                <w:rFonts w:ascii="Times New Roman" w:eastAsia="仿宋_GB2312" w:hAnsi="Times New Roman" w:cs="Times New Roman"/>
                <w:kern w:val="0"/>
                <w:sz w:val="22"/>
              </w:rPr>
              <w:t>12</w:t>
            </w:r>
            <w:r w:rsidRPr="00F128C7">
              <w:rPr>
                <w:rFonts w:ascii="Times New Roman" w:eastAsia="仿宋_GB2312" w:hAnsi="Times New Roman" w:cs="Times New Roman"/>
                <w:kern w:val="0"/>
                <w:sz w:val="22"/>
              </w:rPr>
              <w:t>月</w:t>
            </w:r>
            <w:r w:rsidRPr="00F128C7">
              <w:rPr>
                <w:rFonts w:ascii="Times New Roman" w:eastAsia="仿宋_GB2312" w:hAnsi="Times New Roman" w:cs="Times New Roman"/>
                <w:kern w:val="0"/>
                <w:sz w:val="22"/>
              </w:rPr>
              <w:t>31</w:t>
            </w:r>
            <w:r w:rsidRPr="00F128C7">
              <w:rPr>
                <w:rFonts w:ascii="Times New Roman" w:eastAsia="仿宋_GB2312" w:hAnsi="Times New Roman" w:cs="Times New Roman"/>
                <w:kern w:val="0"/>
                <w:sz w:val="22"/>
              </w:rPr>
              <w:t>日</w:t>
            </w:r>
          </w:p>
        </w:tc>
      </w:tr>
      <w:tr w:rsidR="00762432" w:rsidRPr="00F128C7">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center"/>
              <w:rPr>
                <w:rFonts w:ascii="Times New Roman" w:eastAsia="仿宋_GB2312" w:hAnsi="Times New Roman" w:cs="Times New Roman"/>
                <w:b/>
                <w:bCs/>
                <w:kern w:val="0"/>
                <w:sz w:val="22"/>
              </w:rPr>
            </w:pPr>
            <w:r w:rsidRPr="00F128C7">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center"/>
              <w:rPr>
                <w:rFonts w:ascii="Times New Roman" w:eastAsia="仿宋_GB2312" w:hAnsi="Times New Roman" w:cs="Times New Roman"/>
                <w:b/>
                <w:bCs/>
                <w:kern w:val="0"/>
                <w:sz w:val="22"/>
              </w:rPr>
            </w:pPr>
            <w:r w:rsidRPr="00F128C7">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center"/>
              <w:rPr>
                <w:rFonts w:ascii="Times New Roman" w:eastAsia="仿宋_GB2312" w:hAnsi="Times New Roman" w:cs="Times New Roman"/>
                <w:b/>
                <w:bCs/>
                <w:kern w:val="0"/>
                <w:sz w:val="22"/>
              </w:rPr>
            </w:pPr>
            <w:r w:rsidRPr="00F128C7">
              <w:rPr>
                <w:rFonts w:ascii="Times New Roman" w:eastAsia="仿宋_GB2312" w:hAnsi="Times New Roman" w:cs="Times New Roman"/>
                <w:b/>
                <w:bCs/>
                <w:kern w:val="0"/>
                <w:sz w:val="22"/>
              </w:rPr>
              <w:t>价值（金额单位：万元）</w:t>
            </w:r>
          </w:p>
        </w:tc>
      </w:tr>
      <w:tr w:rsidR="00762432" w:rsidRPr="00F128C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center"/>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4D2D93">
            <w:pPr>
              <w:spacing w:line="584" w:lineRule="exact"/>
              <w:jc w:val="center"/>
              <w:rPr>
                <w:rFonts w:ascii="Times New Roman" w:eastAsia="仿宋_GB2312" w:hAnsi="Times New Roman" w:cs="Times New Roman"/>
                <w:sz w:val="22"/>
              </w:rPr>
            </w:pPr>
            <w:r w:rsidRPr="00F128C7">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4D2D93" w:rsidP="00F128C7">
            <w:pPr>
              <w:spacing w:line="584" w:lineRule="exact"/>
              <w:jc w:val="center"/>
              <w:rPr>
                <w:rFonts w:ascii="Times New Roman" w:eastAsia="仿宋_GB2312" w:hAnsi="Times New Roman" w:cs="Times New Roman"/>
                <w:sz w:val="22"/>
              </w:rPr>
            </w:pPr>
            <w:r w:rsidRPr="00F128C7">
              <w:rPr>
                <w:rFonts w:ascii="Times New Roman" w:eastAsia="仿宋_GB2312" w:hAnsi="Times New Roman" w:cs="Times New Roman" w:hint="eastAsia"/>
                <w:sz w:val="22"/>
              </w:rPr>
              <w:t>87.0</w:t>
            </w:r>
            <w:r w:rsidR="00F128C7" w:rsidRPr="00F128C7">
              <w:rPr>
                <w:rFonts w:ascii="Times New Roman" w:eastAsia="仿宋_GB2312" w:hAnsi="Times New Roman" w:cs="Times New Roman" w:hint="eastAsia"/>
                <w:sz w:val="22"/>
              </w:rPr>
              <w:t>6</w:t>
            </w:r>
          </w:p>
        </w:tc>
      </w:tr>
      <w:tr w:rsidR="00762432" w:rsidRPr="00F128C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1</w:t>
            </w:r>
            <w:r w:rsidRPr="00F128C7">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r>
      <w:tr w:rsidR="00762432" w:rsidRPr="00F128C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bookmarkStart w:id="3" w:name="_GoBack"/>
            <w:bookmarkEnd w:id="3"/>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r>
      <w:tr w:rsidR="00762432" w:rsidRPr="00F128C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2</w:t>
            </w:r>
            <w:r w:rsidRPr="00F128C7">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4D2D93">
            <w:pPr>
              <w:spacing w:line="584" w:lineRule="exact"/>
              <w:jc w:val="center"/>
              <w:rPr>
                <w:rFonts w:ascii="Times New Roman" w:eastAsia="仿宋_GB2312" w:hAnsi="Times New Roman" w:cs="Times New Roman"/>
                <w:sz w:val="22"/>
              </w:rPr>
            </w:pPr>
            <w:r w:rsidRPr="00F128C7">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4D2D93">
            <w:pPr>
              <w:spacing w:line="584" w:lineRule="exact"/>
              <w:jc w:val="center"/>
              <w:rPr>
                <w:rFonts w:ascii="Times New Roman" w:eastAsia="仿宋_GB2312" w:hAnsi="Times New Roman" w:cs="Times New Roman"/>
                <w:sz w:val="22"/>
              </w:rPr>
            </w:pPr>
            <w:r w:rsidRPr="00F128C7">
              <w:rPr>
                <w:rFonts w:ascii="Times New Roman" w:eastAsia="仿宋_GB2312" w:hAnsi="Times New Roman" w:cs="Times New Roman" w:hint="eastAsia"/>
                <w:sz w:val="22"/>
              </w:rPr>
              <w:t>28.68</w:t>
            </w:r>
          </w:p>
        </w:tc>
      </w:tr>
      <w:tr w:rsidR="00762432" w:rsidRPr="00F128C7">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3</w:t>
            </w:r>
            <w:r w:rsidRPr="00F128C7">
              <w:rPr>
                <w:rFonts w:ascii="Times New Roman" w:eastAsia="仿宋_GB2312" w:hAnsi="Times New Roman" w:cs="Times New Roman"/>
                <w:kern w:val="0"/>
                <w:sz w:val="22"/>
              </w:rPr>
              <w:t>、单价在</w:t>
            </w:r>
            <w:r w:rsidRPr="00F128C7">
              <w:rPr>
                <w:rFonts w:ascii="Times New Roman" w:eastAsia="仿宋_GB2312" w:hAnsi="Times New Roman" w:cs="Times New Roman"/>
                <w:kern w:val="0"/>
                <w:sz w:val="22"/>
              </w:rPr>
              <w:t>20</w:t>
            </w:r>
            <w:r w:rsidRPr="00F128C7">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r>
      <w:tr w:rsidR="00762432">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62432" w:rsidRPr="00F128C7" w:rsidRDefault="004D2D93">
            <w:pPr>
              <w:widowControl/>
              <w:spacing w:line="584" w:lineRule="exact"/>
              <w:jc w:val="left"/>
              <w:rPr>
                <w:rFonts w:ascii="Times New Roman" w:eastAsia="仿宋_GB2312" w:hAnsi="Times New Roman" w:cs="Times New Roman"/>
                <w:kern w:val="0"/>
                <w:sz w:val="22"/>
              </w:rPr>
            </w:pPr>
            <w:r w:rsidRPr="00F128C7">
              <w:rPr>
                <w:rFonts w:ascii="Times New Roman" w:eastAsia="仿宋_GB2312" w:hAnsi="Times New Roman" w:cs="Times New Roman"/>
                <w:kern w:val="0"/>
                <w:sz w:val="22"/>
              </w:rPr>
              <w:t>4</w:t>
            </w:r>
            <w:r w:rsidRPr="00F128C7">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762432" w:rsidRPr="00F128C7" w:rsidRDefault="00762432">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62432" w:rsidRPr="00F128C7" w:rsidRDefault="004D2D93">
            <w:pPr>
              <w:spacing w:line="584" w:lineRule="exact"/>
              <w:jc w:val="center"/>
              <w:rPr>
                <w:rFonts w:ascii="Times New Roman" w:eastAsia="仿宋_GB2312" w:hAnsi="Times New Roman" w:cs="Times New Roman"/>
                <w:sz w:val="22"/>
              </w:rPr>
            </w:pPr>
            <w:r w:rsidRPr="00F128C7">
              <w:rPr>
                <w:rFonts w:ascii="Times New Roman" w:eastAsia="仿宋_GB2312" w:hAnsi="Times New Roman" w:cs="Times New Roman" w:hint="eastAsia"/>
                <w:sz w:val="22"/>
              </w:rPr>
              <w:t>58.38</w:t>
            </w:r>
          </w:p>
        </w:tc>
      </w:tr>
    </w:tbl>
    <w:p w:rsidR="003E23F7" w:rsidRDefault="003E23F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3E23F7" w:rsidRDefault="003E23F7">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762432" w:rsidRDefault="004D2D9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1、一般公共预算拨款收入：</w:t>
      </w:r>
      <w:r w:rsidRPr="0090563F">
        <w:rPr>
          <w:rFonts w:ascii="Times New Roman" w:eastAsia="仿宋_GB2312" w:hAnsi="Times New Roman" w:cs="Times New Roman"/>
          <w:sz w:val="32"/>
          <w:szCs w:val="32"/>
        </w:rPr>
        <w:t>指省级财政当年拨付的资金。</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2、事业收入：</w:t>
      </w:r>
      <w:r w:rsidRPr="0090563F">
        <w:rPr>
          <w:rFonts w:ascii="Times New Roman" w:eastAsia="仿宋_GB2312" w:hAnsi="Times New Roman" w:cs="Times New Roman"/>
          <w:sz w:val="32"/>
          <w:szCs w:val="32"/>
        </w:rPr>
        <w:t>指事业单位开展专业业务活动及辅助活动所取得的收入。</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b/>
          <w:sz w:val="32"/>
          <w:szCs w:val="32"/>
        </w:rPr>
      </w:pPr>
      <w:r w:rsidRPr="00A96F31">
        <w:rPr>
          <w:rFonts w:ascii="楷体_GB2312" w:eastAsia="楷体_GB2312" w:hAnsi="Times New Roman" w:cs="Times New Roman"/>
          <w:b/>
          <w:sz w:val="32"/>
          <w:szCs w:val="32"/>
        </w:rPr>
        <w:t>3、其他收入：</w:t>
      </w:r>
      <w:r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一般公共预算拨款收入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4、基本支出：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5、项目支出：</w:t>
      </w:r>
      <w:r w:rsidRPr="0090563F">
        <w:rPr>
          <w:rFonts w:ascii="Times New Roman" w:eastAsia="仿宋_GB2312" w:hAnsi="Times New Roman" w:cs="Times New Roman"/>
          <w:sz w:val="32"/>
          <w:szCs w:val="32"/>
        </w:rPr>
        <w:t>指在基本支出之外为完成特定行政任务和事业发展目标所发生的支出。</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6、上缴上级支出：</w:t>
      </w:r>
      <w:r w:rsidRPr="0090563F">
        <w:rPr>
          <w:rFonts w:ascii="Times New Roman" w:eastAsia="仿宋_GB2312" w:hAnsi="Times New Roman" w:cs="Times New Roman"/>
          <w:sz w:val="32"/>
          <w:szCs w:val="32"/>
        </w:rPr>
        <w:t>指下级单位上缴上级的支出。</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7、</w:t>
      </w:r>
      <w:r w:rsidRPr="00A96F31">
        <w:rPr>
          <w:rFonts w:ascii="楷体_GB2312" w:eastAsia="楷体_GB2312" w:hAnsi="Times New Roman" w:cs="Times New Roman"/>
          <w:b/>
          <w:sz w:val="32"/>
          <w:szCs w:val="32"/>
        </w:rPr>
        <w:t>“</w:t>
      </w:r>
      <w:r w:rsidRPr="00A96F31">
        <w:rPr>
          <w:rFonts w:ascii="楷体_GB2312" w:eastAsia="楷体_GB2312" w:hAnsi="Times New Roman" w:cs="Times New Roman"/>
          <w:b/>
          <w:sz w:val="32"/>
          <w:szCs w:val="32"/>
        </w:rPr>
        <w:t>三公</w:t>
      </w:r>
      <w:r w:rsidRPr="00A96F31">
        <w:rPr>
          <w:rFonts w:ascii="楷体_GB2312" w:eastAsia="楷体_GB2312" w:hAnsi="Times New Roman" w:cs="Times New Roman"/>
          <w:b/>
          <w:sz w:val="32"/>
          <w:szCs w:val="32"/>
        </w:rPr>
        <w:t>”</w:t>
      </w:r>
      <w:r w:rsidRPr="00A96F31">
        <w:rPr>
          <w:rFonts w:ascii="楷体_GB2312" w:eastAsia="楷体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8、机关运行费：</w:t>
      </w:r>
      <w:r w:rsidRPr="0090563F">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5FD5" w:rsidRPr="0090563F"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9、上年结转：</w:t>
      </w:r>
      <w:r w:rsidRPr="0090563F">
        <w:rPr>
          <w:rFonts w:ascii="Times New Roman" w:eastAsia="仿宋_GB2312" w:hAnsi="Times New Roman" w:cs="Times New Roman"/>
          <w:sz w:val="32"/>
          <w:szCs w:val="32"/>
        </w:rPr>
        <w:t>指以前年度尚未完成、结转到本年仍按原规定用途继续使用的资金。</w:t>
      </w:r>
    </w:p>
    <w:p w:rsidR="00762432" w:rsidRDefault="00895FD5" w:rsidP="00895FD5">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10、事业单位经营支出：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762432" w:rsidRDefault="004D2D9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762432" w:rsidRDefault="004D2D93">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p w:rsidR="00762432" w:rsidRDefault="00762432">
      <w:pPr>
        <w:spacing w:line="584" w:lineRule="exact"/>
        <w:rPr>
          <w:rFonts w:ascii="Times New Roman" w:eastAsia="仿宋_GB2312" w:hAnsi="Times New Roman" w:cs="Times New Roman"/>
          <w:b/>
          <w:color w:val="FF0000"/>
          <w:sz w:val="32"/>
          <w:szCs w:val="32"/>
        </w:rPr>
      </w:pPr>
    </w:p>
    <w:sectPr w:rsidR="00762432">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FB" w:rsidRDefault="007024FB">
      <w:r>
        <w:separator/>
      </w:r>
    </w:p>
  </w:endnote>
  <w:endnote w:type="continuationSeparator" w:id="0">
    <w:p w:rsidR="007024FB" w:rsidRDefault="0070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49198"/>
    </w:sdtPr>
    <w:sdtEndPr/>
    <w:sdtContent>
      <w:p w:rsidR="00762432" w:rsidRDefault="004D2D93">
        <w:pPr>
          <w:pStyle w:val="a4"/>
          <w:jc w:val="center"/>
        </w:pPr>
        <w:r>
          <w:rPr>
            <w:rFonts w:hint="eastAsia"/>
          </w:rPr>
          <w:t>-</w:t>
        </w:r>
        <w:r>
          <w:fldChar w:fldCharType="begin"/>
        </w:r>
        <w:r>
          <w:instrText>PAGE   \* MERGEFORMAT</w:instrText>
        </w:r>
        <w:r>
          <w:fldChar w:fldCharType="separate"/>
        </w:r>
        <w:r w:rsidR="007024FB" w:rsidRPr="007024FB">
          <w:rPr>
            <w:noProof/>
            <w:lang w:val="zh-CN"/>
          </w:rPr>
          <w:t>1</w:t>
        </w:r>
        <w:r>
          <w:rPr>
            <w:lang w:val="zh-CN"/>
          </w:rPr>
          <w:fldChar w:fldCharType="end"/>
        </w:r>
        <w:r>
          <w:rPr>
            <w:rFonts w:hint="eastAsia"/>
          </w:rPr>
          <w:t>-</w:t>
        </w:r>
      </w:p>
    </w:sdtContent>
  </w:sdt>
  <w:p w:rsidR="00762432" w:rsidRDefault="007624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99695"/>
    </w:sdtPr>
    <w:sdtEndPr/>
    <w:sdtContent>
      <w:p w:rsidR="00762432" w:rsidRDefault="004D2D93">
        <w:pPr>
          <w:pStyle w:val="a4"/>
          <w:jc w:val="center"/>
        </w:pPr>
        <w:r>
          <w:fldChar w:fldCharType="begin"/>
        </w:r>
        <w:r>
          <w:instrText>PAGE   \* MERGEFORMAT</w:instrText>
        </w:r>
        <w:r>
          <w:fldChar w:fldCharType="separate"/>
        </w:r>
        <w:r w:rsidR="00B271B7" w:rsidRPr="00B271B7">
          <w:rPr>
            <w:noProof/>
            <w:lang w:val="zh-CN"/>
          </w:rPr>
          <w:t>8</w:t>
        </w:r>
        <w:r>
          <w:fldChar w:fldCharType="end"/>
        </w:r>
      </w:p>
    </w:sdtContent>
  </w:sdt>
  <w:p w:rsidR="00762432" w:rsidRDefault="007624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FB" w:rsidRDefault="007024FB">
      <w:r>
        <w:separator/>
      </w:r>
    </w:p>
  </w:footnote>
  <w:footnote w:type="continuationSeparator" w:id="0">
    <w:p w:rsidR="007024FB" w:rsidRDefault="00702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CA8"/>
    <w:multiLevelType w:val="hybridMultilevel"/>
    <w:tmpl w:val="674C539A"/>
    <w:lvl w:ilvl="0" w:tplc="7A768178">
      <w:start w:val="1"/>
      <w:numFmt w:val="japaneseCounting"/>
      <w:lvlText w:val="（%1）"/>
      <w:lvlJc w:val="left"/>
      <w:pPr>
        <w:ind w:left="1080" w:hanging="1080"/>
      </w:pPr>
      <w:rPr>
        <w:rFonts w:ascii="华文仿宋" w:eastAsia="华文仿宋" w:hAnsi="华文仿宋" w:cs="华文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74C98D"/>
    <w:multiLevelType w:val="singleLevel"/>
    <w:tmpl w:val="3374C98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26A27"/>
    <w:rsid w:val="00037AF6"/>
    <w:rsid w:val="000410F2"/>
    <w:rsid w:val="0004565F"/>
    <w:rsid w:val="00070080"/>
    <w:rsid w:val="00071C92"/>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150A"/>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3E23F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2D9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024FB"/>
    <w:rsid w:val="00727C84"/>
    <w:rsid w:val="00741AF5"/>
    <w:rsid w:val="0074338E"/>
    <w:rsid w:val="00753836"/>
    <w:rsid w:val="0075393C"/>
    <w:rsid w:val="00754592"/>
    <w:rsid w:val="0076243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95FD5"/>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2F7E"/>
    <w:rsid w:val="00AC4748"/>
    <w:rsid w:val="00AD5259"/>
    <w:rsid w:val="00AF7697"/>
    <w:rsid w:val="00B01D36"/>
    <w:rsid w:val="00B078CD"/>
    <w:rsid w:val="00B20712"/>
    <w:rsid w:val="00B271B7"/>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DF47A8"/>
    <w:rsid w:val="00E167C7"/>
    <w:rsid w:val="00E440CF"/>
    <w:rsid w:val="00E55B78"/>
    <w:rsid w:val="00E76361"/>
    <w:rsid w:val="00E84020"/>
    <w:rsid w:val="00EB7A80"/>
    <w:rsid w:val="00EC47F6"/>
    <w:rsid w:val="00EE6D6D"/>
    <w:rsid w:val="00EF08C9"/>
    <w:rsid w:val="00EF535E"/>
    <w:rsid w:val="00F128C7"/>
    <w:rsid w:val="00F15CF0"/>
    <w:rsid w:val="00F471F7"/>
    <w:rsid w:val="00F66032"/>
    <w:rsid w:val="00F83B96"/>
    <w:rsid w:val="00F8441D"/>
    <w:rsid w:val="00F87C1E"/>
    <w:rsid w:val="00F958C2"/>
    <w:rsid w:val="00FA740E"/>
    <w:rsid w:val="00FC06C7"/>
    <w:rsid w:val="00FD5DB4"/>
    <w:rsid w:val="00FD7FCC"/>
    <w:rsid w:val="00FE1724"/>
    <w:rsid w:val="00FE753C"/>
    <w:rsid w:val="00FF2346"/>
    <w:rsid w:val="02F94E94"/>
    <w:rsid w:val="28813706"/>
    <w:rsid w:val="306C4B13"/>
    <w:rsid w:val="40AF61E1"/>
    <w:rsid w:val="48B34A5C"/>
    <w:rsid w:val="5BDB7857"/>
    <w:rsid w:val="688D4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paragraph" w:styleId="2">
    <w:name w:val="heading 2"/>
    <w:basedOn w:val="a"/>
    <w:next w:val="a"/>
    <w:uiPriority w:val="9"/>
    <w:unhideWhenUsed/>
    <w:qFormat/>
    <w:pPr>
      <w:keepNext/>
      <w:keepLines/>
      <w:ind w:firstLineChars="200" w:firstLine="880"/>
      <w:outlineLvl w:val="1"/>
    </w:pPr>
    <w:rPr>
      <w:rFonts w:ascii="Arial" w:eastAsia="楷体_GB2312" w:hAnsi="Arial"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0">
    <w:name w:val="toc 2"/>
    <w:basedOn w:val="a"/>
    <w:next w:val="a"/>
    <w:uiPriority w:val="39"/>
    <w:pPr>
      <w:ind w:leftChars="200" w:left="420"/>
    </w:pPr>
    <w:rPr>
      <w:rFonts w:ascii="Times New Roman" w:eastAsia="宋体" w:hAnsi="Times New Roman" w:cs="Times New Roman"/>
      <w:szCs w:val="24"/>
    </w:rPr>
  </w:style>
  <w:style w:type="character" w:styleId="a7">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 w:type="paragraph" w:customStyle="1" w:styleId="pMsoNormal">
    <w:name w:val="p.MsoNormal"/>
    <w:basedOn w:val="Normal"/>
    <w:uiPriority w:val="4"/>
    <w:pPr>
      <w:jc w:val="both"/>
    </w:pPr>
    <w:rPr>
      <w:rFonts w:ascii="Calibri" w:eastAsia="Calibri" w:hAnsi="Calibri"/>
      <w:sz w:val="21"/>
    </w:rPr>
  </w:style>
  <w:style w:type="paragraph" w:customStyle="1" w:styleId="Normal">
    <w:name w:val="[Normal]"/>
    <w:uiPriority w:val="6"/>
    <w:rPr>
      <w:rFonts w:ascii="宋体" w:eastAsia="宋体" w:hAnsi="宋体"/>
      <w:sz w:val="24"/>
      <w:lang w:eastAsia="en-US"/>
    </w:rPr>
  </w:style>
  <w:style w:type="paragraph" w:customStyle="1" w:styleId="BODY">
    <w:name w:val="BODY"/>
    <w:basedOn w:val="Normal"/>
    <w:uiPriority w:val="4"/>
  </w:style>
  <w:style w:type="paragraph" w:styleId="a8">
    <w:name w:val="List Paragraph"/>
    <w:basedOn w:val="a"/>
    <w:uiPriority w:val="99"/>
    <w:unhideWhenUsed/>
    <w:rsid w:val="00895F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paragraph" w:styleId="2">
    <w:name w:val="heading 2"/>
    <w:basedOn w:val="a"/>
    <w:next w:val="a"/>
    <w:uiPriority w:val="9"/>
    <w:unhideWhenUsed/>
    <w:qFormat/>
    <w:pPr>
      <w:keepNext/>
      <w:keepLines/>
      <w:ind w:firstLineChars="200" w:firstLine="880"/>
      <w:outlineLvl w:val="1"/>
    </w:pPr>
    <w:rPr>
      <w:rFonts w:ascii="Arial" w:eastAsia="楷体_GB2312" w:hAnsi="Arial"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0">
    <w:name w:val="toc 2"/>
    <w:basedOn w:val="a"/>
    <w:next w:val="a"/>
    <w:uiPriority w:val="39"/>
    <w:pPr>
      <w:ind w:leftChars="200" w:left="420"/>
    </w:pPr>
    <w:rPr>
      <w:rFonts w:ascii="Times New Roman" w:eastAsia="宋体" w:hAnsi="Times New Roman" w:cs="Times New Roman"/>
      <w:szCs w:val="24"/>
    </w:rPr>
  </w:style>
  <w:style w:type="character" w:styleId="a7">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 w:type="paragraph" w:customStyle="1" w:styleId="pMsoNormal">
    <w:name w:val="p.MsoNormal"/>
    <w:basedOn w:val="Normal"/>
    <w:uiPriority w:val="4"/>
    <w:pPr>
      <w:jc w:val="both"/>
    </w:pPr>
    <w:rPr>
      <w:rFonts w:ascii="Calibri" w:eastAsia="Calibri" w:hAnsi="Calibri"/>
      <w:sz w:val="21"/>
    </w:rPr>
  </w:style>
  <w:style w:type="paragraph" w:customStyle="1" w:styleId="Normal">
    <w:name w:val="[Normal]"/>
    <w:uiPriority w:val="6"/>
    <w:rPr>
      <w:rFonts w:ascii="宋体" w:eastAsia="宋体" w:hAnsi="宋体"/>
      <w:sz w:val="24"/>
      <w:lang w:eastAsia="en-US"/>
    </w:rPr>
  </w:style>
  <w:style w:type="paragraph" w:customStyle="1" w:styleId="BODY">
    <w:name w:val="BODY"/>
    <w:basedOn w:val="Normal"/>
    <w:uiPriority w:val="4"/>
  </w:style>
  <w:style w:type="paragraph" w:styleId="a8">
    <w:name w:val="List Paragraph"/>
    <w:basedOn w:val="a"/>
    <w:uiPriority w:val="99"/>
    <w:unhideWhenUsed/>
    <w:rsid w:val="00895F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B8F2F-F40A-4E55-944A-95D1F5A1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548</Words>
  <Characters>3126</Characters>
  <Application>Microsoft Office Word</Application>
  <DocSecurity>0</DocSecurity>
  <Lines>26</Lines>
  <Paragraphs>7</Paragraphs>
  <ScaleCrop>false</ScaleCrop>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19</cp:revision>
  <cp:lastPrinted>2019-02-18T02:45:00Z</cp:lastPrinted>
  <dcterms:created xsi:type="dcterms:W3CDTF">2019-02-13T02:12:00Z</dcterms:created>
  <dcterms:modified xsi:type="dcterms:W3CDTF">2020-02-24T03:38:00Z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