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中共廊坊市</w:t>
      </w:r>
      <w:r>
        <w:rPr>
          <w:rFonts w:hint="eastAsia" w:ascii="Times New Roman" w:hAnsi="Times New Roman" w:eastAsia="方正小标宋简体" w:cs="Times New Roman"/>
          <w:sz w:val="44"/>
          <w:szCs w:val="44"/>
        </w:rPr>
        <w:t>广阳区</w:t>
      </w:r>
      <w:r>
        <w:rPr>
          <w:rFonts w:ascii="Times New Roman" w:hAnsi="Times New Roman" w:eastAsia="方正小标宋简体" w:cs="Times New Roman"/>
          <w:sz w:val="44"/>
          <w:szCs w:val="44"/>
        </w:rPr>
        <w:t>委统战部20</w:t>
      </w:r>
      <w:r>
        <w:rPr>
          <w:rFonts w:hint="eastAsia" w:ascii="Times New Roman" w:hAnsi="Times New Roman" w:eastAsia="方正小标宋简体" w:cs="Times New Roman"/>
          <w:sz w:val="44"/>
          <w:szCs w:val="44"/>
        </w:rPr>
        <w:t>20</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预算法》、《地方预决算公开操作规程》和《河北省省级预算公开办法》规定，现将中共廊坊市</w:t>
      </w:r>
      <w:r>
        <w:rPr>
          <w:rFonts w:hint="eastAsia" w:ascii="Times New Roman" w:hAnsi="Times New Roman" w:eastAsia="仿宋_GB2312" w:cs="Times New Roman"/>
          <w:sz w:val="32"/>
          <w:szCs w:val="32"/>
        </w:rPr>
        <w:t>广阳区</w:t>
      </w:r>
      <w:r>
        <w:rPr>
          <w:rFonts w:ascii="Times New Roman" w:hAnsi="Times New Roman" w:eastAsia="仿宋_GB2312" w:cs="Times New Roman"/>
          <w:sz w:val="32"/>
          <w:szCs w:val="32"/>
        </w:rPr>
        <w:t>委统战部20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楷体_GB2312" w:cs="Times New Roman"/>
          <w:b/>
          <w:sz w:val="32"/>
          <w:szCs w:val="32"/>
        </w:rPr>
      </w:pPr>
      <w:r>
        <w:rPr>
          <w:rFonts w:ascii="Times New Roman" w:hAnsi="Times New Roman" w:eastAsia="仿宋_GB2312" w:cs="Times New Roman"/>
          <w:sz w:val="32"/>
          <w:szCs w:val="32"/>
        </w:rPr>
        <w:t>贯彻落实加强党对统一战线工作集中统一领导的要求，发挥区委在统战工作方面的参谋机构、组织协机构、具体执行机构、督促检查机构作用；开展统一战线理论、政策研究，及时向区委报告统一战线工作情况并提出建议，协调政府有关部门的统一战线工作；贯彻执行无党派人士工作的方针政策，负责牵头协调无党派人士工作；贯彻落实党的宣传工作方针；贯彻落实中国共产党领导的多党合作和政治协商制度以及对民主党派的方针政策；贯彻落实党的民族工作方针；贯彻落实党的宗教工作基本方针和政策，参与制定、推动落实鼓励支持引导非公有制经济发展的政策措施；贯彻执行党中央、国务院对台工作的方针政策；贯彻落实党的侨务工作方针政策并组织协调、督促检查落实；负责指导各乡镇、街道的统一战线工作及领导班子和领导干部统一战线工作的年度考核；完成区委交办的其他任务。</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autoSpaceDE w:val="0"/>
              <w:autoSpaceDN w:val="0"/>
              <w:spacing w:line="540" w:lineRule="exact"/>
              <w:jc w:val="center"/>
              <w:rPr>
                <w:rFonts w:ascii="仿宋_GB2312" w:eastAsia="仿宋_GB2312"/>
                <w:sz w:val="32"/>
                <w:szCs w:val="32"/>
              </w:rPr>
            </w:pPr>
            <w:r>
              <w:rPr>
                <w:rFonts w:hint="eastAsia" w:ascii="仿宋_GB2312" w:eastAsia="仿宋_GB2312"/>
                <w:color w:val="000000"/>
                <w:sz w:val="32"/>
                <w:szCs w:val="32"/>
              </w:rPr>
              <w:t>中共</w:t>
            </w:r>
            <w:r>
              <w:rPr>
                <w:rFonts w:ascii="仿宋_GB2312" w:eastAsia="仿宋_GB2312"/>
                <w:color w:val="000000"/>
                <w:sz w:val="32"/>
                <w:szCs w:val="32"/>
              </w:rPr>
              <w:t>廊坊市广阳区</w:t>
            </w:r>
            <w:r>
              <w:rPr>
                <w:rFonts w:hint="eastAsia" w:ascii="仿宋_GB2312" w:eastAsia="仿宋_GB2312"/>
                <w:color w:val="000000"/>
                <w:sz w:val="32"/>
                <w:szCs w:val="32"/>
              </w:rPr>
              <w:t>委统战部</w:t>
            </w:r>
          </w:p>
        </w:tc>
        <w:tc>
          <w:tcPr>
            <w:tcW w:w="1134" w:type="dxa"/>
            <w:shd w:val="clear" w:color="auto" w:fill="auto"/>
            <w:vAlign w:val="center"/>
          </w:tcPr>
          <w:p>
            <w:pPr>
              <w:autoSpaceDE w:val="0"/>
              <w:autoSpaceDN w:val="0"/>
              <w:spacing w:line="540" w:lineRule="exact"/>
              <w:jc w:val="center"/>
              <w:rPr>
                <w:rFonts w:ascii="仿宋_GB2312" w:eastAsia="仿宋_GB2312"/>
                <w:sz w:val="32"/>
                <w:szCs w:val="32"/>
              </w:rPr>
            </w:pPr>
            <w:r>
              <w:rPr>
                <w:rFonts w:hint="eastAsia" w:ascii="仿宋_GB2312" w:eastAsia="仿宋_GB2312"/>
                <w:color w:val="000000"/>
                <w:sz w:val="32"/>
                <w:szCs w:val="32"/>
              </w:rPr>
              <w:t>行政单位</w:t>
            </w:r>
          </w:p>
        </w:tc>
        <w:tc>
          <w:tcPr>
            <w:tcW w:w="1276" w:type="dxa"/>
            <w:shd w:val="clear" w:color="auto" w:fill="auto"/>
            <w:vAlign w:val="center"/>
          </w:tcPr>
          <w:p>
            <w:pPr>
              <w:spacing w:line="540" w:lineRule="exact"/>
              <w:jc w:val="center"/>
              <w:rPr>
                <w:rFonts w:ascii="仿宋_GB2312" w:eastAsia="仿宋_GB2312"/>
                <w:sz w:val="32"/>
                <w:szCs w:val="32"/>
              </w:rPr>
            </w:pPr>
            <w:r>
              <w:rPr>
                <w:rFonts w:hint="eastAsia" w:ascii="仿宋_GB2312" w:eastAsia="仿宋_GB2312"/>
                <w:sz w:val="32"/>
                <w:szCs w:val="32"/>
              </w:rPr>
              <w:t>正</w:t>
            </w:r>
            <w:r>
              <w:rPr>
                <w:rFonts w:ascii="仿宋_GB2312" w:eastAsia="仿宋_GB2312"/>
                <w:sz w:val="32"/>
                <w:szCs w:val="32"/>
              </w:rPr>
              <w:t>科</w:t>
            </w:r>
            <w:r>
              <w:rPr>
                <w:rFonts w:hint="eastAsia" w:ascii="仿宋_GB2312" w:eastAsia="仿宋_GB2312"/>
                <w:sz w:val="32"/>
                <w:szCs w:val="32"/>
              </w:rPr>
              <w:t>级</w:t>
            </w:r>
          </w:p>
        </w:tc>
        <w:tc>
          <w:tcPr>
            <w:tcW w:w="2902" w:type="dxa"/>
            <w:shd w:val="clear" w:color="auto" w:fill="auto"/>
            <w:vAlign w:val="center"/>
          </w:tcPr>
          <w:p>
            <w:pPr>
              <w:autoSpaceDE w:val="0"/>
              <w:autoSpaceDN w:val="0"/>
              <w:spacing w:line="540" w:lineRule="exact"/>
              <w:jc w:val="center"/>
              <w:rPr>
                <w:rFonts w:ascii="仿宋_GB2312" w:eastAsia="仿宋_GB2312"/>
                <w:sz w:val="32"/>
                <w:szCs w:val="32"/>
              </w:rPr>
            </w:pPr>
            <w:r>
              <w:rPr>
                <w:rFonts w:hint="eastAsia" w:ascii="仿宋_GB2312" w:eastAsia="仿宋_GB2312"/>
                <w:color w:val="000000"/>
                <w:sz w:val="32"/>
                <w:szCs w:val="32"/>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w:t>
      </w:r>
      <w:r>
        <w:rPr>
          <w:rFonts w:ascii="Times New Roman" w:hAnsi="Times New Roman" w:eastAsia="仿宋_GB2312" w:cs="Times New Roman"/>
          <w:sz w:val="32"/>
          <w:szCs w:val="32"/>
        </w:rPr>
        <w:t>委统战部机关</w:t>
      </w:r>
      <w:r>
        <w:rPr>
          <w:rFonts w:hint="eastAsia" w:ascii="Times New Roman" w:hAnsi="Times New Roman" w:eastAsia="仿宋_GB2312" w:cs="Times New Roman"/>
          <w:sz w:val="32"/>
          <w:szCs w:val="32"/>
        </w:rPr>
        <w:t>及所属事业单位</w:t>
      </w:r>
      <w:r>
        <w:rPr>
          <w:rFonts w:ascii="Times New Roman" w:hAnsi="Times New Roman" w:eastAsia="仿宋_GB2312" w:cs="Times New Roman"/>
          <w:sz w:val="32"/>
          <w:szCs w:val="32"/>
        </w:rPr>
        <w:t>的收支包含在部门预算中。</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年预算收入207.65万元，其中：一般公共预算收入</w:t>
      </w:r>
      <w:r>
        <w:rPr>
          <w:rFonts w:hint="eastAsia" w:ascii="Times New Roman" w:hAnsi="Times New Roman" w:eastAsia="仿宋_GB2312" w:cs="Times New Roman"/>
          <w:sz w:val="32"/>
          <w:szCs w:val="32"/>
        </w:rPr>
        <w:t>207.65</w:t>
      </w:r>
      <w:r>
        <w:rPr>
          <w:rFonts w:ascii="Times New Roman" w:hAnsi="Times New Roman" w:eastAsia="仿宋_GB2312" w:cs="Times New Roman"/>
          <w:sz w:val="32"/>
          <w:szCs w:val="32"/>
        </w:rPr>
        <w:t>万元，基金预算收入0万元，财政专户核拨收入0万元，其他来源收入0万元。</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w:t>
      </w:r>
      <w:r>
        <w:rPr>
          <w:rFonts w:ascii="Times New Roman" w:hAnsi="Times New Roman" w:eastAsia="仿宋_GB2312" w:cs="Times New Roman"/>
          <w:sz w:val="32"/>
          <w:szCs w:val="32"/>
        </w:rPr>
        <w:t>委统战部2020年度部门预算中支出预算的总体情况。20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年支出预算207.65万元，其中基本支出207.65万元，包括人员经费</w:t>
      </w:r>
      <w:r>
        <w:rPr>
          <w:rFonts w:hint="eastAsia" w:ascii="Times New Roman" w:hAnsi="Times New Roman" w:eastAsia="仿宋_GB2312" w:cs="Times New Roman"/>
          <w:sz w:val="32"/>
          <w:szCs w:val="32"/>
        </w:rPr>
        <w:t>184.84</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22.81</w:t>
      </w:r>
      <w:r>
        <w:rPr>
          <w:rFonts w:ascii="Times New Roman" w:hAnsi="Times New Roman" w:eastAsia="仿宋_GB2312" w:cs="Times New Roman"/>
          <w:sz w:val="32"/>
          <w:szCs w:val="32"/>
        </w:rPr>
        <w:t>万元；项目支出0万元；其他支出0万元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年预算收支安排207.65万元，较201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年预算增加137.46万元，其中：基本支出增加137.46万，主要为增加工资等支出；项目支出0万元，主要为无增减变化项目支出</w:t>
      </w:r>
      <w:r>
        <w:rPr>
          <w:rFonts w:hint="eastAsia" w:ascii="Times New Roman" w:hAnsi="Times New Roman" w:eastAsia="仿宋_GB2312" w:cs="Times New Roman"/>
          <w:sz w:val="32"/>
          <w:szCs w:val="32"/>
        </w:rPr>
        <w:t>；其他支出</w:t>
      </w:r>
      <w:r>
        <w:rPr>
          <w:rFonts w:ascii="Times New Roman" w:hAnsi="Times New Roman" w:eastAsia="仿宋_GB2312" w:cs="Times New Roman"/>
          <w:sz w:val="32"/>
          <w:szCs w:val="32"/>
        </w:rPr>
        <w:t>0万元，</w:t>
      </w:r>
      <w:r>
        <w:rPr>
          <w:rFonts w:hint="eastAsia" w:ascii="Times New Roman" w:hAnsi="Times New Roman" w:eastAsia="仿宋_GB2312" w:cs="Times New Roman"/>
          <w:sz w:val="32"/>
          <w:szCs w:val="32"/>
        </w:rPr>
        <w:t>无增减变化</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22.81</w:t>
      </w:r>
      <w:r>
        <w:rPr>
          <w:rFonts w:ascii="Times New Roman" w:hAnsi="Times New Roman" w:eastAsia="仿宋_GB2312" w:cs="Times New Roman"/>
          <w:sz w:val="32"/>
          <w:szCs w:val="32"/>
        </w:rPr>
        <w:t>万元，主要用于日常维修、办公用房水电费等日常运行支出。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spacing w:line="584" w:lineRule="exact"/>
        <w:ind w:firstLine="640" w:firstLineChars="200"/>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财政拨款“三公”经费预算安排4.37万元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因公出国（境）费0万元；公务用车购置及运维费4.37万元（其中：公务用车购置费为0万元，公务用车运维费4.37万元)；公务接待费0万元。与201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sz w:val="32"/>
          <w:szCs w:val="32"/>
          <w:lang w:val="en-US" w:eastAsia="zh-CN"/>
        </w:rPr>
        <w:t>增加2.19万元</w:t>
      </w:r>
      <w:r>
        <w:rPr>
          <w:rFonts w:hint="eastAsia" w:ascii="Times New Roman" w:hAnsi="Times New Roman" w:eastAsia="仿宋_GB2312" w:cs="Times New Roman"/>
          <w:sz w:val="32"/>
          <w:szCs w:val="32"/>
        </w:rPr>
        <w:t>，因为民宗局2019年下半年并入统战部，所以公车从一辆变成两辆</w:t>
      </w:r>
      <w:r>
        <w:rPr>
          <w:rFonts w:hint="eastAsia" w:ascii="Times New Roman" w:hAnsi="Times New Roman" w:eastAsia="仿宋_GB2312" w:cs="Times New Roman"/>
          <w:sz w:val="32"/>
          <w:szCs w:val="32"/>
          <w:lang w:eastAsia="zh-CN"/>
        </w:rPr>
        <w:t>。</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3" w:firstLineChars="200"/>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  部门整体绩效目标</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w:t>
      </w:r>
      <w:r>
        <w:rPr>
          <w:rFonts w:ascii="Times New Roman" w:hAnsi="Times New Roman" w:eastAsia="楷体_GB2312" w:cs="Times New Roman"/>
          <w:b/>
          <w:sz w:val="32"/>
          <w:szCs w:val="32"/>
        </w:rPr>
        <w:t>总体绩效目标：</w:t>
      </w:r>
    </w:p>
    <w:p>
      <w:pPr>
        <w:spacing w:line="540" w:lineRule="exact"/>
        <w:ind w:firstLine="640" w:firstLineChars="200"/>
        <w:rPr>
          <w:rFonts w:ascii="仿宋_GB2312" w:eastAsia="仿宋_GB2312"/>
          <w:sz w:val="32"/>
        </w:rPr>
      </w:pPr>
      <w:r>
        <w:rPr>
          <w:rFonts w:hint="eastAsia" w:ascii="仿宋_GB2312" w:eastAsia="仿宋_GB2312"/>
          <w:sz w:val="32"/>
        </w:rPr>
        <w:t>坚持以习近平总书记关于加强和改进统一战线工作的重要思想为指导，深入学习贯彻党的十九届四中全会精神，以坚持大统战工作格局为牵引，在创新统战工作体制机制和解决统一战线领域突出问题上力争有所突破，为建设经济强省、美丽河北汇聚广泛的力量支持。</w:t>
      </w:r>
    </w:p>
    <w:p>
      <w:pPr>
        <w:spacing w:line="540" w:lineRule="exact"/>
        <w:ind w:firstLine="640" w:firstLineChars="200"/>
        <w:jc w:val="left"/>
        <w:rPr>
          <w:rFonts w:ascii="仿宋_GB2312" w:eastAsia="仿宋_GB2312"/>
          <w:sz w:val="32"/>
        </w:rPr>
      </w:pPr>
      <w:r>
        <w:rPr>
          <w:rFonts w:hint="eastAsia" w:ascii="仿宋_GB2312" w:eastAsia="仿宋_GB2312"/>
          <w:sz w:val="32"/>
        </w:rPr>
        <w:t>建立及时掌握思想动态的工作机制。省委统战部定期不定期地同有关部门党委党组、高校党委、行业协会党组织进行协商，分析研判不同领域、不同群体党外知识分子的思想动态，有的放矢地确立教育和引导的主题，不断增强政治引领和思想引导的针对性和实效性。</w:t>
      </w:r>
    </w:p>
    <w:p>
      <w:pPr>
        <w:spacing w:line="540" w:lineRule="exact"/>
        <w:ind w:firstLine="640" w:firstLineChars="200"/>
        <w:jc w:val="left"/>
        <w:rPr>
          <w:rFonts w:ascii="仿宋_GB2312" w:eastAsia="仿宋_GB2312"/>
          <w:sz w:val="32"/>
        </w:rPr>
      </w:pPr>
      <w:r>
        <w:rPr>
          <w:rFonts w:hint="eastAsia" w:ascii="仿宋_GB2312" w:eastAsia="仿宋_GB2312"/>
          <w:sz w:val="32"/>
        </w:rPr>
        <w:t>建立健全党外人士理论学习长效机制。在明确教育引导的主题后，各方面的党组织都以主题活动为牵引，不断把理论学习引向深入，引导广大统一战线成员不断增进对习近平新时代中国特色社会主义思想的政治认同、思想认同、情感认同。</w:t>
      </w:r>
    </w:p>
    <w:p>
      <w:pPr>
        <w:spacing w:line="540" w:lineRule="exact"/>
        <w:ind w:firstLine="640" w:firstLineChars="200"/>
        <w:jc w:val="left"/>
        <w:rPr>
          <w:rFonts w:ascii="仿宋_GB2312" w:eastAsia="仿宋_GB2312"/>
          <w:sz w:val="32"/>
        </w:rPr>
      </w:pPr>
      <w:r>
        <w:rPr>
          <w:rFonts w:hint="eastAsia" w:ascii="仿宋_GB2312" w:eastAsia="仿宋_GB2312"/>
          <w:sz w:val="32"/>
        </w:rPr>
        <w:t>健全和完善对统一战线成员的政治培训机制。统战部门制定年度培训计划，逐步扩大政治培训的覆盖面，对党派成员和党外干部、分布在各行业和新的社会阶层中的党外知识分子、宗教界相关人士等进行培训。</w:t>
      </w:r>
    </w:p>
    <w:p>
      <w:pPr>
        <w:spacing w:line="540" w:lineRule="exact"/>
        <w:ind w:firstLine="640" w:firstLineChars="200"/>
        <w:jc w:val="left"/>
        <w:rPr>
          <w:rFonts w:ascii="仿宋_GB2312" w:eastAsia="仿宋_GB2312"/>
          <w:sz w:val="32"/>
        </w:rPr>
      </w:pPr>
      <w:r>
        <w:rPr>
          <w:rFonts w:hint="eastAsia" w:ascii="仿宋_GB2312" w:eastAsia="仿宋_GB2312"/>
          <w:sz w:val="32"/>
        </w:rPr>
        <w:t>继续动员统一战线各方面资源、组织各方面力量，参与脱贫攻坚、参与新动能的培育、参与企业的转型升级，壮大推进高质量发展的力量。</w:t>
      </w:r>
    </w:p>
    <w:p>
      <w:pPr>
        <w:spacing w:line="584" w:lineRule="exact"/>
        <w:ind w:firstLine="640" w:firstLineChars="200"/>
        <w:jc w:val="left"/>
        <w:rPr>
          <w:rFonts w:ascii="Times New Roman" w:hAnsi="Times New Roman" w:eastAsia="楷体_GB2312" w:cs="Times New Roman"/>
          <w:b/>
          <w:sz w:val="32"/>
          <w:szCs w:val="32"/>
        </w:rPr>
      </w:pPr>
      <w:r>
        <w:rPr>
          <w:rFonts w:hint="eastAsia" w:ascii="仿宋_GB2312" w:eastAsia="仿宋_GB2312"/>
          <w:sz w:val="32"/>
        </w:rPr>
        <w:t>加强同不同领域、不同层面统一战线成员的协商，把各方面思想统一到省</w:t>
      </w:r>
      <w:r>
        <w:rPr>
          <w:rFonts w:ascii="仿宋_GB2312" w:eastAsia="仿宋_GB2312"/>
          <w:sz w:val="32"/>
        </w:rPr>
        <w:t>市区</w:t>
      </w:r>
      <w:r>
        <w:rPr>
          <w:rFonts w:hint="eastAsia" w:ascii="仿宋_GB2312" w:eastAsia="仿宋_GB2312"/>
          <w:sz w:val="32"/>
        </w:rPr>
        <w:t>委决策部署上来。密切关注统一战线领域的思想动态，采取有效的方式方法，积极化解矛盾纠纷、理顺社会情绪、协调社会关系。</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（二）分项绩效目标</w:t>
      </w:r>
    </w:p>
    <w:p>
      <w:pPr>
        <w:spacing w:line="540" w:lineRule="exact"/>
        <w:ind w:firstLine="640" w:firstLineChars="200"/>
        <w:rPr>
          <w:rFonts w:ascii="仿宋_GB2312" w:eastAsia="仿宋_GB2312"/>
          <w:sz w:val="32"/>
        </w:rPr>
      </w:pPr>
      <w:r>
        <w:rPr>
          <w:rFonts w:hint="eastAsia" w:ascii="仿宋_GB2312" w:eastAsia="仿宋_GB2312"/>
          <w:sz w:val="32"/>
        </w:rPr>
        <w:t>1、巩固多党合作，推动多党合作政治协商事业发展。</w:t>
      </w:r>
    </w:p>
    <w:p>
      <w:pPr>
        <w:spacing w:line="540" w:lineRule="exact"/>
        <w:ind w:firstLine="640" w:firstLineChars="200"/>
        <w:jc w:val="left"/>
        <w:rPr>
          <w:rFonts w:ascii="仿宋_GB2312" w:eastAsia="仿宋_GB2312"/>
          <w:sz w:val="32"/>
        </w:rPr>
      </w:pPr>
      <w:r>
        <w:rPr>
          <w:rFonts w:hint="eastAsia" w:ascii="仿宋_GB2312" w:eastAsia="仿宋_GB2312"/>
          <w:sz w:val="32"/>
        </w:rPr>
        <w:t>绩效目标：完善与各民主党派政治协商制度，联系各民主党派</w:t>
      </w:r>
      <w:r>
        <w:rPr>
          <w:rFonts w:ascii="仿宋_GB2312" w:eastAsia="仿宋_GB2312"/>
          <w:sz w:val="32"/>
        </w:rPr>
        <w:t>成员</w:t>
      </w:r>
      <w:r>
        <w:rPr>
          <w:rFonts w:hint="eastAsia" w:ascii="仿宋_GB2312" w:eastAsia="仿宋_GB2312"/>
          <w:sz w:val="32"/>
        </w:rPr>
        <w:t>，通报情况、反映意见，推动多党合作政治协商事业发展。</w:t>
      </w:r>
    </w:p>
    <w:p>
      <w:pPr>
        <w:spacing w:line="540" w:lineRule="exact"/>
        <w:ind w:firstLine="640" w:firstLineChars="200"/>
        <w:jc w:val="left"/>
        <w:rPr>
          <w:rFonts w:ascii="仿宋_GB2312" w:eastAsia="仿宋_GB2312"/>
          <w:sz w:val="32"/>
        </w:rPr>
      </w:pPr>
      <w:r>
        <w:rPr>
          <w:rFonts w:hint="eastAsia" w:ascii="仿宋_GB2312" w:eastAsia="仿宋_GB2312"/>
          <w:sz w:val="32"/>
        </w:rPr>
        <w:t>绩效指标：年度内完成与各民主党派政治协商次数不低于</w:t>
      </w:r>
      <w:r>
        <w:rPr>
          <w:rFonts w:ascii="仿宋_GB2312" w:eastAsia="仿宋_GB2312"/>
          <w:sz w:val="32"/>
        </w:rPr>
        <w:t>1</w:t>
      </w:r>
      <w:r>
        <w:rPr>
          <w:rFonts w:hint="eastAsia" w:ascii="仿宋_GB2312" w:eastAsia="仿宋_GB2312"/>
          <w:sz w:val="32"/>
        </w:rPr>
        <w:t>次。</w:t>
      </w:r>
    </w:p>
    <w:p>
      <w:pPr>
        <w:spacing w:line="540" w:lineRule="exact"/>
        <w:ind w:firstLine="640" w:firstLineChars="200"/>
        <w:jc w:val="left"/>
        <w:rPr>
          <w:rFonts w:ascii="仿宋_GB2312" w:eastAsia="仿宋_GB2312"/>
          <w:sz w:val="32"/>
        </w:rPr>
      </w:pPr>
      <w:r>
        <w:rPr>
          <w:rFonts w:hint="eastAsia" w:ascii="仿宋_GB2312" w:eastAsia="仿宋_GB2312"/>
          <w:sz w:val="32"/>
        </w:rPr>
        <w:t>2、促进非公有制经济健康发展和非公有制经济人士健康成长。</w:t>
      </w:r>
    </w:p>
    <w:p>
      <w:pPr>
        <w:spacing w:line="540" w:lineRule="exact"/>
        <w:ind w:firstLine="640" w:firstLineChars="200"/>
        <w:jc w:val="left"/>
        <w:rPr>
          <w:rFonts w:ascii="仿宋_GB2312" w:eastAsia="仿宋_GB2312"/>
          <w:sz w:val="32"/>
        </w:rPr>
      </w:pPr>
      <w:r>
        <w:rPr>
          <w:rFonts w:hint="eastAsia" w:ascii="仿宋_GB2312" w:eastAsia="仿宋_GB2312"/>
          <w:sz w:val="32"/>
        </w:rPr>
        <w:t>绩效目标：联系、培养民营经济代表人士，开展思想政治工作，适时召开民营经济领域统战工作会议或研讨会议、指导民营企业党组织做好企业内部统战工作。</w:t>
      </w:r>
    </w:p>
    <w:p>
      <w:pPr>
        <w:spacing w:line="540" w:lineRule="exact"/>
        <w:ind w:firstLine="640" w:firstLineChars="200"/>
        <w:jc w:val="left"/>
        <w:rPr>
          <w:rFonts w:ascii="仿宋_GB2312" w:eastAsia="仿宋_GB2312"/>
          <w:sz w:val="32"/>
        </w:rPr>
      </w:pPr>
      <w:r>
        <w:rPr>
          <w:rFonts w:hint="eastAsia" w:ascii="仿宋_GB2312" w:eastAsia="仿宋_GB2312"/>
          <w:sz w:val="32"/>
        </w:rPr>
        <w:t>绩效指标：完成并实施贯彻落实</w:t>
      </w:r>
      <w:r>
        <w:rPr>
          <w:rFonts w:ascii="仿宋_GB2312" w:eastAsia="仿宋_GB2312"/>
          <w:sz w:val="32"/>
        </w:rPr>
        <w:t>上级</w:t>
      </w:r>
      <w:r>
        <w:rPr>
          <w:rFonts w:hint="eastAsia" w:ascii="仿宋_GB2312" w:eastAsia="仿宋_GB2312"/>
          <w:sz w:val="32"/>
        </w:rPr>
        <w:t>关于民营经济统战工作文件精神实施意见，举办政企沟通交流会次数不低于</w:t>
      </w:r>
      <w:r>
        <w:rPr>
          <w:rFonts w:ascii="仿宋_GB2312" w:eastAsia="仿宋_GB2312"/>
          <w:sz w:val="32"/>
        </w:rPr>
        <w:t>1</w:t>
      </w:r>
      <w:r>
        <w:rPr>
          <w:rFonts w:hint="eastAsia" w:ascii="仿宋_GB2312" w:eastAsia="仿宋_GB2312"/>
          <w:sz w:val="32"/>
        </w:rPr>
        <w:t>次。</w:t>
      </w:r>
    </w:p>
    <w:p>
      <w:pPr>
        <w:spacing w:line="540" w:lineRule="exact"/>
        <w:ind w:firstLine="640" w:firstLineChars="200"/>
        <w:jc w:val="left"/>
        <w:rPr>
          <w:rFonts w:ascii="仿宋_GB2312" w:eastAsia="仿宋_GB2312"/>
          <w:sz w:val="32"/>
        </w:rPr>
      </w:pPr>
      <w:r>
        <w:rPr>
          <w:rFonts w:hint="eastAsia" w:ascii="仿宋_GB2312" w:eastAsia="仿宋_GB2312"/>
          <w:sz w:val="32"/>
        </w:rPr>
        <w:t>3、加强党外知识分子统战工作。</w:t>
      </w:r>
    </w:p>
    <w:p>
      <w:pPr>
        <w:spacing w:line="540" w:lineRule="exact"/>
        <w:ind w:firstLine="640" w:firstLineChars="200"/>
        <w:jc w:val="left"/>
        <w:rPr>
          <w:rFonts w:ascii="仿宋_GB2312" w:eastAsia="仿宋_GB2312"/>
          <w:sz w:val="32"/>
        </w:rPr>
      </w:pPr>
      <w:r>
        <w:rPr>
          <w:rFonts w:hint="eastAsia" w:ascii="仿宋_GB2312" w:eastAsia="仿宋_GB2312"/>
          <w:sz w:val="32"/>
        </w:rPr>
        <w:t>绩效目标：进一步加强与各领域的党外知识分子和新的社会阶层人士组织联谊交友，强化思想政治引领，创新工作方法，充分发挥作用。有重点地开展部分群体思想状况、关注重点、愿望期盼和利益诉求的调查研究。</w:t>
      </w:r>
    </w:p>
    <w:p>
      <w:pPr>
        <w:spacing w:line="540" w:lineRule="exact"/>
        <w:ind w:firstLine="640" w:firstLineChars="200"/>
        <w:jc w:val="left"/>
        <w:rPr>
          <w:rFonts w:ascii="仿宋_GB2312" w:eastAsia="仿宋_GB2312"/>
          <w:sz w:val="32"/>
        </w:rPr>
      </w:pPr>
      <w:r>
        <w:rPr>
          <w:rFonts w:hint="eastAsia" w:ascii="仿宋_GB2312" w:eastAsia="仿宋_GB2312"/>
          <w:sz w:val="32"/>
        </w:rPr>
        <w:t>绩效指标：定期不定期召集不同领域党外知识分子召开座谈、协商等会议不低于</w:t>
      </w:r>
      <w:r>
        <w:rPr>
          <w:rFonts w:ascii="仿宋_GB2312" w:eastAsia="仿宋_GB2312"/>
          <w:sz w:val="32"/>
        </w:rPr>
        <w:t>2</w:t>
      </w:r>
      <w:r>
        <w:rPr>
          <w:rFonts w:hint="eastAsia" w:ascii="仿宋_GB2312" w:eastAsia="仿宋_GB2312"/>
          <w:sz w:val="32"/>
        </w:rPr>
        <w:t>次。调研了解各地各领域党外知识分子和新的社会阶层人士情况不低于</w:t>
      </w:r>
      <w:r>
        <w:rPr>
          <w:rFonts w:ascii="仿宋_GB2312" w:eastAsia="仿宋_GB2312"/>
          <w:sz w:val="32"/>
        </w:rPr>
        <w:t>2</w:t>
      </w:r>
      <w:r>
        <w:rPr>
          <w:rFonts w:hint="eastAsia" w:ascii="仿宋_GB2312" w:eastAsia="仿宋_GB2312"/>
          <w:sz w:val="32"/>
        </w:rPr>
        <w:t>次。</w:t>
      </w:r>
    </w:p>
    <w:p>
      <w:pPr>
        <w:spacing w:line="540" w:lineRule="exact"/>
        <w:ind w:firstLine="640" w:firstLineChars="200"/>
        <w:jc w:val="left"/>
        <w:rPr>
          <w:rFonts w:ascii="仿宋_GB2312" w:eastAsia="仿宋_GB2312"/>
          <w:sz w:val="32"/>
        </w:rPr>
      </w:pPr>
      <w:r>
        <w:rPr>
          <w:rFonts w:hint="eastAsia" w:ascii="仿宋_GB2312" w:eastAsia="仿宋_GB2312"/>
          <w:sz w:val="32"/>
        </w:rPr>
        <w:t>4、加强党外代表人士队伍建设。</w:t>
      </w:r>
    </w:p>
    <w:p>
      <w:pPr>
        <w:spacing w:line="540" w:lineRule="exact"/>
        <w:ind w:firstLine="640" w:firstLineChars="200"/>
        <w:jc w:val="left"/>
        <w:rPr>
          <w:rFonts w:ascii="仿宋_GB2312" w:eastAsia="仿宋_GB2312"/>
          <w:sz w:val="32"/>
        </w:rPr>
      </w:pPr>
      <w:r>
        <w:rPr>
          <w:rFonts w:hint="eastAsia" w:ascii="仿宋_GB2312" w:eastAsia="仿宋_GB2312"/>
          <w:sz w:val="32"/>
        </w:rPr>
        <w:t>绩效目标：加强党外代表人士的发现培养工作，提高党外代表人士的实践能力、履职本领和参政议政水平。深化省领导与党外代表人士联谊交友活动，定期走访看望，谈心交流，主动解忧帮困，密切与各领域党外代表人士的联系。</w:t>
      </w:r>
    </w:p>
    <w:p>
      <w:pPr>
        <w:spacing w:line="540" w:lineRule="exact"/>
        <w:ind w:firstLine="640" w:firstLineChars="200"/>
        <w:jc w:val="left"/>
        <w:rPr>
          <w:rFonts w:ascii="仿宋_GB2312" w:eastAsia="仿宋_GB2312"/>
          <w:sz w:val="32"/>
        </w:rPr>
      </w:pPr>
      <w:r>
        <w:rPr>
          <w:rFonts w:hint="eastAsia" w:ascii="仿宋_GB2312" w:eastAsia="仿宋_GB2312"/>
          <w:sz w:val="32"/>
        </w:rPr>
        <w:t>绩效指标：加强与党外代表人士的联谊沟通，定期走访看望，谈心交流次数不低于</w:t>
      </w:r>
      <w:r>
        <w:rPr>
          <w:rFonts w:ascii="仿宋_GB2312" w:eastAsia="仿宋_GB2312"/>
          <w:sz w:val="32"/>
        </w:rPr>
        <w:t>1</w:t>
      </w:r>
      <w:r>
        <w:rPr>
          <w:rFonts w:hint="eastAsia" w:ascii="仿宋_GB2312" w:eastAsia="仿宋_GB2312"/>
          <w:sz w:val="32"/>
        </w:rPr>
        <w:t>次。</w:t>
      </w:r>
    </w:p>
    <w:p>
      <w:pPr>
        <w:spacing w:line="540" w:lineRule="exact"/>
        <w:ind w:firstLine="640" w:firstLineChars="200"/>
        <w:jc w:val="left"/>
        <w:rPr>
          <w:rFonts w:ascii="仿宋_GB2312" w:eastAsia="仿宋_GB2312"/>
          <w:sz w:val="32"/>
        </w:rPr>
      </w:pPr>
      <w:r>
        <w:rPr>
          <w:rFonts w:hint="eastAsia" w:ascii="仿宋_GB2312" w:eastAsia="仿宋_GB2312"/>
          <w:sz w:val="32"/>
        </w:rPr>
        <w:t>5、推动侨务管理工作。</w:t>
      </w:r>
    </w:p>
    <w:p>
      <w:pPr>
        <w:spacing w:line="540" w:lineRule="exact"/>
        <w:ind w:firstLine="640" w:firstLineChars="200"/>
        <w:jc w:val="left"/>
        <w:rPr>
          <w:rFonts w:ascii="仿宋_GB2312" w:eastAsia="仿宋_GB2312"/>
          <w:sz w:val="32"/>
        </w:rPr>
      </w:pPr>
      <w:r>
        <w:rPr>
          <w:rFonts w:hint="eastAsia" w:ascii="仿宋_GB2312" w:eastAsia="仿宋_GB2312"/>
          <w:sz w:val="32"/>
        </w:rPr>
        <w:t>绩效目标：做好海外侨胞的基础性工作，摸清底数。加强对侨务工作的调研，加强与海外华侨华人及社团的联系。</w:t>
      </w:r>
    </w:p>
    <w:p>
      <w:pPr>
        <w:spacing w:line="540" w:lineRule="exact"/>
        <w:ind w:firstLine="640" w:firstLineChars="200"/>
        <w:jc w:val="left"/>
        <w:rPr>
          <w:rFonts w:ascii="仿宋_GB2312" w:eastAsia="仿宋_GB2312"/>
          <w:sz w:val="32"/>
        </w:rPr>
      </w:pPr>
      <w:r>
        <w:rPr>
          <w:rFonts w:hint="eastAsia" w:ascii="仿宋_GB2312" w:eastAsia="仿宋_GB2312"/>
          <w:sz w:val="32"/>
        </w:rPr>
        <w:t>绩效指标：完成年度侨务工作调研不低于</w:t>
      </w:r>
      <w:r>
        <w:rPr>
          <w:rFonts w:ascii="仿宋_GB2312" w:eastAsia="仿宋_GB2312"/>
          <w:sz w:val="32"/>
        </w:rPr>
        <w:t>1</w:t>
      </w:r>
      <w:r>
        <w:rPr>
          <w:rFonts w:hint="eastAsia" w:ascii="仿宋_GB2312" w:eastAsia="仿宋_GB2312"/>
          <w:sz w:val="32"/>
        </w:rPr>
        <w:t>次。</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（三）工作保障措施</w:t>
      </w:r>
    </w:p>
    <w:p>
      <w:pPr>
        <w:spacing w:line="540" w:lineRule="exact"/>
        <w:ind w:firstLine="640" w:firstLineChars="200"/>
        <w:jc w:val="left"/>
        <w:rPr>
          <w:rFonts w:ascii="仿宋_GB2312" w:eastAsia="仿宋_GB2312"/>
          <w:sz w:val="32"/>
        </w:rPr>
      </w:pPr>
      <w:r>
        <w:rPr>
          <w:rFonts w:hint="eastAsia" w:ascii="仿宋_GB2312" w:eastAsia="仿宋_GB2312"/>
          <w:sz w:val="32"/>
        </w:rPr>
        <w:t>1、加强组织领导。将事前评估、目标管理、运行监控、绩效评价、结果应用等各项改革措施，有效融入预算管理的全过程环节，建立健全统战领域预算绩效管理的路径和制度体系。成立由部主要领导同志任组长的预算绩效工作领导小组，建立统筹协调、分工协作、密切配合、合力推进的工作机制。围绕年度总体绩效目标和分类绩效目标，细化工作方案，明确责任主体、实施进度要求，确保如期完成。</w:t>
      </w:r>
    </w:p>
    <w:p>
      <w:pPr>
        <w:spacing w:line="540" w:lineRule="exact"/>
        <w:ind w:firstLine="640" w:firstLineChars="200"/>
        <w:jc w:val="left"/>
        <w:rPr>
          <w:rFonts w:ascii="仿宋_GB2312" w:eastAsia="仿宋_GB2312"/>
          <w:sz w:val="32"/>
        </w:rPr>
      </w:pPr>
      <w:r>
        <w:rPr>
          <w:rFonts w:hint="eastAsia" w:ascii="仿宋_GB2312" w:eastAsia="仿宋_GB2312"/>
          <w:sz w:val="32"/>
        </w:rPr>
        <w:t>2、强化预算编制。按照部门预算的要求，认真编制预算方案。做到有预算安排、有支出标准、有制度依据，维护预算的严肃性和权威性。严格按《</w:t>
      </w:r>
      <w:r>
        <w:rPr>
          <w:rFonts w:hint="eastAsia" w:ascii="仿宋_GB2312" w:eastAsia="仿宋_GB2312"/>
          <w:sz w:val="32"/>
          <w:lang w:eastAsia="zh-CN"/>
        </w:rPr>
        <w:t>中华人民共和国</w:t>
      </w:r>
      <w:r>
        <w:rPr>
          <w:rFonts w:hint="eastAsia" w:ascii="仿宋_GB2312" w:eastAsia="仿宋_GB2312"/>
          <w:sz w:val="32"/>
        </w:rPr>
        <w:t>预算法》的规定</w:t>
      </w:r>
      <w:bookmarkStart w:id="3" w:name="_GoBack"/>
      <w:bookmarkEnd w:id="3"/>
      <w:r>
        <w:rPr>
          <w:rFonts w:hint="eastAsia" w:ascii="仿宋_GB2312" w:eastAsia="仿宋_GB2312"/>
          <w:sz w:val="32"/>
        </w:rPr>
        <w:t>，进一步做细、做实、做准预算，为预算执行打下良好基础，提高预算到位率，切实把预算细化到部门，细化到基层单位，细化到具体项目。</w:t>
      </w:r>
    </w:p>
    <w:p>
      <w:pPr>
        <w:spacing w:line="540" w:lineRule="exact"/>
        <w:ind w:firstLine="640" w:firstLineChars="200"/>
        <w:jc w:val="left"/>
        <w:rPr>
          <w:rFonts w:ascii="仿宋_GB2312" w:eastAsia="仿宋_GB2312"/>
          <w:sz w:val="32"/>
        </w:rPr>
      </w:pPr>
      <w:r>
        <w:rPr>
          <w:rFonts w:hint="eastAsia" w:ascii="仿宋_GB2312" w:eastAsia="仿宋_GB2312"/>
          <w:sz w:val="32"/>
        </w:rPr>
        <w:t>3、狠抓任务落实。强化财政预算执行的刚性约束，按照“谁花钱、谁负责，谁牵总、谁主责”的原则，明确业务预算绩效管理职责。按照预算经费支出进度要求，履行政府采购程序，优化部门预算支出结构，创新财政资金支出思路，合理改进支出方式，确保按照时间节点完成支出任务。</w:t>
      </w:r>
    </w:p>
    <w:p>
      <w:pPr>
        <w:spacing w:line="540" w:lineRule="exact"/>
        <w:ind w:firstLine="640" w:firstLineChars="200"/>
        <w:jc w:val="left"/>
        <w:rPr>
          <w:rFonts w:ascii="仿宋_GB2312" w:eastAsia="仿宋_GB2312"/>
          <w:sz w:val="32"/>
        </w:rPr>
      </w:pPr>
      <w:r>
        <w:rPr>
          <w:rFonts w:hint="eastAsia" w:ascii="仿宋_GB2312" w:eastAsia="仿宋_GB2312"/>
          <w:sz w:val="32"/>
        </w:rPr>
        <w:t>4、规范资产管理。不断加强资产管理，定期开展清查盘点，核实清理资产，盘活存量资源，合理配置部内资产，及时发现和堵塞管理中的漏洞，妥善处理和解决管理中出现的各种问题，进一步努力提高资产使用效益。</w:t>
      </w:r>
    </w:p>
    <w:p>
      <w:pPr>
        <w:spacing w:line="540" w:lineRule="exact"/>
        <w:ind w:firstLine="640" w:firstLineChars="200"/>
        <w:jc w:val="left"/>
        <w:rPr>
          <w:rFonts w:ascii="仿宋_GB2312" w:eastAsia="仿宋_GB2312"/>
          <w:sz w:val="32"/>
        </w:rPr>
      </w:pPr>
      <w:r>
        <w:rPr>
          <w:rFonts w:ascii="仿宋_GB2312" w:eastAsia="仿宋_GB2312"/>
          <w:sz w:val="32"/>
        </w:rPr>
        <w:t>5</w:t>
      </w:r>
      <w:r>
        <w:rPr>
          <w:rFonts w:hint="eastAsia" w:ascii="仿宋_GB2312" w:eastAsia="仿宋_GB2312"/>
          <w:sz w:val="32"/>
        </w:rPr>
        <w:t>、加强内部监督。建立健全内部控制为核心、实现不同岗位的内部牵制制度，充分发挥内控体系在明确权责方面的重要作用。进一步完善内控监督制度，有效行使内控体系的监督评价职责，促进内控体系的不断完善，规范权力运行，提高单位管理服务水平。加强预算资金事前、事中、事后的全方位监管，注重资金支出绩效，最大限度的发挥财政资金效益。对预算执行绩效情况进行跟踪监控，及时掌握项目实施进展、资金拨付和有关绩效指标完成情况，确保绩效目标实现。</w:t>
      </w:r>
    </w:p>
    <w:p>
      <w:pPr>
        <w:spacing w:line="540" w:lineRule="exact"/>
        <w:ind w:firstLine="640" w:firstLineChars="200"/>
        <w:jc w:val="left"/>
        <w:rPr>
          <w:rFonts w:ascii="仿宋_GB2312" w:eastAsia="仿宋_GB2312"/>
          <w:sz w:val="32"/>
        </w:rPr>
      </w:pPr>
      <w:r>
        <w:rPr>
          <w:rFonts w:ascii="仿宋_GB2312" w:eastAsia="仿宋_GB2312"/>
          <w:sz w:val="32"/>
        </w:rPr>
        <w:t>6</w:t>
      </w:r>
      <w:r>
        <w:rPr>
          <w:rFonts w:hint="eastAsia" w:ascii="仿宋_GB2312" w:eastAsia="仿宋_GB2312"/>
          <w:sz w:val="32"/>
        </w:rPr>
        <w:t>、强化宣传引导。组织开展业务培训，使</w:t>
      </w:r>
      <w:r>
        <w:rPr>
          <w:rFonts w:ascii="仿宋_GB2312" w:eastAsia="仿宋_GB2312"/>
          <w:sz w:val="32"/>
        </w:rPr>
        <w:t>机关全体干部</w:t>
      </w:r>
      <w:r>
        <w:rPr>
          <w:rFonts w:hint="eastAsia" w:ascii="仿宋_GB2312" w:eastAsia="仿宋_GB2312"/>
          <w:sz w:val="32"/>
        </w:rPr>
        <w:t>牢固树立绩效理念，熟悉管理流程，掌握工作方法，提升管理能力。探索工作经验，及时总结统战系统预算绩效管理成效，营造良好的舆论氛围。积极采取购买服务等方式，提升预算绩效管理科学水平。</w:t>
      </w:r>
    </w:p>
    <w:bookmarkEnd w:id="0"/>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年，我部门安排政府采购预算0万元。具体内容见下表。</w:t>
      </w:r>
    </w:p>
    <w:bookmarkEnd w:id="1"/>
    <w:p>
      <w:pPr>
        <w:spacing w:line="584" w:lineRule="exact"/>
        <w:jc w:val="center"/>
        <w:outlineLvl w:val="0"/>
        <w:rPr>
          <w:rFonts w:ascii="Times New Roman" w:hAnsi="Times New Roman" w:eastAsia="仿宋_GB2312" w:cs="Times New Roman"/>
          <w:sz w:val="32"/>
        </w:rPr>
      </w:pPr>
      <w:bookmarkStart w:id="2" w:name="_Toc504489153"/>
      <w:r>
        <w:rPr>
          <w:rFonts w:ascii="Times New Roman" w:hAnsi="Times New Roman" w:eastAsia="仿宋_GB2312" w:cs="Times New Roman"/>
          <w:sz w:val="32"/>
        </w:rPr>
        <w:t>部门政府采购预算</w:t>
      </w:r>
      <w:bookmarkEnd w:id="2"/>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61"/>
        <w:gridCol w:w="932"/>
        <w:gridCol w:w="1372"/>
        <w:gridCol w:w="720"/>
        <w:gridCol w:w="740"/>
        <w:gridCol w:w="950"/>
        <w:gridCol w:w="956"/>
        <w:gridCol w:w="1238"/>
        <w:gridCol w:w="991"/>
        <w:gridCol w:w="1136"/>
        <w:gridCol w:w="1189"/>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8"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[275]中共廊坊市广阳区</w:t>
            </w:r>
            <w:r>
              <w:rPr>
                <w:rFonts w:ascii="Times New Roman" w:hAnsi="Times New Roman" w:eastAsia="仿宋_GB2312" w:cs="Times New Roman"/>
                <w:sz w:val="24"/>
              </w:rPr>
              <w:t>委统战部</w:t>
            </w:r>
          </w:p>
        </w:tc>
        <w:tc>
          <w:tcPr>
            <w:tcW w:w="2192"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0"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2"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64"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320" w:type="pct"/>
            <w:vMerge w:val="continue"/>
            <w:shd w:val="clear" w:color="auto" w:fill="auto"/>
            <w:vAlign w:val="center"/>
          </w:tcPr>
          <w:p/>
        </w:tc>
        <w:tc>
          <w:tcPr>
            <w:tcW w:w="471" w:type="pct"/>
            <w:vMerge w:val="continue"/>
            <w:shd w:val="clear" w:color="auto" w:fill="auto"/>
            <w:vAlign w:val="center"/>
          </w:tcPr>
          <w:p/>
        </w:tc>
        <w:tc>
          <w:tcPr>
            <w:tcW w:w="247" w:type="pct"/>
            <w:vMerge w:val="continue"/>
            <w:shd w:val="clear" w:color="auto" w:fill="auto"/>
            <w:vAlign w:val="center"/>
          </w:tcPr>
          <w:p/>
        </w:tc>
        <w:tc>
          <w:tcPr>
            <w:tcW w:w="254" w:type="pct"/>
            <w:vMerge w:val="continue"/>
            <w:shd w:val="clear" w:color="auto" w:fill="auto"/>
            <w:vAlign w:val="center"/>
          </w:tcPr>
          <w:p/>
        </w:tc>
        <w:tc>
          <w:tcPr>
            <w:tcW w:w="326" w:type="pct"/>
            <w:vMerge w:val="continue"/>
            <w:shd w:val="clear" w:color="auto" w:fill="auto"/>
            <w:vAlign w:val="center"/>
          </w:tc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5"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40"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90"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8"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01"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中共廊坊市</w:t>
      </w:r>
      <w:r>
        <w:rPr>
          <w:rFonts w:hint="eastAsia" w:ascii="Times New Roman" w:hAnsi="Times New Roman" w:eastAsia="仿宋_GB2312" w:cs="Times New Roman"/>
          <w:sz w:val="32"/>
          <w:szCs w:val="32"/>
        </w:rPr>
        <w:t>广阳区</w:t>
      </w:r>
      <w:r>
        <w:rPr>
          <w:rFonts w:ascii="Times New Roman" w:hAnsi="Times New Roman" w:eastAsia="仿宋_GB2312" w:cs="Times New Roman"/>
          <w:sz w:val="32"/>
          <w:szCs w:val="32"/>
        </w:rPr>
        <w:t>委统战部上年末固定资产金额为</w:t>
      </w:r>
      <w:r>
        <w:rPr>
          <w:rFonts w:hint="eastAsia" w:ascii="Times New Roman" w:hAnsi="Times New Roman" w:eastAsia="仿宋_GB2312" w:cs="Times New Roman"/>
          <w:sz w:val="32"/>
          <w:szCs w:val="32"/>
        </w:rPr>
        <w:t>34.71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本年度我部门无拟购置固定资产。详见下表。</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编制部门：中共廊坊市</w:t>
            </w:r>
            <w:r>
              <w:rPr>
                <w:rFonts w:hint="eastAsia" w:ascii="Times New Roman" w:hAnsi="Times New Roman" w:eastAsia="仿宋_GB2312" w:cs="Times New Roman"/>
                <w:kern w:val="0"/>
                <w:sz w:val="22"/>
              </w:rPr>
              <w:t>广阳区</w:t>
            </w:r>
            <w:r>
              <w:rPr>
                <w:rFonts w:ascii="Times New Roman" w:hAnsi="Times New Roman" w:eastAsia="仿宋_GB2312" w:cs="Times New Roman"/>
                <w:kern w:val="0"/>
                <w:sz w:val="22"/>
              </w:rPr>
              <w:t>委统战部</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34.71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21.46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13.25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楷体_GB2312" w:hAnsi="Times New Roman" w:eastAsia="楷体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3</w:t>
    </w:r>
    <w:r>
      <w:rPr>
        <w:lang w:val="zh-CN"/>
      </w:rPr>
      <w:fldChar w:fldCharType="end"/>
    </w:r>
    <w:r>
      <w:rPr>
        <w:rFonts w:hint="eastAsia"/>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9</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rsids>
    <w:rsidRoot w:val="005D4D88"/>
    <w:rsid w:val="005B2281"/>
    <w:rsid w:val="005D4D88"/>
    <w:rsid w:val="006C353D"/>
    <w:rsid w:val="00A93AF2"/>
    <w:rsid w:val="00AC4D53"/>
    <w:rsid w:val="0E4C25A3"/>
    <w:rsid w:val="3E476DB1"/>
    <w:rsid w:val="4C9C053D"/>
    <w:rsid w:val="5FBA1945"/>
    <w:rsid w:val="77C71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683</Words>
  <Characters>3895</Characters>
  <Lines>32</Lines>
  <Paragraphs>9</Paragraphs>
  <TotalTime>460</TotalTime>
  <ScaleCrop>false</ScaleCrop>
  <LinksUpToDate>false</LinksUpToDate>
  <CharactersWithSpaces>4569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Administrator</cp:lastModifiedBy>
  <cp:lastPrinted>2019-02-18T02:45:00Z</cp:lastPrinted>
  <dcterms:modified xsi:type="dcterms:W3CDTF">2024-01-11T10:37:48Z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E4D3A66FE0624637A1E4B236610F8C95</vt:lpwstr>
  </property>
</Properties>
</file>