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中共廊坊市广阳区委区直机关工作委员会2020年部门预算信息公开情况说明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3" w:name="_GoBack"/>
      <w:bookmarkEnd w:id="3"/>
      <w:r>
        <w:rPr>
          <w:rFonts w:ascii="Times New Roman" w:hAnsi="Times New Roman" w:eastAsia="仿宋_GB2312" w:cs="Times New Roman"/>
          <w:sz w:val="32"/>
          <w:szCs w:val="32"/>
        </w:rPr>
        <w:t>预算法》、《地方预决算公开操作规程》和《河北省省级预算公开办法》规定，现将</w:t>
      </w:r>
      <w:r>
        <w:rPr>
          <w:rFonts w:hint="eastAsia" w:ascii="仿宋_GB2312" w:hAnsi="Times New Roman" w:eastAsia="仿宋_GB2312" w:cs="Times New Roman"/>
          <w:sz w:val="32"/>
          <w:szCs w:val="32"/>
        </w:rPr>
        <w:t>中共廊坊市广阳区委区直机关工作委员会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0" w:firstLineChars="200"/>
        <w:rPr>
          <w:rFonts w:ascii="仿宋_GB2312" w:eastAsia="仿宋_GB2312"/>
          <w:sz w:val="32"/>
          <w:szCs w:val="32"/>
        </w:rPr>
      </w:pPr>
      <w:r>
        <w:rPr>
          <w:rFonts w:hint="eastAsia" w:ascii="仿宋_GB2312" w:eastAsia="仿宋_GB2312"/>
          <w:sz w:val="32"/>
          <w:szCs w:val="32"/>
        </w:rPr>
        <w:t>(一）统一组织、规划、部署区直机关党的工作，提出加强和改进机关党的建设的意见</w:t>
      </w:r>
      <w:r>
        <w:rPr>
          <w:rFonts w:hint="eastAsia" w:ascii="仿宋_GB2312" w:hAnsi="仿宋_GB2312" w:eastAsia="仿宋_GB2312" w:cs="仿宋_GB2312"/>
          <w:sz w:val="32"/>
          <w:szCs w:val="32"/>
        </w:rPr>
        <w:t>和建议，研究制定工作规</w:t>
      </w:r>
      <w:r>
        <w:rPr>
          <w:rFonts w:hint="eastAsia" w:ascii="仿宋_GB2312" w:eastAsia="仿宋_GB2312"/>
          <w:sz w:val="32"/>
          <w:szCs w:val="32"/>
        </w:rPr>
        <w:t>划，并抓好组织实施。</w:t>
      </w:r>
    </w:p>
    <w:p>
      <w:pPr>
        <w:ind w:firstLine="640" w:firstLineChars="200"/>
        <w:rPr>
          <w:rFonts w:ascii="仿宋_GB2312" w:eastAsia="仿宋_GB2312"/>
          <w:sz w:val="32"/>
          <w:szCs w:val="32"/>
        </w:rPr>
      </w:pPr>
      <w:r>
        <w:rPr>
          <w:rFonts w:hint="eastAsia" w:ascii="仿宋_GB2312" w:eastAsia="仿宋_GB2312"/>
          <w:sz w:val="32"/>
          <w:szCs w:val="32"/>
        </w:rPr>
        <w:t>(二）指导区直机关党的政治建设、思想建设、组织建设、作风建设、纪律建设，把制度建设贯彻其中，深入推进反腐败斗争。</w:t>
      </w:r>
    </w:p>
    <w:p>
      <w:pPr>
        <w:ind w:firstLine="640" w:firstLineChars="200"/>
        <w:rPr>
          <w:rFonts w:ascii="仿宋_GB2312" w:eastAsia="仿宋_GB2312"/>
          <w:sz w:val="32"/>
          <w:szCs w:val="32"/>
        </w:rPr>
      </w:pPr>
      <w:r>
        <w:rPr>
          <w:rFonts w:hint="eastAsia" w:ascii="仿宋_GB2312" w:eastAsia="仿宋_GB2312"/>
          <w:sz w:val="32"/>
          <w:szCs w:val="32"/>
        </w:rPr>
        <w:t>(三）指导区直机关各级党组织和广大党员学习马克思列宁主义、毛泽东思想、邓小平理论、“三个代表”重要思想、科学发展观、习近平新时代中国特色社会主义思想。</w:t>
      </w:r>
    </w:p>
    <w:p>
      <w:pPr>
        <w:ind w:firstLine="640" w:firstLineChars="200"/>
        <w:rPr>
          <w:rFonts w:ascii="仿宋_GB2312" w:eastAsia="仿宋_GB2312"/>
          <w:sz w:val="32"/>
          <w:szCs w:val="32"/>
        </w:rPr>
      </w:pPr>
      <w:r>
        <w:rPr>
          <w:rFonts w:hint="eastAsia" w:ascii="仿宋_GB2312" w:eastAsia="仿宋_GB2312"/>
          <w:sz w:val="32"/>
          <w:szCs w:val="32"/>
        </w:rPr>
        <w:t>(四）对区直机关各级党组织、党员领导干部落实党建责任制、遵守政治纪律和政治规矩情况进行监督检查，并向区委报告。</w:t>
      </w:r>
    </w:p>
    <w:p>
      <w:pPr>
        <w:ind w:firstLine="640" w:firstLineChars="200"/>
        <w:rPr>
          <w:rFonts w:ascii="仿宋_GB2312" w:eastAsia="仿宋_GB2312"/>
          <w:sz w:val="32"/>
          <w:szCs w:val="32"/>
        </w:rPr>
      </w:pPr>
      <w:r>
        <w:rPr>
          <w:rFonts w:hint="eastAsia" w:ascii="仿宋_GB2312" w:eastAsia="仿宋_GB2312"/>
          <w:sz w:val="32"/>
          <w:szCs w:val="32"/>
        </w:rPr>
        <w:t>(五）指导区</w:t>
      </w:r>
      <w:r>
        <w:rPr>
          <w:rFonts w:hint="eastAsia" w:ascii="仿宋_GB2312" w:hAnsi="仿宋_GB2312" w:eastAsia="仿宋_GB2312" w:cs="仿宋_GB2312"/>
          <w:sz w:val="32"/>
          <w:szCs w:val="32"/>
        </w:rPr>
        <w:t>直机关各级党组织实施对党员特别是党员</w:t>
      </w:r>
      <w:r>
        <w:rPr>
          <w:rFonts w:hint="eastAsia" w:ascii="仿宋_GB2312" w:eastAsia="仿宋_GB2312"/>
          <w:sz w:val="32"/>
          <w:szCs w:val="32"/>
        </w:rPr>
        <w:t>领导干部的监督和管理，</w:t>
      </w:r>
      <w:r>
        <w:rPr>
          <w:rFonts w:hint="eastAsia" w:ascii="仿宋_GB2312" w:hAnsi="Times New Roman" w:eastAsia="仿宋_GB2312" w:cs="仿宋_GB2312"/>
          <w:sz w:val="32"/>
          <w:szCs w:val="24"/>
        </w:rPr>
        <w:t>监督党员领导干部过好双重组织生活。</w:t>
      </w:r>
    </w:p>
    <w:p>
      <w:pPr>
        <w:ind w:firstLine="640" w:firstLineChars="200"/>
        <w:rPr>
          <w:rFonts w:ascii="仿宋_GB2312" w:eastAsia="仿宋_GB2312"/>
          <w:sz w:val="32"/>
          <w:szCs w:val="32"/>
        </w:rPr>
      </w:pPr>
      <w:r>
        <w:rPr>
          <w:rFonts w:hint="eastAsia" w:ascii="仿宋_GB2312" w:eastAsia="仿宋_GB2312"/>
          <w:sz w:val="32"/>
          <w:szCs w:val="32"/>
        </w:rPr>
        <w:t>(六）督促指导区直机关各部门机关党委按期换届，审批关于召开党员大会或党员代表大会的请示。</w:t>
      </w:r>
      <w:r>
        <w:rPr>
          <w:rFonts w:hint="eastAsia" w:ascii="仿宋_GB2312" w:hAnsi="Times New Roman" w:eastAsia="仿宋_GB2312" w:cs="Times New Roman"/>
          <w:sz w:val="32"/>
          <w:szCs w:val="24"/>
        </w:rPr>
        <w:t>按照党章和基层党组织选举工作暂行条例规定，负责审批区直机关直属党组织设置及委员会组成。</w:t>
      </w:r>
    </w:p>
    <w:p>
      <w:pPr>
        <w:ind w:firstLine="640" w:firstLineChars="200"/>
        <w:rPr>
          <w:rFonts w:ascii="仿宋_GB2312" w:eastAsia="仿宋_GB2312"/>
          <w:sz w:val="32"/>
          <w:szCs w:val="32"/>
        </w:rPr>
      </w:pPr>
      <w:r>
        <w:rPr>
          <w:rFonts w:hint="eastAsia" w:ascii="仿宋_GB2312" w:eastAsia="仿宋_GB2312"/>
          <w:sz w:val="32"/>
          <w:szCs w:val="32"/>
        </w:rPr>
        <w:t>(七）指导各级党组织加强基层组织建设，做好党员发展、教育管理等工作。</w:t>
      </w:r>
    </w:p>
    <w:p>
      <w:pPr>
        <w:ind w:firstLine="640" w:firstLineChars="200"/>
        <w:rPr>
          <w:rFonts w:ascii="仿宋_GB2312" w:eastAsia="仿宋_GB2312"/>
          <w:sz w:val="32"/>
          <w:szCs w:val="32"/>
        </w:rPr>
      </w:pPr>
      <w:r>
        <w:rPr>
          <w:rFonts w:hint="eastAsia" w:ascii="仿宋_GB2312" w:eastAsia="仿宋_GB2312"/>
          <w:sz w:val="32"/>
          <w:szCs w:val="32"/>
        </w:rPr>
        <w:t>(八）了解掌握区直机关工作人员的思想状况，指导</w:t>
      </w:r>
      <w:r>
        <w:rPr>
          <w:rFonts w:hint="eastAsia" w:ascii="仿宋_GB2312" w:hAnsi="仿宋_GB2312" w:eastAsia="仿宋_GB2312" w:cs="仿宋_GB2312"/>
          <w:sz w:val="32"/>
          <w:szCs w:val="32"/>
        </w:rPr>
        <w:t>区</w:t>
      </w:r>
      <w:r>
        <w:rPr>
          <w:rFonts w:hint="eastAsia" w:ascii="仿宋_GB2312" w:eastAsia="仿宋_GB2312"/>
          <w:sz w:val="32"/>
          <w:szCs w:val="32"/>
        </w:rPr>
        <w:t>直机关各级党组织加强</w:t>
      </w:r>
      <w:r>
        <w:rPr>
          <w:rFonts w:hint="eastAsia" w:ascii="仿宋_GB2312" w:hAnsi="仿宋_GB2312" w:eastAsia="仿宋_GB2312" w:cs="仿宋_GB2312"/>
          <w:sz w:val="32"/>
          <w:szCs w:val="32"/>
        </w:rPr>
        <w:t>思想政治工作和精神文明建设</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(九）协同有关部门指导、规划、协调、监督区直机关党员干部教育培训工作，组织实施有关党员干部教育培训重点任务。</w:t>
      </w:r>
    </w:p>
    <w:p>
      <w:pPr>
        <w:ind w:firstLine="640" w:firstLineChars="200"/>
        <w:rPr>
          <w:rFonts w:ascii="仿宋_GB2312" w:hAnsi="宋体" w:eastAsia="仿宋_GB2312" w:cs="宋体"/>
          <w:sz w:val="32"/>
          <w:szCs w:val="32"/>
        </w:rPr>
      </w:pPr>
      <w:r>
        <w:rPr>
          <w:rFonts w:hint="eastAsia" w:ascii="仿宋_GB2312" w:eastAsia="仿宋_GB2312"/>
          <w:sz w:val="32"/>
          <w:szCs w:val="32"/>
        </w:rPr>
        <w:t>（十）协助有关部门协调区直机关各部门做好维护稳定等工作。</w:t>
      </w:r>
    </w:p>
    <w:p>
      <w:pPr>
        <w:ind w:firstLine="640" w:firstLineChars="200"/>
        <w:rPr>
          <w:rFonts w:ascii="仿宋_GB2312" w:eastAsia="仿宋_GB2312"/>
          <w:sz w:val="32"/>
          <w:szCs w:val="32"/>
        </w:rPr>
      </w:pPr>
      <w:r>
        <w:rPr>
          <w:rFonts w:hint="eastAsia" w:ascii="仿宋_GB2312" w:eastAsia="仿宋_GB2312"/>
          <w:sz w:val="32"/>
          <w:szCs w:val="32"/>
        </w:rPr>
        <w:t>(十一）完成区委交办的其他任务。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中共廊坊市广阳区委区直机关工作委员会</w:t>
            </w:r>
          </w:p>
          <w:p>
            <w:pPr>
              <w:spacing w:line="584" w:lineRule="exact"/>
              <w:jc w:val="center"/>
              <w:rPr>
                <w:rFonts w:ascii="仿宋" w:eastAsia="仿宋" w:cs="ArialUnicodeMS"/>
                <w:kern w:val="0"/>
                <w:sz w:val="24"/>
              </w:rPr>
            </w:pP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w:t>
            </w:r>
            <w:r>
              <w:rPr>
                <w:rFonts w:hint="eastAsia" w:ascii="Times New Roman" w:hAnsi="Times New Roman" w:eastAsia="仿宋_GB2312" w:cs="Times New Roman"/>
                <w:b/>
              </w:rPr>
              <w:t>科</w:t>
            </w:r>
            <w:r>
              <w:rPr>
                <w:rFonts w:ascii="Times New Roman" w:hAnsi="Times New Roman" w:eastAsia="仿宋_GB2312" w:cs="Times New Roman"/>
                <w:b/>
              </w:rPr>
              <w:t>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中共廊坊市广阳区委区直机关工作委员会</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90.68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90.68</w:t>
      </w:r>
      <w:r>
        <w:rPr>
          <w:rFonts w:ascii="Times New Roman" w:hAnsi="Times New Roman" w:eastAsia="仿宋_GB2312" w:cs="Times New Roman"/>
          <w:sz w:val="32"/>
          <w:szCs w:val="32"/>
        </w:rPr>
        <w:t>万元，基金预算收入0万元，财政专户核拨收入0万元，其他来源收入0万元。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cs="Times New Roman"/>
          <w:sz w:val="32"/>
          <w:szCs w:val="32"/>
        </w:rPr>
        <w:t>中共廊坊市广阳区委区直机关工作委员会</w:t>
      </w:r>
      <w:r>
        <w:rPr>
          <w:rFonts w:ascii="Times New Roman" w:hAnsi="Times New Roman" w:eastAsia="仿宋_GB2312" w:cs="Times New Roman"/>
          <w:sz w:val="32"/>
          <w:szCs w:val="32"/>
        </w:rPr>
        <w:t>2020年度部门预算中支出预算的总体情况。20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90.68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90.68</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79.37</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11.31</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万元，主要为工作经费、会议费、培训费</w:t>
      </w:r>
      <w:r>
        <w:rPr>
          <w:rFonts w:hint="eastAsia" w:ascii="Times New Roman" w:hAnsi="Times New Roman" w:eastAsia="仿宋_GB2312" w:cs="Times New Roman"/>
          <w:sz w:val="32"/>
          <w:szCs w:val="32"/>
        </w:rPr>
        <w:t>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90.68</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减少7.01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减少3.01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人员经费支出；项目支出</w:t>
      </w:r>
      <w:r>
        <w:rPr>
          <w:rFonts w:hint="eastAsia" w:ascii="Times New Roman" w:hAnsi="Times New Roman" w:eastAsia="仿宋_GB2312" w:cs="Times New Roman"/>
          <w:sz w:val="32"/>
          <w:szCs w:val="32"/>
        </w:rPr>
        <w:t>减少4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w:t>
      </w:r>
      <w:r>
        <w:rPr>
          <w:rFonts w:ascii="Times New Roman" w:hAnsi="Times New Roman" w:eastAsia="仿宋_GB2312" w:cs="Times New Roman"/>
          <w:sz w:val="32"/>
          <w:szCs w:val="32"/>
        </w:rPr>
        <w:t>项目支出</w:t>
      </w:r>
      <w:r>
        <w:rPr>
          <w:rFonts w:hint="eastAsia" w:ascii="Times New Roman" w:hAnsi="Times New Roman" w:eastAsia="仿宋_GB2312" w:cs="Times New Roman"/>
          <w:sz w:val="32"/>
          <w:szCs w:val="32"/>
        </w:rPr>
        <w:t>；其他支出</w:t>
      </w:r>
      <w:r>
        <w:rPr>
          <w:rFonts w:ascii="Times New Roman" w:hAnsi="Times New Roman" w:eastAsia="仿宋_GB2312" w:cs="Times New Roman"/>
          <w:sz w:val="32"/>
          <w:szCs w:val="32"/>
        </w:rPr>
        <w:t>无变化。</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11.31</w:t>
      </w:r>
      <w:r>
        <w:rPr>
          <w:rFonts w:ascii="Times New Roman" w:hAnsi="Times New Roman" w:eastAsia="仿宋_GB2312" w:cs="Times New Roman"/>
          <w:sz w:val="32"/>
          <w:szCs w:val="32"/>
        </w:rPr>
        <w:t>万元，主要用于日常维修、办公用房水电费、办公用房取暖费、办公用房物业管理费等日常运行支出。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2020年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万元（其中：公务用车购置费为0万元，公务用车运维费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color w:val="000000"/>
          <w:sz w:val="32"/>
          <w:szCs w:val="32"/>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hint="eastAsia" w:ascii="Times New Roman" w:hAnsi="Times New Roman" w:eastAsia="楷体_GB2312" w:cs="Times New Roman"/>
          <w:b/>
          <w:sz w:val="32"/>
          <w:szCs w:val="32"/>
        </w:rPr>
        <w:t>第一部分  部门整体绩效目标</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（一）总体绩效目标</w:t>
      </w:r>
    </w:p>
    <w:p>
      <w:pPr>
        <w:spacing w:line="584" w:lineRule="exact"/>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通过重点推进党员培训教育、</w:t>
      </w:r>
      <w:r>
        <w:rPr>
          <w:rFonts w:hint="eastAsia" w:ascii="仿宋_GB2312" w:hAnsi="黑体" w:eastAsia="仿宋_GB2312" w:cs="Times New Roman"/>
          <w:sz w:val="32"/>
          <w:szCs w:val="32"/>
        </w:rPr>
        <w:t>区直</w:t>
      </w:r>
      <w:r>
        <w:rPr>
          <w:rFonts w:ascii="仿宋_GB2312" w:hAnsi="黑体" w:eastAsia="仿宋_GB2312" w:cs="Times New Roman"/>
          <w:sz w:val="32"/>
          <w:szCs w:val="32"/>
        </w:rPr>
        <w:t>党建督查、廉政文化宣传以及</w:t>
      </w:r>
      <w:r>
        <w:rPr>
          <w:rFonts w:hint="eastAsia" w:ascii="仿宋_GB2312" w:hAnsi="黑体" w:eastAsia="仿宋_GB2312" w:cs="Times New Roman"/>
          <w:sz w:val="32"/>
          <w:szCs w:val="32"/>
        </w:rPr>
        <w:t>区直</w:t>
      </w:r>
      <w:r>
        <w:rPr>
          <w:rFonts w:ascii="仿宋_GB2312" w:hAnsi="黑体" w:eastAsia="仿宋_GB2312" w:cs="Times New Roman"/>
          <w:sz w:val="32"/>
          <w:szCs w:val="32"/>
        </w:rPr>
        <w:t>违纪案件审理等工作，全面提升</w:t>
      </w:r>
      <w:r>
        <w:rPr>
          <w:rFonts w:hint="eastAsia" w:ascii="仿宋_GB2312" w:hAnsi="黑体" w:eastAsia="仿宋_GB2312" w:cs="Times New Roman"/>
          <w:sz w:val="32"/>
          <w:szCs w:val="32"/>
        </w:rPr>
        <w:t>区直</w:t>
      </w:r>
      <w:r>
        <w:rPr>
          <w:rFonts w:ascii="仿宋_GB2312" w:hAnsi="黑体" w:eastAsia="仿宋_GB2312" w:cs="Times New Roman"/>
          <w:sz w:val="32"/>
          <w:szCs w:val="32"/>
        </w:rPr>
        <w:t>机关党建工作水平，促进</w:t>
      </w:r>
      <w:r>
        <w:rPr>
          <w:rFonts w:hint="eastAsia" w:ascii="仿宋_GB2312" w:hAnsi="黑体" w:eastAsia="仿宋_GB2312" w:cs="Times New Roman"/>
          <w:sz w:val="32"/>
          <w:szCs w:val="32"/>
        </w:rPr>
        <w:t>区</w:t>
      </w:r>
      <w:r>
        <w:rPr>
          <w:rFonts w:ascii="仿宋_GB2312" w:hAnsi="黑体" w:eastAsia="仿宋_GB2312" w:cs="Times New Roman"/>
          <w:sz w:val="32"/>
          <w:szCs w:val="32"/>
        </w:rPr>
        <w:t>直机关及窗口单位作风转变，为</w:t>
      </w:r>
      <w:r>
        <w:rPr>
          <w:rFonts w:hint="eastAsia" w:ascii="仿宋_GB2312" w:hAnsi="黑体" w:eastAsia="仿宋_GB2312" w:cs="Times New Roman"/>
          <w:sz w:val="32"/>
          <w:szCs w:val="32"/>
        </w:rPr>
        <w:t>区</w:t>
      </w:r>
      <w:r>
        <w:rPr>
          <w:rFonts w:ascii="仿宋_GB2312" w:hAnsi="黑体" w:eastAsia="仿宋_GB2312" w:cs="Times New Roman"/>
          <w:sz w:val="32"/>
          <w:szCs w:val="32"/>
        </w:rPr>
        <w:t>直各项工作的良好推进打牢思想政治基础。</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（二）分项绩效目标</w:t>
      </w:r>
    </w:p>
    <w:p>
      <w:pPr>
        <w:spacing w:line="584"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w:t>
      </w:r>
      <w:r>
        <w:rPr>
          <w:rFonts w:ascii="仿宋_GB2312" w:hAnsi="黑体" w:eastAsia="仿宋_GB2312" w:cs="Times New Roman"/>
          <w:sz w:val="32"/>
          <w:szCs w:val="32"/>
        </w:rPr>
        <w:t>加强基层党组织建设</w:t>
      </w:r>
    </w:p>
    <w:p>
      <w:pPr>
        <w:spacing w:line="584" w:lineRule="exact"/>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绩效目标：加强</w:t>
      </w:r>
      <w:r>
        <w:rPr>
          <w:rFonts w:hint="eastAsia" w:ascii="仿宋_GB2312" w:hAnsi="黑体" w:eastAsia="仿宋_GB2312" w:cs="Times New Roman"/>
          <w:sz w:val="32"/>
          <w:szCs w:val="32"/>
        </w:rPr>
        <w:t>区</w:t>
      </w:r>
      <w:r>
        <w:rPr>
          <w:rFonts w:ascii="仿宋_GB2312" w:hAnsi="黑体" w:eastAsia="仿宋_GB2312" w:cs="Times New Roman"/>
          <w:sz w:val="32"/>
          <w:szCs w:val="32"/>
        </w:rPr>
        <w:t>直机关学习型、创新型、服务型党组织建设力度，发挥党建工作的政治优势推动事业发展。</w:t>
      </w:r>
    </w:p>
    <w:p>
      <w:pPr>
        <w:spacing w:line="584" w:lineRule="exact"/>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绩效指标：全年完成</w:t>
      </w:r>
      <w:r>
        <w:rPr>
          <w:rFonts w:hint="eastAsia" w:ascii="仿宋_GB2312" w:hAnsi="黑体" w:eastAsia="仿宋_GB2312" w:cs="Times New Roman"/>
          <w:sz w:val="32"/>
          <w:szCs w:val="32"/>
        </w:rPr>
        <w:t>区</w:t>
      </w:r>
      <w:r>
        <w:rPr>
          <w:rFonts w:ascii="仿宋_GB2312" w:hAnsi="黑体" w:eastAsia="仿宋_GB2312" w:cs="Times New Roman"/>
          <w:sz w:val="32"/>
          <w:szCs w:val="32"/>
        </w:rPr>
        <w:t>直机关党</w:t>
      </w:r>
      <w:r>
        <w:rPr>
          <w:rFonts w:hint="eastAsia" w:ascii="仿宋_GB2312" w:hAnsi="黑体" w:eastAsia="仿宋_GB2312" w:cs="Times New Roman"/>
          <w:sz w:val="32"/>
          <w:szCs w:val="32"/>
        </w:rPr>
        <w:t>务干部</w:t>
      </w:r>
      <w:r>
        <w:rPr>
          <w:rFonts w:ascii="仿宋_GB2312" w:hAnsi="黑体" w:eastAsia="仿宋_GB2312" w:cs="Times New Roman"/>
          <w:sz w:val="32"/>
          <w:szCs w:val="32"/>
        </w:rPr>
        <w:t>培训</w:t>
      </w:r>
      <w:r>
        <w:rPr>
          <w:rFonts w:hint="eastAsia" w:ascii="仿宋_GB2312" w:hAnsi="黑体" w:eastAsia="仿宋_GB2312" w:cs="Times New Roman"/>
          <w:sz w:val="32"/>
          <w:szCs w:val="32"/>
        </w:rPr>
        <w:t>2</w:t>
      </w:r>
      <w:r>
        <w:rPr>
          <w:rFonts w:ascii="仿宋_GB2312" w:hAnsi="黑体" w:eastAsia="仿宋_GB2312" w:cs="Times New Roman"/>
          <w:sz w:val="32"/>
          <w:szCs w:val="32"/>
        </w:rPr>
        <w:t>次，提升</w:t>
      </w:r>
      <w:r>
        <w:rPr>
          <w:rFonts w:hint="eastAsia" w:ascii="仿宋_GB2312" w:hAnsi="黑体" w:eastAsia="仿宋_GB2312" w:cs="Times New Roman"/>
          <w:sz w:val="32"/>
          <w:szCs w:val="32"/>
        </w:rPr>
        <w:t>区</w:t>
      </w:r>
      <w:r>
        <w:rPr>
          <w:rFonts w:ascii="仿宋_GB2312" w:hAnsi="黑体" w:eastAsia="仿宋_GB2312" w:cs="Times New Roman"/>
          <w:sz w:val="32"/>
          <w:szCs w:val="32"/>
        </w:rPr>
        <w:t>直机关党员政治素质。</w:t>
      </w:r>
      <w:r>
        <w:rPr>
          <w:rFonts w:hint="eastAsia" w:ascii="仿宋_GB2312" w:hAnsi="黑体" w:eastAsia="仿宋_GB2312" w:cs="Times New Roman"/>
          <w:sz w:val="32"/>
          <w:szCs w:val="32"/>
        </w:rPr>
        <w:t>2、</w:t>
      </w:r>
      <w:r>
        <w:rPr>
          <w:rFonts w:ascii="仿宋_GB2312" w:hAnsi="黑体" w:eastAsia="仿宋_GB2312" w:cs="Times New Roman"/>
          <w:sz w:val="32"/>
          <w:szCs w:val="32"/>
        </w:rPr>
        <w:t>促进党员干部素质提升</w:t>
      </w:r>
    </w:p>
    <w:p>
      <w:pPr>
        <w:spacing w:line="584" w:lineRule="exact"/>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绩效目标：进一步提升</w:t>
      </w:r>
      <w:r>
        <w:rPr>
          <w:rFonts w:hint="eastAsia" w:ascii="仿宋_GB2312" w:hAnsi="黑体" w:eastAsia="仿宋_GB2312" w:cs="Times New Roman"/>
          <w:sz w:val="32"/>
          <w:szCs w:val="32"/>
        </w:rPr>
        <w:t>区</w:t>
      </w:r>
      <w:r>
        <w:rPr>
          <w:rFonts w:ascii="仿宋_GB2312" w:hAnsi="黑体" w:eastAsia="仿宋_GB2312" w:cs="Times New Roman"/>
          <w:sz w:val="32"/>
          <w:szCs w:val="32"/>
        </w:rPr>
        <w:t>直机关党员干部职工践行社会主义核心价值观的能力，提振精神状态，提升服务质量，为提升廊坊软实力夯实基础。</w:t>
      </w:r>
    </w:p>
    <w:p>
      <w:pPr>
        <w:spacing w:line="584" w:lineRule="exact"/>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绩效指标：组织75%以上</w:t>
      </w:r>
      <w:r>
        <w:rPr>
          <w:rFonts w:hint="eastAsia" w:ascii="仿宋_GB2312" w:hAnsi="黑体" w:eastAsia="仿宋_GB2312" w:cs="Times New Roman"/>
          <w:sz w:val="32"/>
          <w:szCs w:val="32"/>
        </w:rPr>
        <w:t>区</w:t>
      </w:r>
      <w:r>
        <w:rPr>
          <w:rFonts w:ascii="仿宋_GB2312" w:hAnsi="黑体" w:eastAsia="仿宋_GB2312" w:cs="Times New Roman"/>
          <w:sz w:val="32"/>
          <w:szCs w:val="32"/>
        </w:rPr>
        <w:t>直单位党</w:t>
      </w:r>
      <w:r>
        <w:rPr>
          <w:rFonts w:hint="eastAsia" w:ascii="仿宋_GB2312" w:hAnsi="黑体" w:eastAsia="仿宋_GB2312" w:cs="Times New Roman"/>
          <w:sz w:val="32"/>
          <w:szCs w:val="32"/>
        </w:rPr>
        <w:t>务干部</w:t>
      </w:r>
      <w:r>
        <w:rPr>
          <w:rFonts w:ascii="仿宋_GB2312" w:hAnsi="黑体" w:eastAsia="仿宋_GB2312" w:cs="Times New Roman"/>
          <w:sz w:val="32"/>
          <w:szCs w:val="32"/>
        </w:rPr>
        <w:t>培训</w:t>
      </w:r>
      <w:r>
        <w:rPr>
          <w:rFonts w:hint="eastAsia" w:ascii="仿宋_GB2312" w:hAnsi="黑体" w:eastAsia="仿宋_GB2312" w:cs="Times New Roman"/>
          <w:sz w:val="32"/>
          <w:szCs w:val="32"/>
        </w:rPr>
        <w:t>2</w:t>
      </w:r>
      <w:r>
        <w:rPr>
          <w:rFonts w:ascii="仿宋_GB2312" w:hAnsi="黑体" w:eastAsia="仿宋_GB2312" w:cs="Times New Roman"/>
          <w:sz w:val="32"/>
          <w:szCs w:val="32"/>
        </w:rPr>
        <w:t>次，持续提升</w:t>
      </w:r>
      <w:r>
        <w:rPr>
          <w:rFonts w:hint="eastAsia" w:ascii="仿宋_GB2312" w:hAnsi="黑体" w:eastAsia="仿宋_GB2312" w:cs="Times New Roman"/>
          <w:sz w:val="32"/>
          <w:szCs w:val="32"/>
        </w:rPr>
        <w:t>区</w:t>
      </w:r>
      <w:r>
        <w:rPr>
          <w:rFonts w:ascii="仿宋_GB2312" w:hAnsi="黑体" w:eastAsia="仿宋_GB2312" w:cs="Times New Roman"/>
          <w:sz w:val="32"/>
          <w:szCs w:val="32"/>
        </w:rPr>
        <w:t>直机关党员干部</w:t>
      </w:r>
      <w:r>
        <w:rPr>
          <w:rFonts w:hint="eastAsia" w:ascii="仿宋_GB2312" w:hAnsi="黑体" w:eastAsia="仿宋_GB2312" w:cs="Times New Roman"/>
          <w:sz w:val="32"/>
          <w:szCs w:val="32"/>
        </w:rPr>
        <w:t>整体素质</w:t>
      </w:r>
      <w:r>
        <w:rPr>
          <w:rFonts w:ascii="仿宋_GB2312" w:hAnsi="黑体" w:eastAsia="仿宋_GB2312" w:cs="Times New Roman"/>
          <w:sz w:val="32"/>
          <w:szCs w:val="32"/>
        </w:rPr>
        <w:t>。</w:t>
      </w:r>
    </w:p>
    <w:p>
      <w:pPr>
        <w:spacing w:line="584" w:lineRule="exact"/>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绩效目标：开拓创新工作思路，确保</w:t>
      </w:r>
      <w:r>
        <w:rPr>
          <w:rFonts w:hint="eastAsia" w:ascii="仿宋_GB2312" w:hAnsi="黑体" w:eastAsia="仿宋_GB2312" w:cs="Times New Roman"/>
          <w:sz w:val="32"/>
          <w:szCs w:val="32"/>
        </w:rPr>
        <w:t>区</w:t>
      </w:r>
      <w:r>
        <w:rPr>
          <w:rFonts w:ascii="仿宋_GB2312" w:hAnsi="黑体" w:eastAsia="仿宋_GB2312" w:cs="Times New Roman"/>
          <w:sz w:val="32"/>
          <w:szCs w:val="32"/>
        </w:rPr>
        <w:t>直机关党建工作提升、作风转变、效能提高。</w:t>
      </w:r>
    </w:p>
    <w:p>
      <w:pPr>
        <w:spacing w:line="584" w:lineRule="exact"/>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绩效指标：年度内对</w:t>
      </w:r>
      <w:r>
        <w:rPr>
          <w:rFonts w:hint="eastAsia" w:ascii="仿宋_GB2312" w:hAnsi="黑体" w:eastAsia="仿宋_GB2312" w:cs="Times New Roman"/>
          <w:sz w:val="32"/>
          <w:szCs w:val="32"/>
        </w:rPr>
        <w:t>区</w:t>
      </w:r>
      <w:r>
        <w:rPr>
          <w:rFonts w:ascii="仿宋_GB2312" w:hAnsi="黑体" w:eastAsia="仿宋_GB2312" w:cs="Times New Roman"/>
          <w:sz w:val="32"/>
          <w:szCs w:val="32"/>
        </w:rPr>
        <w:t>直单位进行至少3次培训，至少每</w:t>
      </w:r>
      <w:r>
        <w:rPr>
          <w:rFonts w:hint="eastAsia" w:ascii="仿宋_GB2312" w:hAnsi="黑体" w:eastAsia="仿宋_GB2312" w:cs="Times New Roman"/>
          <w:sz w:val="32"/>
          <w:szCs w:val="32"/>
        </w:rPr>
        <w:t>季度</w:t>
      </w:r>
      <w:r>
        <w:rPr>
          <w:rFonts w:ascii="仿宋_GB2312" w:hAnsi="黑体" w:eastAsia="仿宋_GB2312" w:cs="Times New Roman"/>
          <w:sz w:val="32"/>
          <w:szCs w:val="32"/>
        </w:rPr>
        <w:t>组织一次对</w:t>
      </w:r>
      <w:r>
        <w:rPr>
          <w:rFonts w:hint="eastAsia" w:ascii="仿宋_GB2312" w:hAnsi="黑体" w:eastAsia="仿宋_GB2312" w:cs="Times New Roman"/>
          <w:sz w:val="32"/>
          <w:szCs w:val="32"/>
        </w:rPr>
        <w:t>区</w:t>
      </w:r>
      <w:r>
        <w:rPr>
          <w:rFonts w:ascii="仿宋_GB2312" w:hAnsi="黑体" w:eastAsia="仿宋_GB2312" w:cs="Times New Roman"/>
          <w:sz w:val="32"/>
          <w:szCs w:val="32"/>
        </w:rPr>
        <w:t>直机关党建的督查。</w:t>
      </w:r>
    </w:p>
    <w:p>
      <w:pPr>
        <w:spacing w:line="584"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4、</w:t>
      </w:r>
      <w:r>
        <w:rPr>
          <w:rFonts w:ascii="仿宋_GB2312" w:hAnsi="黑体" w:eastAsia="仿宋_GB2312" w:cs="Times New Roman"/>
          <w:sz w:val="32"/>
          <w:szCs w:val="32"/>
        </w:rPr>
        <w:t>纪检及廉政建设目标情况</w:t>
      </w:r>
    </w:p>
    <w:p>
      <w:pPr>
        <w:spacing w:line="584" w:lineRule="exact"/>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绩效目标：进一步推进</w:t>
      </w:r>
      <w:r>
        <w:rPr>
          <w:rFonts w:hint="eastAsia" w:ascii="仿宋_GB2312" w:hAnsi="黑体" w:eastAsia="仿宋_GB2312" w:cs="Times New Roman"/>
          <w:sz w:val="32"/>
          <w:szCs w:val="32"/>
        </w:rPr>
        <w:t>区</w:t>
      </w:r>
      <w:r>
        <w:rPr>
          <w:rFonts w:ascii="仿宋_GB2312" w:hAnsi="黑体" w:eastAsia="仿宋_GB2312" w:cs="Times New Roman"/>
          <w:sz w:val="32"/>
          <w:szCs w:val="32"/>
        </w:rPr>
        <w:t>直机关作风转变，推进</w:t>
      </w:r>
      <w:r>
        <w:rPr>
          <w:rFonts w:hint="eastAsia" w:ascii="仿宋_GB2312" w:hAnsi="黑体" w:eastAsia="仿宋_GB2312" w:cs="Times New Roman"/>
          <w:sz w:val="32"/>
          <w:szCs w:val="32"/>
        </w:rPr>
        <w:t>区</w:t>
      </w:r>
      <w:r>
        <w:rPr>
          <w:rFonts w:ascii="仿宋_GB2312" w:hAnsi="黑体" w:eastAsia="仿宋_GB2312" w:cs="Times New Roman"/>
          <w:sz w:val="32"/>
          <w:szCs w:val="32"/>
        </w:rPr>
        <w:t>直机关党风廉政建设和反腐败工作扎实开展。</w:t>
      </w:r>
    </w:p>
    <w:p>
      <w:pPr>
        <w:spacing w:line="584" w:lineRule="exact"/>
        <w:ind w:firstLine="640" w:firstLineChars="200"/>
        <w:rPr>
          <w:rFonts w:ascii="仿宋_GB2312" w:hAnsi="黑体" w:eastAsia="仿宋_GB2312" w:cs="Times New Roman"/>
          <w:sz w:val="32"/>
          <w:szCs w:val="32"/>
        </w:rPr>
      </w:pPr>
      <w:r>
        <w:rPr>
          <w:rFonts w:ascii="仿宋_GB2312" w:hAnsi="黑体" w:eastAsia="仿宋_GB2312" w:cs="Times New Roman"/>
          <w:sz w:val="32"/>
          <w:szCs w:val="32"/>
        </w:rPr>
        <w:t>绩效指标：年度内开展3次以上廉政教育培训，对80%以上的</w:t>
      </w:r>
      <w:r>
        <w:rPr>
          <w:rFonts w:hint="eastAsia" w:ascii="仿宋_GB2312" w:hAnsi="黑体" w:eastAsia="仿宋_GB2312" w:cs="Times New Roman"/>
          <w:sz w:val="32"/>
          <w:szCs w:val="32"/>
        </w:rPr>
        <w:t>区</w:t>
      </w:r>
      <w:r>
        <w:rPr>
          <w:rFonts w:ascii="仿宋_GB2312" w:hAnsi="黑体" w:eastAsia="仿宋_GB2312" w:cs="Times New Roman"/>
          <w:sz w:val="32"/>
          <w:szCs w:val="32"/>
        </w:rPr>
        <w:t>直单位进行作风纪律督导，积极审理科级以及下党员违纪案件。</w:t>
      </w:r>
    </w:p>
    <w:p>
      <w:pPr>
        <w:spacing w:line="584" w:lineRule="exact"/>
        <w:ind w:firstLine="643" w:firstLineChars="200"/>
        <w:rPr>
          <w:rFonts w:ascii="楷体_GB2312" w:hAnsi="黑体" w:eastAsia="楷体_GB2312" w:cs="Times New Roman"/>
          <w:b/>
          <w:sz w:val="32"/>
          <w:szCs w:val="32"/>
        </w:rPr>
      </w:pPr>
      <w:r>
        <w:rPr>
          <w:rFonts w:hint="eastAsia" w:ascii="楷体_GB2312" w:hAnsi="黑体" w:eastAsia="楷体_GB2312" w:cs="Times New Roman"/>
          <w:b/>
          <w:sz w:val="32"/>
          <w:szCs w:val="32"/>
        </w:rPr>
        <w:t>（三）工作保障措施</w:t>
      </w:r>
    </w:p>
    <w:p>
      <w:pPr>
        <w:spacing w:line="584"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1、</w:t>
      </w:r>
      <w:r>
        <w:rPr>
          <w:rFonts w:ascii="仿宋_GB2312" w:hAnsi="黑体" w:eastAsia="仿宋_GB2312" w:cs="Times New Roman"/>
          <w:sz w:val="32"/>
          <w:szCs w:val="32"/>
        </w:rPr>
        <w:t>完善制度建设。结合本部门实际情况，制定和完善切实可行的预算绩效管理制度、资金管理办法、工作保障制度等，明确各科室各项工作职责，为全年绩效目标的实现奠定制度基础。在制度执行过程中，不断发现问题，优化制度，切实发挥制度效用。</w:t>
      </w:r>
    </w:p>
    <w:p>
      <w:pPr>
        <w:spacing w:line="584"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w:t>
      </w:r>
      <w:r>
        <w:rPr>
          <w:rFonts w:ascii="仿宋_GB2312" w:hAnsi="黑体" w:eastAsia="仿宋_GB2312" w:cs="Times New Roman"/>
          <w:sz w:val="32"/>
          <w:szCs w:val="32"/>
        </w:rPr>
        <w:t>加强支出管理。实施台账化管理，将全年工作与预算执行相结合，细化各项工作的资金安排。督促各职能科室尽快启动项目、及时支付资金等措施，确保支出进度达标。</w:t>
      </w:r>
    </w:p>
    <w:p>
      <w:pPr>
        <w:spacing w:line="584"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3、</w:t>
      </w:r>
      <w:r>
        <w:rPr>
          <w:rFonts w:ascii="仿宋_GB2312" w:hAnsi="黑体" w:eastAsia="仿宋_GB2312" w:cs="Times New Roman"/>
          <w:sz w:val="32"/>
          <w:szCs w:val="32"/>
        </w:rPr>
        <w:t>加强绩效运行监控。按照预算绩效管理制度安排，严格开展绩效运行监控</w:t>
      </w:r>
      <w:r>
        <w:rPr>
          <w:rFonts w:hint="eastAsia" w:ascii="仿宋_GB2312" w:hAnsi="黑体" w:eastAsia="仿宋_GB2312" w:cs="Times New Roman"/>
          <w:sz w:val="32"/>
          <w:szCs w:val="32"/>
        </w:rPr>
        <w:t>，</w:t>
      </w:r>
      <w:r>
        <w:rPr>
          <w:rFonts w:ascii="仿宋_GB2312" w:hAnsi="黑体" w:eastAsia="仿宋_GB2312" w:cs="Times New Roman"/>
          <w:sz w:val="32"/>
          <w:szCs w:val="32"/>
        </w:rPr>
        <w:t>发现问题及时采取措施，确保绩效目标如期保质实现。</w:t>
      </w:r>
    </w:p>
    <w:p>
      <w:pPr>
        <w:spacing w:line="584"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4、</w:t>
      </w:r>
      <w:r>
        <w:rPr>
          <w:rFonts w:ascii="仿宋_GB2312" w:hAnsi="黑体" w:eastAsia="仿宋_GB2312" w:cs="Times New Roman"/>
          <w:sz w:val="32"/>
          <w:szCs w:val="32"/>
        </w:rPr>
        <w:t>做好绩效评价。按要求认真细化开展上年度部门预算绩效自评和重点评价工作。在评价中发现问题，在评价中挖掘原因，商讨对策。所有问题建立责任清单，及时对照整改，逐步销号。针对已经出现过的问题，及时调整优化支出结构，提高财政资金使用效益。</w:t>
      </w:r>
    </w:p>
    <w:p>
      <w:pPr>
        <w:spacing w:line="584"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5、</w:t>
      </w:r>
      <w:r>
        <w:rPr>
          <w:rFonts w:ascii="仿宋_GB2312" w:hAnsi="黑体" w:eastAsia="仿宋_GB2312" w:cs="Times New Roman"/>
          <w:sz w:val="32"/>
          <w:szCs w:val="32"/>
        </w:rPr>
        <w:t>规范财务资产管理。根据实际情况，定期完善财务管理制度。对已经制度化的管理措施，严格执行，规范资金支出审批程序，加强固定资产登记、使用和报废处置管理，做到支出合理，物尽其用。</w:t>
      </w:r>
    </w:p>
    <w:p>
      <w:pPr>
        <w:spacing w:line="584"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6、</w:t>
      </w:r>
      <w:r>
        <w:rPr>
          <w:rFonts w:ascii="仿宋_GB2312" w:hAnsi="黑体" w:eastAsia="仿宋_GB2312" w:cs="Times New Roman"/>
          <w:sz w:val="32"/>
          <w:szCs w:val="32"/>
        </w:rPr>
        <w:t>加强内部监控。加强内部监督制度建设，充分发挥市直纪检监察工委的内部监督职能，加强对绩效运行情况、重大支出决策、资产处置及其他重要经济业务事项的决策和执行进行督导，对会计资料进行内部审计。财务人员每年按期将上年度财务账目报送会计师事务所审计，并配合做好审计、财政监督等外部监督工作，确保财政资金安全有效。</w:t>
      </w:r>
    </w:p>
    <w:p>
      <w:pPr>
        <w:spacing w:line="584"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7、</w:t>
      </w:r>
      <w:r>
        <w:rPr>
          <w:rFonts w:ascii="仿宋_GB2312" w:hAnsi="黑体" w:eastAsia="仿宋_GB2312" w:cs="Times New Roman"/>
          <w:sz w:val="32"/>
          <w:szCs w:val="32"/>
        </w:rPr>
        <w:t>加强宣传培训调研。根据财务最新规则，定期对本部门人员进行培训，提高本部门职工业务素质，使部门内所有人员懂财务懂绩效，在工作中能够更高效的使用财政资金；加强调研，加强与其他单位的交流学习，汲取优化财政资金配置、提高资金使用效益的方式方法；加大宣传力度，强化预算绩效管理意识，促进预算绩效管理水平进一步提升。</w:t>
      </w:r>
      <w:bookmarkEnd w:id="0"/>
    </w:p>
    <w:p>
      <w:pPr>
        <w:spacing w:line="584" w:lineRule="exact"/>
        <w:ind w:firstLine="640" w:firstLineChars="200"/>
        <w:rPr>
          <w:rFonts w:ascii="仿宋_GB2312" w:hAnsi="黑体"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autoSpaceDE w:val="0"/>
        <w:autoSpaceDN w:val="0"/>
        <w:adjustRightInd w:val="0"/>
        <w:spacing w:line="584" w:lineRule="exact"/>
        <w:ind w:firstLine="640" w:firstLineChars="200"/>
        <w:jc w:val="left"/>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2020年，我部门安排政府采购预算0万元，具体内容见下表。</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spacing w:line="584" w:lineRule="exact"/>
        <w:jc w:val="center"/>
        <w:outlineLvl w:val="0"/>
        <w:rPr>
          <w:rFonts w:ascii="Times New Roman" w:hAnsi="Times New Roman" w:eastAsia="仿宋_GB2312" w:cs="Times New Roman"/>
          <w:sz w:val="32"/>
        </w:rPr>
      </w:pPr>
      <w:bookmarkStart w:id="1" w:name="_Toc504489153"/>
      <w:bookmarkStart w:id="2" w:name="_Toc471398468"/>
      <w:r>
        <w:rPr>
          <w:rFonts w:ascii="Times New Roman" w:hAnsi="Times New Roman" w:eastAsia="仿宋_GB2312" w:cs="Times New Roman"/>
          <w:sz w:val="32"/>
        </w:rPr>
        <w:t>部门政府采购预算</w:t>
      </w:r>
      <w:bookmarkEnd w:id="1"/>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0"/>
        <w:gridCol w:w="982"/>
        <w:gridCol w:w="1075"/>
        <w:gridCol w:w="1303"/>
        <w:gridCol w:w="720"/>
        <w:gridCol w:w="734"/>
        <w:gridCol w:w="965"/>
        <w:gridCol w:w="956"/>
        <w:gridCol w:w="1236"/>
        <w:gridCol w:w="991"/>
        <w:gridCol w:w="1134"/>
        <w:gridCol w:w="1189"/>
        <w:gridCol w:w="8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7"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283中共廊坊市广阳区委区直机关工作委员会</w:t>
            </w:r>
          </w:p>
        </w:tc>
        <w:tc>
          <w:tcPr>
            <w:tcW w:w="2192" w:type="pct"/>
            <w:gridSpan w:val="6"/>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61"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69"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计</w:t>
            </w:r>
            <w:r>
              <w:rPr>
                <w:rFonts w:ascii="Times New Roman" w:hAnsi="Times New Roman" w:eastAsia="仿宋_GB2312" w:cs="Times New Roman"/>
                <w:b/>
              </w:rPr>
              <w:t>量单位</w:t>
            </w:r>
          </w:p>
        </w:tc>
        <w:tc>
          <w:tcPr>
            <w:tcW w:w="25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2" w:type="pct"/>
            <w:gridSpan w:val="6"/>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r>
              <w:rPr>
                <w:rFonts w:hint="eastAsia" w:ascii="Times New Roman" w:hAnsi="Times New Roman" w:eastAsia="仿宋_GB2312" w:cs="Times New Roman"/>
                <w:b/>
              </w:rPr>
              <w:t>（当年部门预算安排资金）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4" w:type="pct"/>
            <w:shd w:val="clear" w:color="auto" w:fill="auto"/>
            <w:vAlign w:val="center"/>
          </w:tcPr>
          <w:p>
            <w:pPr>
              <w:spacing w:line="584" w:lineRule="exact"/>
              <w:jc w:val="center"/>
              <w:outlineLvl w:val="0"/>
              <w:rPr>
                <w:rFonts w:ascii="Times New Roman" w:hAnsi="Times New Roman" w:eastAsia="仿宋_GB2312" w:cs="Times New Roman"/>
                <w:b/>
              </w:rPr>
            </w:pPr>
            <w:r>
              <w:rPr>
                <w:rFonts w:hint="eastAsia" w:ascii="Times New Roman" w:hAnsi="Times New Roman" w:eastAsia="仿宋_GB2312" w:cs="Times New Roman"/>
                <w:b/>
              </w:rPr>
              <w:t>项目名称</w:t>
            </w:r>
          </w:p>
        </w:tc>
        <w:tc>
          <w:tcPr>
            <w:tcW w:w="337" w:type="pct"/>
            <w:shd w:val="clear" w:color="auto" w:fill="auto"/>
            <w:vAlign w:val="center"/>
          </w:tcPr>
          <w:p>
            <w:pPr>
              <w:spacing w:line="584" w:lineRule="exact"/>
              <w:jc w:val="left"/>
              <w:outlineLvl w:val="0"/>
              <w:rPr>
                <w:rFonts w:ascii="Times New Roman" w:hAnsi="Times New Roman" w:eastAsia="仿宋_GB2312" w:cs="Times New Roman"/>
                <w:b/>
              </w:rPr>
            </w:pPr>
            <w:r>
              <w:rPr>
                <w:rFonts w:hint="eastAsia" w:ascii="Times New Roman" w:hAnsi="Times New Roman" w:eastAsia="仿宋_GB2312" w:cs="Times New Roman"/>
                <w:b/>
              </w:rPr>
              <w:t>预算资金</w:t>
            </w:r>
          </w:p>
        </w:tc>
        <w:tc>
          <w:tcPr>
            <w:tcW w:w="369"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424" w:type="pct"/>
            <w:tcBorders>
              <w:top w:val="nil"/>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340" w:type="pct"/>
            <w:tcBorders>
              <w:top w:val="nil"/>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89" w:type="pct"/>
            <w:tcBorders>
              <w:top w:val="nil"/>
              <w:left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国有资本经营预算</w:t>
            </w:r>
          </w:p>
        </w:tc>
        <w:tc>
          <w:tcPr>
            <w:tcW w:w="408" w:type="pct"/>
            <w:tcBorders>
              <w:top w:val="nil"/>
              <w:left w:val="single" w:color="auto" w:sz="4" w:space="0"/>
            </w:tcBorders>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03" w:type="pct"/>
            <w:shd w:val="clear" w:color="auto" w:fill="auto"/>
            <w:vAlign w:val="center"/>
          </w:tcPr>
          <w:p>
            <w:pPr>
              <w:spacing w:line="584" w:lineRule="exact"/>
              <w:jc w:val="left"/>
              <w:outlineLvl w:val="0"/>
              <w:rPr>
                <w:rFonts w:ascii="Times New Roman" w:hAnsi="Times New Roman" w:eastAsia="仿宋_GB2312" w:cs="Times New Roman"/>
              </w:rPr>
            </w:pPr>
            <w:r>
              <w:rPr>
                <w:rFonts w:ascii="Times New Roman" w:hAnsi="Times New Roman" w:eastAsia="仿宋_GB2312" w:cs="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37" w:type="pct"/>
            <w:shd w:val="clear" w:color="auto" w:fill="auto"/>
            <w:vAlign w:val="center"/>
          </w:tcPr>
          <w:p>
            <w:pPr>
              <w:spacing w:line="584" w:lineRule="exact"/>
              <w:jc w:val="right"/>
              <w:rPr>
                <w:rFonts w:ascii="Times New Roman" w:hAnsi="Times New Roman" w:eastAsia="仿宋_GB2312" w:cs="Times New Roman"/>
                <w:b/>
              </w:rPr>
            </w:pPr>
          </w:p>
        </w:tc>
        <w:tc>
          <w:tcPr>
            <w:tcW w:w="369" w:type="pct"/>
            <w:shd w:val="clear" w:color="auto" w:fill="auto"/>
            <w:vAlign w:val="center"/>
          </w:tcPr>
          <w:p>
            <w:pPr>
              <w:spacing w:line="584" w:lineRule="exact"/>
              <w:jc w:val="left"/>
              <w:rPr>
                <w:rFonts w:ascii="Times New Roman" w:hAnsi="Times New Roman" w:eastAsia="仿宋_GB2312" w:cs="Times New Roman"/>
                <w:b/>
              </w:rPr>
            </w:pPr>
          </w:p>
        </w:tc>
        <w:tc>
          <w:tcPr>
            <w:tcW w:w="447"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2"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4"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89"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3"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584" w:lineRule="exact"/>
              <w:jc w:val="center"/>
              <w:rPr>
                <w:rFonts w:ascii="Times New Roman" w:hAnsi="Times New Roman" w:eastAsia="仿宋_GB2312" w:cs="Times New Roman"/>
                <w:b/>
              </w:rPr>
            </w:pPr>
          </w:p>
        </w:tc>
        <w:tc>
          <w:tcPr>
            <w:tcW w:w="337" w:type="pct"/>
            <w:shd w:val="clear" w:color="auto" w:fill="auto"/>
            <w:vAlign w:val="center"/>
          </w:tcPr>
          <w:p>
            <w:pPr>
              <w:spacing w:line="584" w:lineRule="exact"/>
              <w:jc w:val="right"/>
              <w:rPr>
                <w:rFonts w:ascii="Times New Roman" w:hAnsi="Times New Roman" w:eastAsia="仿宋_GB2312" w:cs="Times New Roman"/>
                <w:b/>
              </w:rPr>
            </w:pPr>
          </w:p>
        </w:tc>
        <w:tc>
          <w:tcPr>
            <w:tcW w:w="369" w:type="pct"/>
            <w:shd w:val="clear" w:color="auto" w:fill="auto"/>
            <w:vAlign w:val="center"/>
          </w:tcPr>
          <w:p>
            <w:pPr>
              <w:spacing w:line="584" w:lineRule="exact"/>
              <w:jc w:val="left"/>
              <w:rPr>
                <w:rFonts w:ascii="Times New Roman" w:hAnsi="Times New Roman" w:eastAsia="仿宋_GB2312" w:cs="Times New Roman"/>
                <w:b/>
              </w:rPr>
            </w:pPr>
          </w:p>
        </w:tc>
        <w:tc>
          <w:tcPr>
            <w:tcW w:w="447"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2"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424" w:type="pct"/>
            <w:shd w:val="clear" w:color="auto" w:fill="auto"/>
            <w:vAlign w:val="center"/>
          </w:tcPr>
          <w:p>
            <w:pPr>
              <w:spacing w:line="584" w:lineRule="exact"/>
              <w:jc w:val="right"/>
              <w:rPr>
                <w:rFonts w:ascii="Times New Roman" w:hAnsi="Times New Roman" w:eastAsia="仿宋_GB2312" w:cs="Times New Roman"/>
                <w:b/>
              </w:rPr>
            </w:pPr>
          </w:p>
        </w:tc>
        <w:tc>
          <w:tcPr>
            <w:tcW w:w="340" w:type="pct"/>
            <w:shd w:val="clear" w:color="auto" w:fill="auto"/>
            <w:vAlign w:val="center"/>
          </w:tcPr>
          <w:p>
            <w:pPr>
              <w:spacing w:line="584" w:lineRule="exact"/>
              <w:jc w:val="right"/>
              <w:rPr>
                <w:rFonts w:ascii="Times New Roman" w:hAnsi="Times New Roman" w:eastAsia="仿宋_GB2312" w:cs="Times New Roman"/>
                <w:b/>
              </w:rPr>
            </w:pPr>
          </w:p>
        </w:tc>
        <w:tc>
          <w:tcPr>
            <w:tcW w:w="389" w:type="pct"/>
            <w:shd w:val="clear" w:color="auto" w:fill="auto"/>
            <w:vAlign w:val="center"/>
          </w:tcPr>
          <w:p>
            <w:pPr>
              <w:spacing w:line="584" w:lineRule="exact"/>
              <w:jc w:val="right"/>
              <w:rPr>
                <w:rFonts w:ascii="Times New Roman" w:hAnsi="Times New Roman" w:eastAsia="仿宋_GB2312" w:cs="Times New Roman"/>
                <w:b/>
              </w:rPr>
            </w:pPr>
          </w:p>
        </w:tc>
        <w:tc>
          <w:tcPr>
            <w:tcW w:w="408" w:type="pct"/>
            <w:shd w:val="clear" w:color="auto" w:fill="auto"/>
            <w:vAlign w:val="center"/>
          </w:tcPr>
          <w:p>
            <w:pPr>
              <w:spacing w:line="584" w:lineRule="exact"/>
              <w:jc w:val="right"/>
              <w:rPr>
                <w:rFonts w:ascii="Times New Roman" w:hAnsi="Times New Roman" w:eastAsia="仿宋_GB2312" w:cs="Times New Roman"/>
                <w:b/>
              </w:rPr>
            </w:pPr>
          </w:p>
        </w:tc>
        <w:tc>
          <w:tcPr>
            <w:tcW w:w="303"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584" w:lineRule="exact"/>
              <w:jc w:val="left"/>
              <w:rPr>
                <w:rFonts w:ascii="Times New Roman" w:hAnsi="Times New Roman" w:eastAsia="仿宋_GB2312" w:cs="Times New Roman"/>
              </w:rPr>
            </w:pPr>
          </w:p>
        </w:tc>
        <w:tc>
          <w:tcPr>
            <w:tcW w:w="337" w:type="pct"/>
            <w:shd w:val="clear" w:color="auto" w:fill="auto"/>
            <w:vAlign w:val="center"/>
          </w:tcPr>
          <w:p>
            <w:pPr>
              <w:spacing w:line="584" w:lineRule="exact"/>
              <w:jc w:val="right"/>
              <w:rPr>
                <w:rFonts w:ascii="Times New Roman" w:hAnsi="Times New Roman" w:eastAsia="仿宋_GB2312" w:cs="Times New Roman"/>
              </w:rPr>
            </w:pPr>
          </w:p>
        </w:tc>
        <w:tc>
          <w:tcPr>
            <w:tcW w:w="369" w:type="pct"/>
            <w:shd w:val="clear" w:color="auto" w:fill="auto"/>
            <w:vAlign w:val="center"/>
          </w:tcPr>
          <w:p>
            <w:pPr>
              <w:spacing w:line="584" w:lineRule="exact"/>
              <w:jc w:val="left"/>
              <w:rPr>
                <w:rFonts w:ascii="Times New Roman" w:hAnsi="Times New Roman" w:eastAsia="仿宋_GB2312" w:cs="Times New Roman"/>
              </w:rPr>
            </w:pPr>
          </w:p>
        </w:tc>
        <w:tc>
          <w:tcPr>
            <w:tcW w:w="447"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2"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4"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89"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584" w:lineRule="exact"/>
              <w:jc w:val="left"/>
              <w:rPr>
                <w:rFonts w:ascii="Times New Roman" w:hAnsi="Times New Roman" w:eastAsia="仿宋_GB2312" w:cs="Times New Roman"/>
              </w:rPr>
            </w:pPr>
          </w:p>
        </w:tc>
        <w:tc>
          <w:tcPr>
            <w:tcW w:w="337" w:type="pct"/>
            <w:shd w:val="clear" w:color="auto" w:fill="auto"/>
            <w:vAlign w:val="center"/>
          </w:tcPr>
          <w:p>
            <w:pPr>
              <w:spacing w:line="584" w:lineRule="exact"/>
              <w:jc w:val="right"/>
              <w:rPr>
                <w:rFonts w:ascii="Times New Roman" w:hAnsi="Times New Roman" w:eastAsia="仿宋_GB2312" w:cs="Times New Roman"/>
              </w:rPr>
            </w:pPr>
          </w:p>
        </w:tc>
        <w:tc>
          <w:tcPr>
            <w:tcW w:w="369" w:type="pct"/>
            <w:shd w:val="clear" w:color="auto" w:fill="auto"/>
            <w:vAlign w:val="center"/>
          </w:tcPr>
          <w:p>
            <w:pPr>
              <w:spacing w:line="584" w:lineRule="exact"/>
              <w:jc w:val="left"/>
              <w:rPr>
                <w:rFonts w:ascii="Times New Roman" w:hAnsi="Times New Roman" w:eastAsia="仿宋_GB2312" w:cs="Times New Roman"/>
              </w:rPr>
            </w:pPr>
          </w:p>
        </w:tc>
        <w:tc>
          <w:tcPr>
            <w:tcW w:w="447"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2"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4"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89"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584" w:lineRule="exact"/>
              <w:jc w:val="left"/>
              <w:rPr>
                <w:rFonts w:ascii="Times New Roman" w:hAnsi="Times New Roman" w:eastAsia="仿宋_GB2312" w:cs="Times New Roman"/>
              </w:rPr>
            </w:pPr>
          </w:p>
        </w:tc>
        <w:tc>
          <w:tcPr>
            <w:tcW w:w="337" w:type="pct"/>
            <w:shd w:val="clear" w:color="auto" w:fill="auto"/>
            <w:vAlign w:val="center"/>
          </w:tcPr>
          <w:p>
            <w:pPr>
              <w:spacing w:line="584" w:lineRule="exact"/>
              <w:jc w:val="right"/>
              <w:rPr>
                <w:rFonts w:ascii="Times New Roman" w:hAnsi="Times New Roman" w:eastAsia="仿宋_GB2312" w:cs="Times New Roman"/>
              </w:rPr>
            </w:pPr>
          </w:p>
        </w:tc>
        <w:tc>
          <w:tcPr>
            <w:tcW w:w="369" w:type="pct"/>
            <w:shd w:val="clear" w:color="auto" w:fill="auto"/>
            <w:vAlign w:val="center"/>
          </w:tcPr>
          <w:p>
            <w:pPr>
              <w:spacing w:line="584" w:lineRule="exact"/>
              <w:jc w:val="left"/>
              <w:rPr>
                <w:rFonts w:ascii="Times New Roman" w:hAnsi="Times New Roman" w:eastAsia="仿宋_GB2312" w:cs="Times New Roman"/>
              </w:rPr>
            </w:pPr>
          </w:p>
        </w:tc>
        <w:tc>
          <w:tcPr>
            <w:tcW w:w="447"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2"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4"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89"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4" w:type="pct"/>
            <w:shd w:val="clear" w:color="auto" w:fill="auto"/>
            <w:vAlign w:val="center"/>
          </w:tcPr>
          <w:p>
            <w:pPr>
              <w:spacing w:line="584" w:lineRule="exact"/>
              <w:jc w:val="left"/>
              <w:rPr>
                <w:rFonts w:ascii="Times New Roman" w:hAnsi="Times New Roman" w:eastAsia="仿宋_GB2312" w:cs="Times New Roman"/>
              </w:rPr>
            </w:pPr>
          </w:p>
        </w:tc>
        <w:tc>
          <w:tcPr>
            <w:tcW w:w="337" w:type="pct"/>
            <w:shd w:val="clear" w:color="auto" w:fill="auto"/>
            <w:vAlign w:val="center"/>
          </w:tcPr>
          <w:p>
            <w:pPr>
              <w:spacing w:line="584" w:lineRule="exact"/>
              <w:jc w:val="right"/>
              <w:rPr>
                <w:rFonts w:ascii="Times New Roman" w:hAnsi="Times New Roman" w:eastAsia="仿宋_GB2312" w:cs="Times New Roman"/>
              </w:rPr>
            </w:pPr>
          </w:p>
        </w:tc>
        <w:tc>
          <w:tcPr>
            <w:tcW w:w="369" w:type="pct"/>
            <w:shd w:val="clear" w:color="auto" w:fill="auto"/>
            <w:vAlign w:val="center"/>
          </w:tcPr>
          <w:p>
            <w:pPr>
              <w:spacing w:line="584" w:lineRule="exact"/>
              <w:jc w:val="left"/>
              <w:rPr>
                <w:rFonts w:ascii="Times New Roman" w:hAnsi="Times New Roman" w:eastAsia="仿宋_GB2312" w:cs="Times New Roman"/>
              </w:rPr>
            </w:pPr>
          </w:p>
        </w:tc>
        <w:tc>
          <w:tcPr>
            <w:tcW w:w="447"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2"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424" w:type="pct"/>
            <w:shd w:val="clear" w:color="auto" w:fill="auto"/>
            <w:vAlign w:val="center"/>
          </w:tcPr>
          <w:p>
            <w:pPr>
              <w:spacing w:line="584" w:lineRule="exact"/>
              <w:jc w:val="right"/>
              <w:rPr>
                <w:rFonts w:ascii="Times New Roman" w:hAnsi="Times New Roman" w:eastAsia="仿宋_GB2312" w:cs="Times New Roman"/>
              </w:rPr>
            </w:pPr>
          </w:p>
        </w:tc>
        <w:tc>
          <w:tcPr>
            <w:tcW w:w="340" w:type="pct"/>
            <w:shd w:val="clear" w:color="auto" w:fill="auto"/>
            <w:vAlign w:val="center"/>
          </w:tcPr>
          <w:p>
            <w:pPr>
              <w:spacing w:line="584" w:lineRule="exact"/>
              <w:jc w:val="right"/>
              <w:rPr>
                <w:rFonts w:ascii="Times New Roman" w:hAnsi="Times New Roman" w:eastAsia="仿宋_GB2312" w:cs="Times New Roman"/>
              </w:rPr>
            </w:pPr>
          </w:p>
        </w:tc>
        <w:tc>
          <w:tcPr>
            <w:tcW w:w="389" w:type="pct"/>
            <w:shd w:val="clear" w:color="auto" w:fill="auto"/>
            <w:vAlign w:val="center"/>
          </w:tcPr>
          <w:p>
            <w:pPr>
              <w:spacing w:line="584" w:lineRule="exact"/>
              <w:jc w:val="right"/>
              <w:rPr>
                <w:rFonts w:ascii="Times New Roman" w:hAnsi="Times New Roman" w:eastAsia="仿宋_GB2312" w:cs="Times New Roman"/>
              </w:rPr>
            </w:pPr>
          </w:p>
        </w:tc>
        <w:tc>
          <w:tcPr>
            <w:tcW w:w="408" w:type="pct"/>
            <w:shd w:val="clear" w:color="auto" w:fill="auto"/>
            <w:vAlign w:val="center"/>
          </w:tcPr>
          <w:p>
            <w:pPr>
              <w:spacing w:line="584" w:lineRule="exact"/>
              <w:jc w:val="right"/>
              <w:rPr>
                <w:rFonts w:ascii="Times New Roman" w:hAnsi="Times New Roman" w:eastAsia="仿宋_GB2312" w:cs="Times New Roman"/>
              </w:rPr>
            </w:pPr>
          </w:p>
        </w:tc>
        <w:tc>
          <w:tcPr>
            <w:tcW w:w="303"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bookmarkEnd w:id="2"/>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中共廊坊市广阳区委区直机关工作委员会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w:t>
      </w:r>
      <w:r>
        <w:rPr>
          <w:rFonts w:hint="eastAsia" w:ascii="Times New Roman" w:hAnsi="Times New Roman" w:eastAsia="仿宋_GB2312" w:cs="Times New Roman"/>
          <w:sz w:val="32"/>
          <w:szCs w:val="32"/>
        </w:rPr>
        <w:t>我部门拟购</w:t>
      </w:r>
      <w:r>
        <w:rPr>
          <w:rFonts w:ascii="Times New Roman" w:hAnsi="Times New Roman" w:eastAsia="仿宋_GB2312" w:cs="Times New Roman"/>
          <w:sz w:val="32"/>
          <w:szCs w:val="32"/>
        </w:rPr>
        <w:t>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sz w:val="24"/>
              </w:rPr>
              <w:t>中共廊坊市广阳区委区直机关工作委员会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9</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rPr>
            </w:pPr>
            <w:r>
              <w:rPr>
                <w:rFonts w:hint="eastAsia" w:ascii="Times New Roman" w:hAnsi="Times New Roman" w:eastAsia="仿宋_GB2312" w:cs="Times New Roman"/>
                <w:sz w:val="22"/>
              </w:rPr>
              <w:t>1.2</w:t>
            </w:r>
          </w:p>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hint="eastAsia"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楷体_GB2312" w:hAnsi="Times New Roman" w:eastAsia="楷体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楷体_GB2312" w:hAnsi="Times New Roman" w:eastAsia="楷体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3" w:firstLineChars="200"/>
        <w:rPr>
          <w:rFonts w:ascii="Times New Roman" w:hAnsi="Times New Roman" w:eastAsia="仿宋_GB2312" w:cs="Times New Roman"/>
          <w:b/>
          <w:color w:val="FF0000"/>
          <w:sz w:val="32"/>
          <w:szCs w:val="32"/>
        </w:rPr>
      </w:pPr>
    </w:p>
    <w:p/>
    <w:sectPr>
      <w:footerReference r:id="rId6" w:type="first"/>
      <w:footerReference r:id="rId5" w:type="default"/>
      <w:pgSz w:w="16839" w:h="11907"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UnicodeMS">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6"/>
          <w:jc w:val="center"/>
        </w:pPr>
        <w:r>
          <w:rPr>
            <w:rFonts w:hint="eastAsia"/>
          </w:rPr>
          <w:t>-</w:t>
        </w:r>
        <w:r>
          <w:fldChar w:fldCharType="begin"/>
        </w:r>
        <w:r>
          <w:instrText xml:space="preserve">PAGE   \* MERGEFORMAT</w:instrText>
        </w:r>
        <w:r>
          <w:fldChar w:fldCharType="separate"/>
        </w:r>
        <w:r>
          <w:rPr>
            <w:lang w:val="zh-CN"/>
          </w:rPr>
          <w:t>1</w:t>
        </w:r>
        <w:r>
          <w:rPr>
            <w:lang w:val="zh-CN"/>
          </w:rPr>
          <w:fldChar w:fldCharType="end"/>
        </w:r>
        <w:r>
          <w:rPr>
            <w:rFonts w:hint="eastAsia"/>
          </w:rPr>
          <w:t>-</w:t>
        </w:r>
      </w:p>
    </w:sdtContent>
  </w:sdt>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6"/>
          <w:jc w:val="center"/>
        </w:pPr>
        <w:r>
          <w:fldChar w:fldCharType="begin"/>
        </w:r>
        <w:r>
          <w:instrText xml:space="preserve">PAGE   \* MERGEFORMAT</w:instrText>
        </w:r>
        <w:r>
          <w:fldChar w:fldCharType="separate"/>
        </w:r>
        <w:r>
          <w:rPr>
            <w:lang w:val="zh-CN"/>
          </w:rPr>
          <w:t>21</w:t>
        </w:r>
        <w:r>
          <w:rPr>
            <w:lang w:val="zh-CN"/>
          </w:rPr>
          <w:fldChar w:fldCharType="end"/>
        </w:r>
      </w:p>
    </w:sdtContent>
  </w:sdt>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9</w:t>
    </w:r>
    <w:r>
      <w:fldChar w:fldCharType="end"/>
    </w: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C056BD"/>
    <w:rsid w:val="000A6094"/>
    <w:rsid w:val="001F19CE"/>
    <w:rsid w:val="002C1857"/>
    <w:rsid w:val="00331582"/>
    <w:rsid w:val="003B6735"/>
    <w:rsid w:val="003C0F7D"/>
    <w:rsid w:val="00421270"/>
    <w:rsid w:val="004A2159"/>
    <w:rsid w:val="00506D8C"/>
    <w:rsid w:val="00584AC3"/>
    <w:rsid w:val="00833D0E"/>
    <w:rsid w:val="008D2C54"/>
    <w:rsid w:val="009D32FB"/>
    <w:rsid w:val="00C056BD"/>
    <w:rsid w:val="00D90EE1"/>
    <w:rsid w:val="00DB74F9"/>
    <w:rsid w:val="00EA4CD6"/>
    <w:rsid w:val="00EE4419"/>
    <w:rsid w:val="00EF30C6"/>
    <w:rsid w:val="4A4713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uiPriority w:val="0"/>
    <w:pPr>
      <w:keepNext/>
      <w:keepLines/>
      <w:spacing w:before="340" w:after="330" w:line="578" w:lineRule="auto"/>
      <w:outlineLvl w:val="0"/>
    </w:pPr>
    <w:rPr>
      <w:b/>
      <w:kern w:val="44"/>
      <w:sz w:val="44"/>
    </w:rPr>
  </w:style>
  <w:style w:type="paragraph" w:styleId="3">
    <w:name w:val="heading 2"/>
    <w:basedOn w:val="1"/>
    <w:next w:val="1"/>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uiPriority w:val="0"/>
    <w:pPr>
      <w:keepNext/>
      <w:keepLines/>
      <w:spacing w:before="260" w:after="260" w:line="415" w:lineRule="auto"/>
      <w:outlineLvl w:val="2"/>
    </w:pPr>
    <w:rPr>
      <w:b/>
      <w:sz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Balloon Text"/>
    <w:basedOn w:val="1"/>
    <w:link w:val="12"/>
    <w:semiHidden/>
    <w:unhideWhenUsed/>
    <w:uiPriority w:val="99"/>
    <w:rPr>
      <w:sz w:val="18"/>
      <w:szCs w:val="18"/>
    </w:rPr>
  </w:style>
  <w:style w:type="paragraph" w:styleId="6">
    <w:name w:val="footer"/>
    <w:link w:val="11"/>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uiPriority w:val="99"/>
    <w:rPr>
      <w:rFonts w:ascii="Calibri" w:hAnsi="Calibri" w:cs="Arial"/>
      <w:kern w:val="2"/>
      <w:sz w:val="18"/>
      <w:szCs w:val="18"/>
    </w:rPr>
  </w:style>
  <w:style w:type="character" w:customStyle="1" w:styleId="11">
    <w:name w:val="页脚 Char"/>
    <w:basedOn w:val="9"/>
    <w:link w:val="6"/>
    <w:uiPriority w:val="99"/>
    <w:rPr>
      <w:kern w:val="2"/>
      <w:sz w:val="18"/>
      <w:szCs w:val="18"/>
    </w:rPr>
  </w:style>
  <w:style w:type="character" w:customStyle="1" w:styleId="12">
    <w:name w:val="批注框文本 Char"/>
    <w:basedOn w:val="9"/>
    <w:link w:val="5"/>
    <w:semiHidden/>
    <w:uiPriority w:val="99"/>
    <w:rPr>
      <w:rFonts w:ascii="Calibri" w:hAnsi="Calibri" w:cs="Arial"/>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597</Words>
  <Characters>3409</Characters>
  <Lines>28</Lines>
  <Paragraphs>7</Paragraphs>
  <TotalTime>1069</TotalTime>
  <ScaleCrop>false</ScaleCrop>
  <LinksUpToDate>false</LinksUpToDate>
  <CharactersWithSpaces>3999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2020-02-10T08:35:00Z</dcterms:created>
  <dc:creator>AutoBVT</dc:creator>
  <cp:lastModifiedBy>Administrator</cp:lastModifiedBy>
  <dcterms:modified xsi:type="dcterms:W3CDTF">2024-01-11T08:43:39Z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9A56D4ACDFCE46DFA8839E7C83E6F30C</vt:lpwstr>
  </property>
</Properties>
</file>