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方正小标宋简体" w:hAnsi="Times New Roman" w:eastAsia="方正小标宋简体" w:cs="Times New Roman"/>
          <w:sz w:val="44"/>
          <w:szCs w:val="44"/>
        </w:rPr>
      </w:pPr>
      <w:bookmarkStart w:id="5" w:name="_GoBack"/>
      <w:r>
        <w:rPr>
          <w:rFonts w:hint="eastAsia" w:ascii="方正小标宋简体" w:hAnsi="Times New Roman" w:eastAsia="方正小标宋简体" w:cs="Times New Roman"/>
          <w:sz w:val="44"/>
          <w:szCs w:val="44"/>
        </w:rPr>
        <w:t>廊坊市广阳区九州镇2020年部门预算信息公开情况说明</w:t>
      </w:r>
    </w:p>
    <w:bookmarkEnd w:id="5"/>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广阳区九州镇人民政府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部门职责：</w:t>
      </w:r>
    </w:p>
    <w:p>
      <w:pPr>
        <w:spacing w:line="500" w:lineRule="exact"/>
        <w:ind w:firstLine="640" w:firstLineChars="200"/>
        <w:jc w:val="left"/>
        <w:rPr>
          <w:rFonts w:ascii="仿宋_GB2312" w:hAnsi="宋体" w:eastAsia="仿宋_GB2312"/>
          <w:sz w:val="32"/>
          <w:szCs w:val="32"/>
        </w:rPr>
      </w:pPr>
      <w:r>
        <w:rPr>
          <w:rFonts w:hint="eastAsia" w:ascii="仿宋_GB2312" w:eastAsia="仿宋_GB2312"/>
          <w:sz w:val="32"/>
          <w:szCs w:val="32"/>
        </w:rPr>
        <w:t>根据《</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广阳区九州镇人民政府</w:t>
      </w:r>
      <w:r>
        <w:rPr>
          <w:rFonts w:hint="eastAsia" w:ascii="仿宋_GB2312" w:eastAsia="仿宋_GB2312"/>
          <w:sz w:val="32"/>
          <w:szCs w:val="32"/>
        </w:rPr>
        <w:t>职能配置、内设机构和人员编制规定》， 廊坊市广阳区九州镇的主要职责是：</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政务服务职责：负责政务公开、单位会议管理、督察督办、政务联络、办事处日常工作等。</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   应急管理职责：负责基层政府值班工作，及时报告重要情况，传达和督促落实镇政府领导指示。协助镇政府领导做好需由基层政府组织处理的突发事件应急处置工作。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地方志事务职责：负责全辖区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工会事务管理职责：研究指导全办事处工会自身建设；承担工委、政府及全国总工会交办的其他事项。</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团委事务管理职责：负责团委综合业务管理。</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宣传事务管理职责：负责系统综合业务管理和机关综合事务管理。确保各项业务工作谋划到位、顺利开展。保障机关工作正常高效运转。</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建设与环保政务管理职责：负责环境保护系统综合业务管理和机关综合事务管理。加强城乡建设与环保保护管理工作。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大气污染治理工作职责: 负责大气污染治理领导小组日常工作，制定大气污染治理工作规划、工作制度、有关方案和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通过制</w:t>
      </w:r>
      <w:r>
        <w:rPr>
          <w:rFonts w:hint="eastAsia" w:ascii="仿宋_GB2312" w:eastAsia="仿宋_GB2312"/>
          <w:sz w:val="32"/>
          <w:szCs w:val="32"/>
          <w:lang w:eastAsia="zh-CN"/>
        </w:rPr>
        <w:t>订</w:t>
      </w:r>
      <w:r>
        <w:rPr>
          <w:rFonts w:hint="eastAsia" w:ascii="仿宋_GB2312" w:eastAsia="仿宋_GB2312"/>
          <w:sz w:val="32"/>
          <w:szCs w:val="32"/>
        </w:rPr>
        <w:t>大气污染治理工作计划、工作制度、工作方案及考核办法；研究提出需提交领导小组审议的事项，分解落实有关工作任务；组织对大气污染治理工作进行考核，负责有关信息汇总上报和宣传工作；负责协调推进大气污染治理各项工作；承担领导小组工作会议筹备及会务组织工作；承办领导小组交办的其他事项等工作，实现大气污染防治年度治理目标，切实减少雾霾污染，有效改造空气质量。</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义务教育职责：以农村教育为重点，推进义务教育均衡发展，建立学校安全保障机制，改善薄弱学校办学条件，促进公共教育资源向农村和经济欠发达地区倾斜。提高义务教育公用经费保障水平，改善办学条件，均衡配置基础教育资源，缩小城镇、区域、校际之间办学差距。</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村街组织管理事务职责：负责村街党员发展；村街党组织活动；基层组织建设、党员教育管理、农村精神文明建设等工作。保障并提高村干部报酬，维持村级正常运转，开展村党组织活动，“三会一课”等，做好离任村干部及村街其他人员生活补助发放工作。</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廊坊市广阳区九州镇人民政府</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广阳区九州镇人民政府</w:t>
      </w:r>
      <w:r>
        <w:rPr>
          <w:rFonts w:ascii="Times New Roman" w:hAnsi="Times New Roman" w:eastAsia="仿宋_GB2312" w:cs="Times New Roman"/>
          <w:sz w:val="32"/>
          <w:szCs w:val="32"/>
        </w:rPr>
        <w:t>机关及所属事业单位的收支包含在部门预算中。</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年预算收入5903.85万元，其中：一般公共预算收入5903.85万元，基金预算收入0万元，财政专户核拨收入0万元，其他来源收入0万元。</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广阳区九州镇人民政府2020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年支出预算5903.85万元，其中基本支出5184.00万元，包括人员经费5038.46万元和日常公用经费145.54万元；项目支出719.85万元，主要为</w:t>
      </w:r>
      <w:r>
        <w:rPr>
          <w:rFonts w:hint="eastAsia" w:ascii="Times New Roman" w:hAnsi="Times New Roman" w:eastAsia="仿宋_GB2312" w:cs="Times New Roman"/>
          <w:sz w:val="32"/>
          <w:szCs w:val="32"/>
        </w:rPr>
        <w:t>村级组织运转经费及非公办教师经费支出</w:t>
      </w:r>
      <w:r>
        <w:rPr>
          <w:rFonts w:ascii="Times New Roman" w:hAnsi="Times New Roman" w:eastAsia="仿宋_GB2312" w:cs="Times New Roman"/>
          <w:sz w:val="32"/>
          <w:szCs w:val="32"/>
        </w:rPr>
        <w:t>；其他支出0万元</w:t>
      </w:r>
      <w:r>
        <w:rPr>
          <w:rFonts w:hint="eastAsia" w:ascii="Times New Roman" w:hAnsi="Times New Roman" w:eastAsia="仿宋_GB2312" w:cs="Times New Roman"/>
          <w:sz w:val="32"/>
          <w:szCs w:val="32"/>
        </w:rPr>
        <w:t>。</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年预算收支安排5903.85万元，较201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年预算增加727.27万元，其中：基本支出增加169.80万元，主要为增加</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支出；项目支出增加681.70万元，主要为增加</w:t>
      </w:r>
      <w:r>
        <w:rPr>
          <w:rFonts w:hint="eastAsia" w:ascii="Times New Roman" w:hAnsi="Times New Roman" w:eastAsia="仿宋_GB2312" w:cs="Times New Roman"/>
          <w:sz w:val="32"/>
          <w:szCs w:val="32"/>
        </w:rPr>
        <w:t>村级组织运转经费</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机关运行经费共计安排145.54万元，主要用于日常维修、办公用房水电费、办公用房取暖费、办公用房物业管理费等日常运行支出。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财政拨款“三公”经费预算安排4.37万元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因公出国（境）费0万元；公务用车购置及运维费4.37万元（其中：公务用车购置费为0万元，公务用车运维费4.37万元)；公务接待费0万元。与201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rPr>
          <w:rFonts w:ascii="楷体" w:hAnsi="楷体" w:eastAsia="楷体" w:cs="Times New Roman"/>
          <w:b/>
          <w:sz w:val="32"/>
          <w:szCs w:val="32"/>
        </w:rPr>
      </w:pPr>
      <w:bookmarkStart w:id="0" w:name="_Toc471398463"/>
      <w:r>
        <w:rPr>
          <w:rFonts w:hint="eastAsia" w:ascii="楷体" w:hAnsi="楷体" w:eastAsia="楷体" w:cs="Times New Roman"/>
          <w:b/>
          <w:sz w:val="32"/>
          <w:szCs w:val="32"/>
        </w:rPr>
        <w:t>第一部分  部门整体绩效目标</w:t>
      </w:r>
    </w:p>
    <w:p>
      <w:pPr>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（一）总体绩效目标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以习近平新时代中国特色社会主义思想为指导，全面贯彻落实党的十九届二中、三中、四中全会会议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w:t>
      </w:r>
    </w:p>
    <w:p>
      <w:pPr>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（二）分项绩效目标</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1、持续提升政务服务与管理工作水平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2、持续提升政府电子政务管理水平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3、提升应急管理水平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 </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绩效指标：保障日常应急值守和突发事件及时处理，处理率达到95%；做好应急宣传工作，宣传覆盖面积达到95%以上。</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4、持续提升综合业务事务管理水平</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84" w:lineRule="exact"/>
        <w:ind w:firstLine="640" w:firstLineChars="200"/>
        <w:jc w:val="left"/>
        <w:rPr>
          <w:rFonts w:ascii="仿宋_GB2312" w:hAnsi="Times New Roman" w:eastAsia="仿宋_GB2312" w:cs="Times New Roman"/>
          <w:b/>
          <w:sz w:val="32"/>
          <w:szCs w:val="32"/>
        </w:rPr>
      </w:pPr>
      <w:r>
        <w:rPr>
          <w:rFonts w:hint="eastAsia" w:ascii="仿宋_GB2312" w:eastAsia="仿宋_GB2312"/>
          <w:sz w:val="32"/>
          <w:szCs w:val="32"/>
        </w:rP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的为村级服务，群众满意度达到95%及以上。</w:t>
      </w:r>
    </w:p>
    <w:p>
      <w:pPr>
        <w:spacing w:line="584" w:lineRule="exact"/>
        <w:ind w:firstLine="643" w:firstLineChars="200"/>
        <w:jc w:val="left"/>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（三）工作保障措施</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spacing w:line="584" w:lineRule="exact"/>
        <w:ind w:firstLine="640" w:firstLineChars="200"/>
        <w:jc w:val="left"/>
        <w:rPr>
          <w:rFonts w:ascii="仿宋_GB2312" w:hAnsi="Times New Roman" w:eastAsia="仿宋_GB2312" w:cs="Times New Roman"/>
          <w:b/>
          <w:sz w:val="32"/>
          <w:szCs w:val="32"/>
        </w:rPr>
      </w:pPr>
      <w:r>
        <w:rPr>
          <w:rFonts w:hint="eastAsia" w:ascii="仿宋_GB2312" w:eastAsia="仿宋_GB2312"/>
          <w:sz w:val="32"/>
          <w:szCs w:val="32"/>
        </w:rPr>
        <w:t>4、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spacing w:line="584"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第二部分  资金绩效目标</w:t>
      </w:r>
    </w:p>
    <w:p>
      <w:pPr>
        <w:ind w:firstLine="562" w:firstLineChars="200"/>
        <w:jc w:val="left"/>
        <w:outlineLvl w:val="1"/>
        <w:rPr>
          <w:rFonts w:ascii="Times New Roman" w:hAnsi="宋体"/>
          <w:b/>
          <w:sz w:val="28"/>
        </w:rPr>
      </w:pPr>
      <w:r>
        <w:rPr>
          <w:rFonts w:hint="eastAsia" w:ascii="方正仿宋_GBK" w:eastAsia="方正仿宋_GBK"/>
          <w:b/>
          <w:sz w:val="28"/>
        </w:rPr>
        <w:t>1.村级组织运转经费绩效目标表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32822915"/>
      <w:r>
        <w:rPr>
          <w:rFonts w:hint="eastAsia" w:ascii="方正仿宋_GBK" w:eastAsia="方正仿宋_GBK"/>
          <w:b/>
          <w:sz w:val="28"/>
        </w:rPr>
        <w:instrText xml:space="preserve">1、村级组织运转经费绩效目标表</w:instrText>
      </w:r>
      <w:bookmarkEnd w:id="1"/>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通过开展党组织活动提高党员党性修养和服务意识；救助生产生活困难的党员，使党员时刻感到党的关怀及温暖；2、调动“两委干部”及村民小组长的积极性，提高村级管理水平；3、提高村级办公水平，确保村级承接的上级安排的各项事务；4、通过综合服务站建设、提高村内公共设施的日常维护，使群众在生产生活中得到帮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数量指标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辖区村级综合服务站个数</w:t>
            </w:r>
          </w:p>
        </w:tc>
        <w:tc>
          <w:tcPr>
            <w:tcW w:w="2891" w:type="dxa"/>
            <w:shd w:val="clear" w:color="auto" w:fill="auto"/>
            <w:vAlign w:val="center"/>
          </w:tcPr>
          <w:p>
            <w:pPr>
              <w:rPr>
                <w:rFonts w:ascii="宋体" w:hAnsi="宋体" w:eastAsia="宋体" w:cs="宋体"/>
                <w:sz w:val="18"/>
                <w:szCs w:val="18"/>
              </w:rPr>
            </w:pPr>
            <w:r>
              <w:rPr>
                <w:rFonts w:hint="eastAsia"/>
                <w:sz w:val="18"/>
                <w:szCs w:val="18"/>
              </w:rPr>
              <w:t>辖区内具有规范、功能齐全、高质量综合服务站个数</w:t>
            </w:r>
          </w:p>
        </w:tc>
        <w:tc>
          <w:tcPr>
            <w:tcW w:w="1276" w:type="dxa"/>
            <w:shd w:val="clear" w:color="auto" w:fill="auto"/>
            <w:vAlign w:val="center"/>
          </w:tcPr>
          <w:p>
            <w:pPr>
              <w:jc w:val="center"/>
              <w:rPr>
                <w:rFonts w:ascii="Times New Roman" w:hAnsi="Times New Roman" w:eastAsia="宋体" w:cs="Times New Roman"/>
                <w:color w:val="000000"/>
                <w:sz w:val="24"/>
                <w:szCs w:val="24"/>
              </w:rPr>
            </w:pPr>
            <w:r>
              <w:rPr>
                <w:rFonts w:hint="eastAsia" w:ascii="Times New Roman" w:hAnsi="Times New Roman"/>
                <w:color w:val="000000"/>
              </w:rPr>
              <w:t>≥1个</w:t>
            </w:r>
          </w:p>
        </w:tc>
        <w:tc>
          <w:tcPr>
            <w:tcW w:w="1701" w:type="dxa"/>
            <w:shd w:val="clear" w:color="auto" w:fill="auto"/>
            <w:vAlign w:val="center"/>
          </w:tcPr>
          <w:p>
            <w:pPr>
              <w:rPr>
                <w:rFonts w:ascii="宋体" w:hAnsi="宋体" w:eastAsia="宋体" w:cs="宋体"/>
                <w:color w:val="000000"/>
                <w:szCs w:val="21"/>
              </w:rPr>
            </w:pPr>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发放准确率</w:t>
            </w:r>
          </w:p>
        </w:tc>
        <w:tc>
          <w:tcPr>
            <w:tcW w:w="2891" w:type="dxa"/>
            <w:shd w:val="clear" w:color="auto" w:fill="auto"/>
            <w:vAlign w:val="center"/>
          </w:tcPr>
          <w:p>
            <w:pPr>
              <w:rPr>
                <w:rFonts w:ascii="宋体" w:hAnsi="宋体" w:eastAsia="宋体" w:cs="宋体"/>
                <w:sz w:val="18"/>
                <w:szCs w:val="18"/>
              </w:rPr>
            </w:pPr>
            <w:r>
              <w:rPr>
                <w:rFonts w:hint="eastAsia"/>
                <w:sz w:val="18"/>
                <w:szCs w:val="18"/>
              </w:rPr>
              <w:t>准确发放基础职务补贴人数占享受岗位基础职务补贴人数的比例</w:t>
            </w:r>
          </w:p>
        </w:tc>
        <w:tc>
          <w:tcPr>
            <w:tcW w:w="1276" w:type="dxa"/>
            <w:shd w:val="clear" w:color="auto" w:fill="auto"/>
            <w:vAlign w:val="center"/>
          </w:tcPr>
          <w:p>
            <w:pPr>
              <w:jc w:val="center"/>
              <w:rPr>
                <w:rFonts w:ascii="Times New Roman" w:hAnsi="Times New Roman" w:eastAsia="宋体" w:cs="Times New Roman"/>
                <w:color w:val="000000"/>
                <w:sz w:val="24"/>
                <w:szCs w:val="24"/>
              </w:rPr>
            </w:pPr>
            <w:r>
              <w:rPr>
                <w:rFonts w:ascii="Times New Roman" w:hAnsi="Times New Roman" w:cs="Times New Roman"/>
                <w:color w:val="000000"/>
              </w:rPr>
              <w:t>　</w:t>
            </w:r>
            <w:r>
              <w:rPr>
                <w:rFonts w:hint="eastAsia" w:ascii="Times New Roman" w:hAnsi="Times New Roman"/>
                <w:color w:val="000000"/>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质量指标</w:t>
            </w:r>
          </w:p>
        </w:tc>
        <w:tc>
          <w:tcPr>
            <w:tcW w:w="1276" w:type="dxa"/>
            <w:shd w:val="clear" w:color="auto" w:fill="auto"/>
            <w:vAlign w:val="center"/>
          </w:tcPr>
          <w:p>
            <w:pPr>
              <w:rPr>
                <w:rFonts w:ascii="宋体" w:hAnsi="宋体" w:eastAsia="宋体" w:cs="宋体"/>
                <w:sz w:val="18"/>
                <w:szCs w:val="18"/>
              </w:rPr>
            </w:pPr>
            <w:r>
              <w:rPr>
                <w:rFonts w:hint="eastAsia"/>
                <w:sz w:val="18"/>
                <w:szCs w:val="18"/>
              </w:rPr>
              <w:t>保障党员学习教育正常开展</w:t>
            </w:r>
          </w:p>
        </w:tc>
        <w:tc>
          <w:tcPr>
            <w:tcW w:w="2891" w:type="dxa"/>
            <w:shd w:val="clear" w:color="auto" w:fill="auto"/>
            <w:vAlign w:val="center"/>
          </w:tcPr>
          <w:p>
            <w:pPr>
              <w:rPr>
                <w:rFonts w:ascii="宋体" w:hAnsi="宋体" w:eastAsia="宋体" w:cs="宋体"/>
                <w:sz w:val="18"/>
                <w:szCs w:val="18"/>
              </w:rPr>
            </w:pPr>
            <w:r>
              <w:rPr>
                <w:rFonts w:hint="eastAsia"/>
                <w:sz w:val="18"/>
                <w:szCs w:val="18"/>
              </w:rPr>
              <w:t>提高党员的教育水平</w:t>
            </w:r>
          </w:p>
        </w:tc>
        <w:tc>
          <w:tcPr>
            <w:tcW w:w="1276" w:type="dxa"/>
            <w:shd w:val="clear" w:color="auto" w:fill="auto"/>
            <w:vAlign w:val="center"/>
          </w:tcPr>
          <w:p>
            <w:pPr>
              <w:rPr>
                <w:rFonts w:ascii="宋体" w:hAnsi="宋体" w:eastAsia="宋体" w:cs="宋体"/>
                <w:sz w:val="18"/>
                <w:szCs w:val="18"/>
              </w:rPr>
            </w:pPr>
            <w:r>
              <w:rPr>
                <w:rFonts w:hint="eastAsia"/>
                <w:sz w:val="18"/>
                <w:szCs w:val="18"/>
              </w:rPr>
              <w:t>逐步提高党员党性修养和服务意识</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rPr>
                <w:rFonts w:ascii="宋体" w:hAnsi="宋体" w:eastAsia="宋体" w:cs="宋体"/>
                <w:sz w:val="18"/>
                <w:szCs w:val="18"/>
              </w:rPr>
            </w:pPr>
            <w:r>
              <w:rPr>
                <w:rFonts w:hint="eastAsia"/>
                <w:sz w:val="18"/>
                <w:szCs w:val="18"/>
              </w:rPr>
              <w:t>可持续影响指标</w:t>
            </w:r>
          </w:p>
        </w:tc>
        <w:tc>
          <w:tcPr>
            <w:tcW w:w="1276" w:type="dxa"/>
            <w:shd w:val="clear" w:color="auto" w:fill="auto"/>
            <w:vAlign w:val="center"/>
          </w:tcPr>
          <w:p>
            <w:pPr>
              <w:rPr>
                <w:rFonts w:ascii="宋体" w:hAnsi="宋体" w:eastAsia="宋体" w:cs="宋体"/>
                <w:sz w:val="18"/>
                <w:szCs w:val="18"/>
              </w:rPr>
            </w:pPr>
            <w:r>
              <w:rPr>
                <w:rFonts w:hint="eastAsia"/>
                <w:sz w:val="18"/>
                <w:szCs w:val="18"/>
              </w:rPr>
              <w:t>服务群众生产生活</w:t>
            </w:r>
          </w:p>
        </w:tc>
        <w:tc>
          <w:tcPr>
            <w:tcW w:w="2891" w:type="dxa"/>
            <w:shd w:val="clear" w:color="auto" w:fill="auto"/>
            <w:vAlign w:val="center"/>
          </w:tcPr>
          <w:p>
            <w:pPr>
              <w:rPr>
                <w:rFonts w:ascii="宋体" w:hAnsi="宋体" w:eastAsia="宋体" w:cs="宋体"/>
                <w:sz w:val="18"/>
                <w:szCs w:val="18"/>
              </w:rPr>
            </w:pPr>
            <w:r>
              <w:rPr>
                <w:rFonts w:hint="eastAsia"/>
                <w:sz w:val="18"/>
                <w:szCs w:val="18"/>
              </w:rPr>
              <w:t>确保群众生产生活活动正常开展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rPr>
                <w:rFonts w:ascii="宋体" w:hAnsi="宋体" w:eastAsia="宋体" w:cs="宋体"/>
                <w:color w:val="000000"/>
                <w:szCs w:val="21"/>
              </w:rPr>
            </w:pPr>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rPr>
                <w:rFonts w:ascii="宋体" w:hAnsi="宋体" w:eastAsia="宋体" w:cs="宋体"/>
                <w:sz w:val="18"/>
                <w:szCs w:val="18"/>
              </w:rPr>
            </w:pPr>
            <w:r>
              <w:rPr>
                <w:rFonts w:hint="eastAsia"/>
                <w:sz w:val="18"/>
                <w:szCs w:val="18"/>
              </w:rPr>
              <w:t>社会效益指标</w:t>
            </w:r>
          </w:p>
        </w:tc>
        <w:tc>
          <w:tcPr>
            <w:tcW w:w="1276" w:type="dxa"/>
            <w:shd w:val="clear" w:color="auto" w:fill="auto"/>
            <w:vAlign w:val="center"/>
          </w:tcPr>
          <w:p>
            <w:pPr>
              <w:rPr>
                <w:rFonts w:ascii="宋体" w:hAnsi="宋体" w:eastAsia="宋体" w:cs="宋体"/>
                <w:sz w:val="18"/>
                <w:szCs w:val="18"/>
              </w:rPr>
            </w:pPr>
            <w:r>
              <w:rPr>
                <w:rFonts w:hint="eastAsia"/>
                <w:sz w:val="18"/>
                <w:szCs w:val="18"/>
              </w:rPr>
              <w:t>突发事件处理效果</w:t>
            </w:r>
          </w:p>
        </w:tc>
        <w:tc>
          <w:tcPr>
            <w:tcW w:w="2891" w:type="dxa"/>
            <w:shd w:val="clear" w:color="auto" w:fill="auto"/>
            <w:vAlign w:val="center"/>
          </w:tcPr>
          <w:p>
            <w:pPr>
              <w:rPr>
                <w:rFonts w:ascii="宋体" w:hAnsi="宋体" w:eastAsia="宋体" w:cs="宋体"/>
                <w:sz w:val="18"/>
                <w:szCs w:val="18"/>
              </w:rPr>
            </w:pPr>
            <w:r>
              <w:rPr>
                <w:rFonts w:hint="eastAsia"/>
                <w:sz w:val="18"/>
                <w:szCs w:val="18"/>
              </w:rPr>
              <w:t>反映突发事件是否能够得到及时发现并部署处理措施情况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jc w:val="center"/>
              <w:rPr>
                <w:rFonts w:ascii="宋体" w:hAnsi="宋体" w:eastAsia="宋体" w:cs="宋体"/>
                <w:sz w:val="18"/>
                <w:szCs w:val="18"/>
              </w:rPr>
            </w:pPr>
            <w:r>
              <w:rPr>
                <w:rFonts w:hint="eastAsia"/>
                <w:sz w:val="18"/>
                <w:szCs w:val="18"/>
              </w:rPr>
              <w:t>服务对象满意度指标</w:t>
            </w:r>
          </w:p>
        </w:tc>
        <w:tc>
          <w:tcPr>
            <w:tcW w:w="1276" w:type="dxa"/>
            <w:shd w:val="clear" w:color="auto" w:fill="auto"/>
            <w:vAlign w:val="center"/>
          </w:tcPr>
          <w:p>
            <w:pPr>
              <w:rPr>
                <w:rFonts w:ascii="宋体" w:hAnsi="宋体" w:eastAsia="宋体" w:cs="宋体"/>
                <w:sz w:val="18"/>
                <w:szCs w:val="18"/>
              </w:rPr>
            </w:pPr>
            <w:r>
              <w:rPr>
                <w:rFonts w:hint="eastAsia"/>
                <w:sz w:val="18"/>
                <w:szCs w:val="18"/>
              </w:rPr>
              <w:t>群众满意度</w:t>
            </w:r>
          </w:p>
        </w:tc>
        <w:tc>
          <w:tcPr>
            <w:tcW w:w="2891" w:type="dxa"/>
            <w:shd w:val="clear" w:color="auto" w:fill="auto"/>
            <w:vAlign w:val="center"/>
          </w:tcPr>
          <w:p>
            <w:pPr>
              <w:rPr>
                <w:rFonts w:ascii="宋体" w:hAnsi="宋体" w:eastAsia="宋体" w:cs="宋体"/>
                <w:sz w:val="18"/>
                <w:szCs w:val="18"/>
              </w:rPr>
            </w:pPr>
            <w:r>
              <w:rPr>
                <w:rFonts w:hint="eastAsia"/>
                <w:sz w:val="18"/>
                <w:szCs w:val="18"/>
              </w:rPr>
              <w:t>接受服务的群众满意度调查达到完全满意或者满意的占全部调查对象的比例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≥90%</w:t>
            </w:r>
          </w:p>
        </w:tc>
        <w:tc>
          <w:tcPr>
            <w:tcW w:w="1701" w:type="dxa"/>
            <w:shd w:val="clear" w:color="auto" w:fill="auto"/>
          </w:tcPr>
          <w:p>
            <w:r>
              <w:rPr>
                <w:rFonts w:hint="eastAsia"/>
                <w:color w:val="000000"/>
                <w:szCs w:val="21"/>
              </w:rPr>
              <w:t>廊组字【</w:t>
            </w:r>
            <w:r>
              <w:rPr>
                <w:rFonts w:ascii="Times New Roman" w:hAnsi="Times New Roman" w:cs="Times New Roman"/>
                <w:color w:val="000000"/>
                <w:szCs w:val="21"/>
              </w:rPr>
              <w:t>2018</w:t>
            </w:r>
            <w:r>
              <w:rPr>
                <w:rFonts w:hint="eastAsia"/>
                <w:color w:val="000000"/>
                <w:szCs w:val="21"/>
              </w:rPr>
              <w:t>】</w:t>
            </w:r>
            <w:r>
              <w:rPr>
                <w:rFonts w:ascii="Times New Roman" w:hAnsi="Times New Roman" w:cs="Times New Roman"/>
                <w:color w:val="000000"/>
                <w:szCs w:val="21"/>
              </w:rPr>
              <w:t>94</w:t>
            </w:r>
            <w:r>
              <w:rPr>
                <w:rFonts w:hint="eastAsia"/>
                <w:color w:val="000000"/>
                <w:szCs w:val="21"/>
              </w:rPr>
              <w:t>号</w:t>
            </w:r>
          </w:p>
        </w:tc>
      </w:tr>
    </w:tbl>
    <w:p>
      <w:pPr>
        <w:spacing w:line="300" w:lineRule="exact"/>
        <w:ind w:firstLine="420" w:firstLineChars="200"/>
        <w:jc w:val="left"/>
      </w:pPr>
    </w:p>
    <w:p>
      <w:pPr>
        <w:ind w:firstLine="562" w:firstLineChars="200"/>
        <w:jc w:val="left"/>
        <w:outlineLvl w:val="1"/>
        <w:rPr>
          <w:rFonts w:ascii="Times New Roman" w:hAnsi="宋体"/>
          <w:b/>
          <w:sz w:val="28"/>
        </w:rPr>
      </w:pPr>
      <w:r>
        <w:rPr>
          <w:rFonts w:hint="eastAsia" w:ascii="方正仿宋_GBK" w:eastAsia="方正仿宋_GBK"/>
          <w:b/>
          <w:sz w:val="28"/>
        </w:rPr>
        <w:t>2.非公办教师经费绩效目标表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2822916"/>
      <w:r>
        <w:rPr>
          <w:rFonts w:hint="eastAsia" w:ascii="方正仿宋_GBK" w:eastAsia="方正仿宋_GBK"/>
          <w:b/>
          <w:sz w:val="28"/>
        </w:rPr>
        <w:instrText xml:space="preserve">2、非公办教师经费绩效目标表</w:instrText>
      </w:r>
      <w:bookmarkEnd w:id="2"/>
      <w:r>
        <w:rPr>
          <w:rFonts w:hint="eastAsia" w:ascii="方正仿宋_GBK" w:eastAsia="方正仿宋_GBK"/>
          <w:b/>
          <w:sz w:val="28"/>
        </w:rPr>
        <w:instrText xml:space="preserve"> \f B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、确保非公办教师工资足额发放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、按时缴纳非公办教师保险。</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非公办教师培训人数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提高民办教师整体教学水平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毛入学率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在校生数量占相应人口总数比率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生均财政投入数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教育支出与学生人数的比值</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专任教师合格率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按照各类教育教师学历达标人数占全部教师人数的比例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辍学学生人数占应在学学生人数的比例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&lt;10%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区政府会议纪要【</w:t>
            </w:r>
            <w:r>
              <w:rPr>
                <w:rFonts w:ascii="方正书宋_GBK" w:eastAsia="方正书宋_GBK"/>
              </w:rPr>
              <w:t>2008</w:t>
            </w:r>
            <w:r>
              <w:rPr>
                <w:rFonts w:hint="eastAsia" w:ascii="方正书宋_GBK" w:eastAsia="方正书宋_GBK"/>
              </w:rPr>
              <w:t>】</w:t>
            </w:r>
            <w:r>
              <w:rPr>
                <w:rFonts w:ascii="方正书宋_GBK" w:eastAsia="方正书宋_GBK"/>
              </w:rPr>
              <w:t>2</w:t>
            </w:r>
            <w:r>
              <w:rPr>
                <w:rFonts w:hint="eastAsia" w:ascii="方正书宋_GBK" w:eastAsia="方正书宋_GBK"/>
              </w:rPr>
              <w:t>号文</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年，我部门安排政府采购预算5.28万元。具体内容见下表。</w:t>
      </w:r>
    </w:p>
    <w:bookmarkEnd w:id="3"/>
    <w:p>
      <w:pPr>
        <w:spacing w:line="584" w:lineRule="exact"/>
        <w:jc w:val="center"/>
        <w:outlineLvl w:val="0"/>
        <w:rPr>
          <w:rFonts w:ascii="Times New Roman" w:hAnsi="Times New Roman" w:eastAsia="仿宋_GB2312" w:cs="Times New Roman"/>
          <w:sz w:val="32"/>
        </w:rPr>
      </w:pPr>
      <w:bookmarkStart w:id="4" w:name="_Toc504489153"/>
      <w:r>
        <w:rPr>
          <w:rFonts w:ascii="Times New Roman" w:hAnsi="Times New Roman" w:eastAsia="仿宋_GB2312" w:cs="Times New Roman"/>
          <w:sz w:val="32"/>
        </w:rPr>
        <w:t>部门政府采购预算</w:t>
      </w:r>
      <w:bookmarkEnd w:id="4"/>
    </w:p>
    <w:p>
      <w:pPr>
        <w:spacing w:line="584" w:lineRule="exact"/>
        <w:jc w:val="left"/>
        <w:outlineLvl w:val="0"/>
        <w:rPr>
          <w:rFonts w:ascii="Times New Roman" w:hAnsi="Times New Roman" w:eastAsia="仿宋_GB2312" w:cs="Times New Roman"/>
        </w:rPr>
      </w:pP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sz w:val="24"/>
              </w:rPr>
              <w:t>[912]</w:t>
            </w:r>
            <w:r>
              <w:rPr>
                <w:rFonts w:hint="eastAsia" w:ascii="方正小标宋_GBK" w:eastAsia="方正小标宋_GBK"/>
                <w:sz w:val="24"/>
              </w:rPr>
              <w:t>廊坊市广阳区九州镇人民政府</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1531" w:type="dxa"/>
            <w:vMerge w:val="continue"/>
            <w:shd w:val="clear" w:color="auto" w:fill="auto"/>
            <w:vAlign w:val="center"/>
          </w:tcPr>
          <w:p>
            <w:pPr>
              <w:spacing w:line="300" w:lineRule="exact"/>
              <w:jc w:val="left"/>
              <w:outlineLvl w:val="0"/>
              <w:rPr>
                <w:rFonts w:ascii="Times New Roman" w:eastAsia="方正仿宋_GBK"/>
                <w:sz w:val="28"/>
              </w:rPr>
            </w:pPr>
          </w:p>
        </w:tc>
        <w:tc>
          <w:tcPr>
            <w:tcW w:w="709"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907" w:type="dxa"/>
            <w:vMerge w:val="continue"/>
            <w:shd w:val="clear" w:color="auto" w:fill="auto"/>
            <w:vAlign w:val="center"/>
          </w:tcPr>
          <w:p>
            <w:pPr>
              <w:spacing w:line="300" w:lineRule="exact"/>
              <w:jc w:val="left"/>
              <w:outlineLvl w:val="0"/>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廊坊市广阳区九州镇人民政府小计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5.28</w:t>
            </w:r>
          </w:p>
        </w:tc>
        <w:tc>
          <w:tcPr>
            <w:tcW w:w="1134" w:type="dxa"/>
            <w:shd w:val="clear" w:color="auto" w:fill="auto"/>
            <w:vAlign w:val="center"/>
          </w:tcPr>
          <w:p>
            <w:pPr>
              <w:spacing w:line="300" w:lineRule="exact"/>
              <w:jc w:val="right"/>
              <w:rPr>
                <w:rFonts w:ascii="方正书宋_GBK" w:eastAsia="方正书宋_GBK"/>
                <w:b/>
              </w:rPr>
            </w:pPr>
            <w:r>
              <w:rPr>
                <w:rFonts w:ascii="方正书宋_GBK" w:eastAsia="方正书宋_GBK"/>
                <w:b/>
              </w:rPr>
              <w:t>5.28</w:t>
            </w: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3.7</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A02010104</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10</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0.37</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3.70</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0.96</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A0206180203</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4</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0.96</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0.48</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A0201060102</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2</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0.24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0.48</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0.14</w:t>
            </w:r>
          </w:p>
        </w:tc>
        <w:tc>
          <w:tcPr>
            <w:tcW w:w="153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shd w:val="clear" w:color="auto" w:fill="auto"/>
            <w:vAlign w:val="center"/>
          </w:tcPr>
          <w:p>
            <w:pPr>
              <w:spacing w:line="300" w:lineRule="exact"/>
              <w:jc w:val="left"/>
              <w:rPr>
                <w:rFonts w:ascii="方正书宋_GBK" w:eastAsia="方正书宋_GBK"/>
              </w:rPr>
            </w:pPr>
            <w:r>
              <w:rPr>
                <w:rFonts w:ascii="方正书宋_GBK" w:eastAsia="方正书宋_GBK"/>
              </w:rPr>
              <w:t>A020201</w:t>
            </w:r>
          </w:p>
        </w:tc>
        <w:tc>
          <w:tcPr>
            <w:tcW w:w="709"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shd w:val="clear" w:color="auto" w:fill="auto"/>
            <w:vAlign w:val="center"/>
          </w:tcPr>
          <w:p>
            <w:pPr>
              <w:spacing w:line="300" w:lineRule="exact"/>
              <w:jc w:val="right"/>
              <w:rPr>
                <w:rFonts w:ascii="方正书宋_GBK" w:eastAsia="方正书宋_GBK"/>
              </w:rPr>
            </w:pPr>
            <w:r>
              <w:rPr>
                <w:rFonts w:hint="eastAsia" w:ascii="方正书宋_GBK" w:eastAsia="方正书宋_GBK"/>
              </w:rPr>
              <w:t>1</w:t>
            </w:r>
          </w:p>
        </w:tc>
        <w:tc>
          <w:tcPr>
            <w:tcW w:w="907" w:type="dxa"/>
            <w:shd w:val="clear" w:color="auto" w:fill="auto"/>
            <w:vAlign w:val="center"/>
          </w:tcPr>
          <w:p>
            <w:pPr>
              <w:spacing w:line="300" w:lineRule="exact"/>
              <w:jc w:val="right"/>
              <w:rPr>
                <w:rFonts w:ascii="方正书宋_GBK" w:eastAsia="方正书宋_GBK"/>
              </w:rPr>
            </w:pPr>
            <w:r>
              <w:rPr>
                <w:rFonts w:ascii="方正书宋_GBK" w:eastAsia="方正书宋_GBK"/>
              </w:rPr>
              <w:t>0.14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0.14</w:t>
            </w:r>
          </w:p>
        </w:tc>
        <w:tc>
          <w:tcPr>
            <w:tcW w:w="1134" w:type="dxa"/>
            <w:shd w:val="clear" w:color="auto" w:fill="auto"/>
            <w:vAlign w:val="center"/>
          </w:tcPr>
          <w:p>
            <w:pPr>
              <w:spacing w:line="300" w:lineRule="exact"/>
              <w:jc w:val="right"/>
              <w:rPr>
                <w:rFonts w:ascii="方正书宋_GBK" w:eastAsia="方正书宋_GBK"/>
              </w:rPr>
            </w:pPr>
            <w:r>
              <w:rPr>
                <w:rFonts w:ascii="方正书宋_GBK" w:eastAsia="方正书宋_GBK"/>
              </w:rPr>
              <w:t>0.14</w:t>
            </w: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广阳区九州镇人民政府</w:t>
      </w:r>
      <w:r>
        <w:rPr>
          <w:rFonts w:ascii="Times New Roman" w:hAnsi="Times New Roman" w:eastAsia="仿宋_GB2312" w:cs="Times New Roman"/>
          <w:sz w:val="32"/>
          <w:szCs w:val="32"/>
        </w:rPr>
        <w:t>（含所属单位）上年末固定资产金额为528.3万元，本年度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5.28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主要为计算机设备、打印设备、空调等，已列入政府采购预算。详见</w:t>
      </w:r>
      <w:r>
        <w:rPr>
          <w:rFonts w:hint="eastAsia" w:ascii="Times New Roman" w:hAnsi="Times New Roman" w:eastAsia="仿宋_GB2312" w:cs="Times New Roman"/>
          <w:sz w:val="32"/>
          <w:szCs w:val="32"/>
        </w:rPr>
        <w:t>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528.3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10455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490.05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10455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490.05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38.25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 w:hAnsi="楷体" w:eastAsia="楷体"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 w:hAnsi="楷体" w:eastAsia="楷体"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030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2769"/>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E3514"/>
    <w:rsid w:val="002F3896"/>
    <w:rsid w:val="002F3E58"/>
    <w:rsid w:val="0030542C"/>
    <w:rsid w:val="003064CA"/>
    <w:rsid w:val="00311B7A"/>
    <w:rsid w:val="003126B6"/>
    <w:rsid w:val="00313D9C"/>
    <w:rsid w:val="00325215"/>
    <w:rsid w:val="0033339C"/>
    <w:rsid w:val="00335660"/>
    <w:rsid w:val="00352E29"/>
    <w:rsid w:val="00384AFB"/>
    <w:rsid w:val="003A05EE"/>
    <w:rsid w:val="003B6D37"/>
    <w:rsid w:val="004132D7"/>
    <w:rsid w:val="00414BD3"/>
    <w:rsid w:val="00424943"/>
    <w:rsid w:val="0042727E"/>
    <w:rsid w:val="0043175C"/>
    <w:rsid w:val="00437296"/>
    <w:rsid w:val="00451590"/>
    <w:rsid w:val="00451871"/>
    <w:rsid w:val="00455103"/>
    <w:rsid w:val="004706DE"/>
    <w:rsid w:val="00472923"/>
    <w:rsid w:val="004757FD"/>
    <w:rsid w:val="00481ED0"/>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C3C12"/>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E2F0A"/>
    <w:rsid w:val="009F24CE"/>
    <w:rsid w:val="00A16E6C"/>
    <w:rsid w:val="00A40F60"/>
    <w:rsid w:val="00A44E3D"/>
    <w:rsid w:val="00A72D2E"/>
    <w:rsid w:val="00A74447"/>
    <w:rsid w:val="00A74CE5"/>
    <w:rsid w:val="00A77500"/>
    <w:rsid w:val="00A80623"/>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52B04"/>
    <w:rsid w:val="00C772C1"/>
    <w:rsid w:val="00C93D22"/>
    <w:rsid w:val="00CA7176"/>
    <w:rsid w:val="00CB51D7"/>
    <w:rsid w:val="00CC75B0"/>
    <w:rsid w:val="00CD2773"/>
    <w:rsid w:val="00CE01BA"/>
    <w:rsid w:val="00CE143B"/>
    <w:rsid w:val="00CE3A91"/>
    <w:rsid w:val="00D07DBA"/>
    <w:rsid w:val="00D23C16"/>
    <w:rsid w:val="00D27003"/>
    <w:rsid w:val="00D324AD"/>
    <w:rsid w:val="00D90CDC"/>
    <w:rsid w:val="00D9307A"/>
    <w:rsid w:val="00DB4322"/>
    <w:rsid w:val="00DD1D0C"/>
    <w:rsid w:val="00DE186D"/>
    <w:rsid w:val="00DF1143"/>
    <w:rsid w:val="00E167C7"/>
    <w:rsid w:val="00E440CF"/>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D7FCC"/>
    <w:rsid w:val="00FE1724"/>
    <w:rsid w:val="00FE753C"/>
    <w:rsid w:val="00FF2346"/>
    <w:rsid w:val="02BC0326"/>
    <w:rsid w:val="2C3E3C9C"/>
    <w:rsid w:val="588B10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44D49-7E50-448B-B912-E1BF4428937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1159</Words>
  <Characters>6610</Characters>
  <Lines>55</Lines>
  <Paragraphs>15</Paragraphs>
  <TotalTime>27</TotalTime>
  <ScaleCrop>false</ScaleCrop>
  <LinksUpToDate>false</LinksUpToDate>
  <CharactersWithSpaces>7754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2020-02-20T02:01:00Z</dcterms:created>
  <dc:creator>guest</dc:creator>
  <cp:lastModifiedBy>111</cp:lastModifiedBy>
  <cp:lastPrinted>2019-02-18T02:45:00Z</cp:lastPrinted>
  <dcterms:modified xsi:type="dcterms:W3CDTF">2024-07-18T03:12:07Z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7FD7CE04D62C4F188EF5E9DB4F8E841C</vt:lpwstr>
  </property>
</Properties>
</file>