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廊坊市广阳区科学技术协会20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w:t>
      </w:r>
      <w:r>
        <w:rPr>
          <w:rFonts w:hint="eastAsia" w:ascii="仿宋_GB2312" w:hAnsi="Times New Roman" w:eastAsia="仿宋_GB2312" w:cs="Times New Roman"/>
          <w:sz w:val="32"/>
          <w:szCs w:val="32"/>
          <w:lang w:eastAsia="zh-CN"/>
        </w:rPr>
        <w:t>中华人民共和国</w:t>
      </w:r>
      <w:bookmarkStart w:id="3" w:name="_GoBack"/>
      <w:bookmarkEnd w:id="3"/>
      <w:r>
        <w:rPr>
          <w:rFonts w:hint="eastAsia" w:ascii="仿宋_GB2312" w:hAnsi="Times New Roman" w:eastAsia="仿宋_GB2312" w:cs="Times New Roman"/>
          <w:sz w:val="32"/>
          <w:szCs w:val="32"/>
        </w:rPr>
        <w:t>预算法》、《地方预决算公开操作规程》和《河北省省级预算公开办法》规定，现将廊坊市广阳区科学技术协会2020年部门预算公开如下：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2"/>
        <w:numPr>
          <w:ilvl w:val="0"/>
          <w:numId w:val="1"/>
        </w:numPr>
        <w:adjustRightInd w:val="0"/>
        <w:spacing w:line="584" w:lineRule="exact"/>
        <w:ind w:left="0" w:firstLine="640"/>
        <w:rPr>
          <w:rFonts w:ascii="仿宋_GB2312" w:eastAsia="仿宋_GB2312"/>
          <w:sz w:val="32"/>
          <w:szCs w:val="32"/>
        </w:rPr>
      </w:pPr>
      <w:r>
        <w:rPr>
          <w:rFonts w:hint="eastAsia" w:ascii="仿宋_GB2312" w:eastAsia="仿宋_GB2312"/>
          <w:sz w:val="32"/>
          <w:szCs w:val="32"/>
        </w:rPr>
        <w:t>深化科普工作内容。拓展科普工作方式，推进物质文明，精神文明和先进文化建设。</w:t>
      </w:r>
    </w:p>
    <w:p>
      <w:pPr>
        <w:pStyle w:val="12"/>
        <w:numPr>
          <w:ilvl w:val="0"/>
          <w:numId w:val="1"/>
        </w:numPr>
        <w:adjustRightInd w:val="0"/>
        <w:spacing w:line="584" w:lineRule="exact"/>
        <w:ind w:left="0" w:firstLine="640"/>
        <w:rPr>
          <w:rFonts w:ascii="仿宋_GB2312" w:hAnsi="Times New Roman" w:eastAsia="仿宋_GB2312" w:cs="Times New Roman"/>
          <w:b/>
          <w:sz w:val="32"/>
          <w:szCs w:val="32"/>
        </w:rPr>
      </w:pPr>
      <w:r>
        <w:rPr>
          <w:rFonts w:hint="eastAsia" w:ascii="仿宋_GB2312" w:eastAsia="仿宋_GB2312"/>
          <w:sz w:val="32"/>
          <w:szCs w:val="32"/>
        </w:rPr>
        <w:t>开展青少年科普文化教育活动。促进科普融入教育，推动素质教育的进行。</w:t>
      </w:r>
    </w:p>
    <w:p>
      <w:pPr>
        <w:pStyle w:val="12"/>
        <w:numPr>
          <w:ilvl w:val="0"/>
          <w:numId w:val="1"/>
        </w:numPr>
        <w:adjustRightInd w:val="0"/>
        <w:spacing w:line="584" w:lineRule="exact"/>
        <w:ind w:left="0" w:firstLine="640"/>
        <w:rPr>
          <w:rFonts w:ascii="仿宋_GB2312" w:hAnsi="Times New Roman" w:eastAsia="仿宋_GB2312" w:cs="Times New Roman"/>
          <w:b/>
          <w:sz w:val="32"/>
          <w:szCs w:val="32"/>
        </w:rPr>
      </w:pPr>
      <w:r>
        <w:rPr>
          <w:rFonts w:hint="eastAsia" w:ascii="仿宋_GB2312" w:eastAsia="仿宋_GB2312"/>
          <w:sz w:val="32"/>
          <w:szCs w:val="32"/>
        </w:rPr>
        <w:t>实施金桥工程。为促进经济发展和结构调整 在新项目，新技术，新成果方面的引进，示范和推广上开展工作。牵线搭桥。</w:t>
      </w:r>
    </w:p>
    <w:p>
      <w:pPr>
        <w:pStyle w:val="12"/>
        <w:numPr>
          <w:ilvl w:val="0"/>
          <w:numId w:val="1"/>
        </w:numPr>
        <w:adjustRightInd w:val="0"/>
        <w:spacing w:line="584" w:lineRule="exact"/>
        <w:ind w:left="0" w:firstLine="640"/>
        <w:rPr>
          <w:rFonts w:ascii="仿宋_GB2312" w:hAnsi="Times New Roman" w:eastAsia="仿宋_GB2312" w:cs="Times New Roman"/>
          <w:b/>
          <w:sz w:val="32"/>
          <w:szCs w:val="32"/>
        </w:rPr>
      </w:pPr>
      <w:r>
        <w:rPr>
          <w:rFonts w:hint="eastAsia" w:ascii="仿宋_GB2312" w:eastAsia="仿宋_GB2312"/>
          <w:sz w:val="32"/>
          <w:szCs w:val="32"/>
        </w:rPr>
        <w:t>组织各专门协会，科普协会，农研会等科普网络，并开展工作。</w:t>
      </w:r>
    </w:p>
    <w:p>
      <w:pPr>
        <w:pStyle w:val="12"/>
        <w:numPr>
          <w:ilvl w:val="0"/>
          <w:numId w:val="1"/>
        </w:numPr>
        <w:adjustRightInd w:val="0"/>
        <w:spacing w:line="584" w:lineRule="exact"/>
        <w:ind w:left="0" w:firstLine="640"/>
        <w:rPr>
          <w:rFonts w:ascii="仿宋_GB2312" w:hAnsi="Times New Roman" w:eastAsia="仿宋_GB2312" w:cs="Times New Roman"/>
          <w:b/>
          <w:sz w:val="32"/>
          <w:szCs w:val="32"/>
        </w:rPr>
      </w:pPr>
      <w:r>
        <w:rPr>
          <w:rFonts w:hint="eastAsia" w:ascii="仿宋_GB2312" w:eastAsia="仿宋_GB2312"/>
          <w:sz w:val="32"/>
          <w:szCs w:val="32"/>
        </w:rPr>
        <w:t>抓好科普示范乡村户和科普基地建设。</w:t>
      </w:r>
    </w:p>
    <w:p>
      <w:pPr>
        <w:pStyle w:val="12"/>
        <w:numPr>
          <w:ilvl w:val="0"/>
          <w:numId w:val="1"/>
        </w:numPr>
        <w:adjustRightInd w:val="0"/>
        <w:spacing w:line="584" w:lineRule="exact"/>
        <w:ind w:left="0" w:firstLine="640"/>
        <w:rPr>
          <w:rFonts w:ascii="仿宋_GB2312" w:hAnsi="Times New Roman" w:eastAsia="仿宋_GB2312" w:cs="Times New Roman"/>
          <w:b/>
          <w:sz w:val="32"/>
          <w:szCs w:val="32"/>
        </w:rPr>
      </w:pPr>
      <w:r>
        <w:rPr>
          <w:rFonts w:hint="eastAsia" w:ascii="仿宋_GB2312" w:eastAsia="仿宋_GB2312"/>
          <w:sz w:val="32"/>
          <w:szCs w:val="32"/>
        </w:rPr>
        <w:t>开展科普技术咨询，技术开发，技术转让，技术服务等中介服务工作。</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廊坊市广阳区科学技术协会</w:t>
            </w:r>
          </w:p>
        </w:tc>
        <w:tc>
          <w:tcPr>
            <w:tcW w:w="1134" w:type="dxa"/>
            <w:shd w:val="clear" w:color="auto" w:fill="auto"/>
            <w:vAlign w:val="center"/>
          </w:tcPr>
          <w:p>
            <w:pPr>
              <w:autoSpaceDE w:val="0"/>
              <w:autoSpaceDN w:val="0"/>
              <w:spacing w:line="540" w:lineRule="exact"/>
              <w:jc w:val="center"/>
              <w:rPr>
                <w:rFonts w:ascii="仿宋_GB2312" w:eastAsia="仿宋_GB2312"/>
                <w:sz w:val="32"/>
                <w:szCs w:val="32"/>
                <w:highlight w:val="yellow"/>
              </w:rPr>
            </w:pPr>
            <w:r>
              <w:rPr>
                <w:rFonts w:hint="eastAsia" w:ascii="仿宋_GB2312" w:eastAsia="仿宋_GB2312"/>
                <w:color w:val="000000"/>
                <w:sz w:val="32"/>
                <w:szCs w:val="32"/>
              </w:rPr>
              <w:t>群众团体</w:t>
            </w:r>
          </w:p>
        </w:tc>
        <w:tc>
          <w:tcPr>
            <w:tcW w:w="1276" w:type="dxa"/>
            <w:shd w:val="clear" w:color="auto" w:fill="auto"/>
            <w:vAlign w:val="center"/>
          </w:tcPr>
          <w:p>
            <w:pPr>
              <w:spacing w:line="540" w:lineRule="exact"/>
              <w:jc w:val="center"/>
              <w:rPr>
                <w:rFonts w:ascii="仿宋_GB2312" w:eastAsia="仿宋_GB2312"/>
                <w:sz w:val="32"/>
                <w:szCs w:val="32"/>
              </w:rPr>
            </w:pPr>
            <w:r>
              <w:rPr>
                <w:rFonts w:hint="eastAsia" w:ascii="仿宋_GB2312" w:eastAsia="仿宋_GB2312"/>
                <w:sz w:val="32"/>
                <w:szCs w:val="32"/>
              </w:rPr>
              <w:t>正</w:t>
            </w:r>
            <w:r>
              <w:rPr>
                <w:rFonts w:ascii="仿宋_GB2312" w:eastAsia="仿宋_GB2312"/>
                <w:sz w:val="32"/>
                <w:szCs w:val="32"/>
              </w:rPr>
              <w:t>科</w:t>
            </w:r>
            <w:r>
              <w:rPr>
                <w:rFonts w:hint="eastAsia" w:ascii="仿宋_GB2312" w:eastAsia="仿宋_GB2312"/>
                <w:sz w:val="32"/>
                <w:szCs w:val="32"/>
              </w:rPr>
              <w:t>级</w:t>
            </w:r>
          </w:p>
        </w:tc>
        <w:tc>
          <w:tcPr>
            <w:tcW w:w="2902"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广阳区科学技术协会及所属事业单位</w:t>
      </w:r>
      <w:r>
        <w:rPr>
          <w:rFonts w:ascii="Times New Roman" w:hAnsi="Times New Roman" w:eastAsia="仿宋_GB2312" w:cs="Times New Roman"/>
          <w:sz w:val="32"/>
          <w:szCs w:val="32"/>
        </w:rPr>
        <w:t>的收支包含在部门预算中。</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152.61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152.61</w:t>
      </w:r>
      <w:r>
        <w:rPr>
          <w:rFonts w:ascii="Times New Roman" w:hAnsi="Times New Roman" w:eastAsia="仿宋_GB2312" w:cs="Times New Roman"/>
          <w:sz w:val="32"/>
          <w:szCs w:val="32"/>
        </w:rPr>
        <w:t>万元，基金预算收入0万元，财政专户核拨收入0万元，其他来源收入0万元。</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广阳区科学技术协会</w:t>
      </w:r>
      <w:r>
        <w:rPr>
          <w:rFonts w:ascii="Times New Roman" w:hAnsi="Times New Roman" w:eastAsia="仿宋_GB2312" w:cs="Times New Roman"/>
          <w:sz w:val="32"/>
          <w:szCs w:val="32"/>
        </w:rPr>
        <w:t>2020年度部门预算中支出预算的总体情况。20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152.61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146.61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132.16</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14.45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万元；其他支出0万元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152.61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10.34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8.34</w:t>
      </w:r>
      <w:r>
        <w:rPr>
          <w:rFonts w:ascii="Times New Roman" w:hAnsi="Times New Roman" w:eastAsia="仿宋_GB2312" w:cs="Times New Roman"/>
          <w:sz w:val="32"/>
          <w:szCs w:val="32"/>
        </w:rPr>
        <w:t>万，主要为增加工资等支出；项目支出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科普活动</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0万元，</w:t>
      </w:r>
      <w:r>
        <w:rPr>
          <w:rFonts w:hint="eastAsia" w:ascii="Times New Roman" w:hAnsi="Times New Roman" w:eastAsia="仿宋_GB2312" w:cs="Times New Roman"/>
          <w:sz w:val="32"/>
          <w:szCs w:val="32"/>
        </w:rPr>
        <w:t>无增减变化</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b/>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14.45</w:t>
      </w:r>
      <w:r>
        <w:rPr>
          <w:rFonts w:ascii="Times New Roman" w:hAnsi="Times New Roman" w:eastAsia="仿宋_GB2312" w:cs="Times New Roman"/>
          <w:sz w:val="32"/>
          <w:szCs w:val="32"/>
        </w:rPr>
        <w:t>万元，主要用于日常维修、办公用房水电费等日常运行支出。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万元（其中：公务用车购置费为0万元，公务用车运维费4.37万元)；公务接待费0万元。与201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、开展青少年科普活动，组织青少年科技创新大赛，提高青少年素质水平。</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、开展社区科普活动，提升社区居民科学素质水平。</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、推广农业先进和实用新技术、新工艺、新品种，科普活动成效显著。</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、推进青少年科技活动示范建设。</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、科普E站建设，达到上级要求。</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、企业科协建设达到相关要求。</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、各项科普业务工作谋划到位。</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科学技术普及目标：实施《全民科学素质行动计划纲要》，改善科普设施，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科普设施体系建设。加强全民科学素质教育基地建设，加强科普设施建设。建立互联网云科普、手机科普、数字科技馆等数字化科普公共服务平台。</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科协政务管理目标：提升综合业务管理水平。保障机关运行、科普项目管理、机关组织建设等各项工作</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、突出作风建设,全面提升工作质量和效率</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一是加强政治学习。</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二是全面从严治党落实“一岗双责”和“两个责任”。</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三是不断强化意识形态工作。</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四是持续抓好党风廉政建设责任制和作风建设工作。</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五是严格学法守法。</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、积极开展各项科普工作，努力提高全民科学素质</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一是推进青少年科学素质提升工作。</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二是开展全国科技工作者日主题宣传活动。</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三是开展全国科普日活动。</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四是把发展科协个人会员工作落到实处抓出成效。</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五是启动提升基层科协组织力“3+1”试点工作。</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六是持续开展科普e站和企业科协创建工作。</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接下来，区科协将进一步调动工作积极性，根据乡镇（街道）科协走访情况，研究制定针对性强、操作性强的对策，举办基层科协组织力“3+1”试点工作会议，鼓励、引导基层科协结合当地实际开展科普活动；鼓励学（协）会开展课题调研，鼓励学（协）会开展学术交流；建立企业科协；组织开展全国科普日系列活动，打造特色科普活动品牌。</w:t>
      </w:r>
    </w:p>
    <w:p>
      <w:pPr>
        <w:numPr>
          <w:ilvl w:val="0"/>
          <w:numId w:val="2"/>
        </w:num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资金绩效目标</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hint="eastAsia" w:ascii="方正仿宋_GBK" w:eastAsia="方正仿宋_GBK"/>
                <w:b/>
                <w:sz w:val="28"/>
              </w:rPr>
              <w:t>1、科普活动经费绩效目标表</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、加强乡镇</w:t>
            </w:r>
            <w:r>
              <w:rPr>
                <w:rFonts w:ascii="方正书宋_GBK" w:eastAsia="方正书宋_GBK"/>
              </w:rPr>
              <w:t>/</w:t>
            </w:r>
            <w:r>
              <w:rPr>
                <w:rFonts w:hint="eastAsia" w:ascii="方正书宋_GBK" w:eastAsia="方正书宋_GBK"/>
              </w:rPr>
              <w:t>街办处科协建设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、做好科普活动周宣传活动</w:t>
            </w:r>
          </w:p>
        </w:tc>
      </w:tr>
    </w:tbl>
    <w:p>
      <w:pPr>
        <w:pStyle w:val="12"/>
        <w:numPr>
          <w:ilvl w:val="0"/>
          <w:numId w:val="2"/>
        </w:numPr>
        <w:spacing w:line="14" w:lineRule="exact"/>
        <w:ind w:firstLineChars="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反映满足全区科普活动宣品的需求情况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p>
          <w:p>
            <w:pPr>
              <w:spacing w:line="300" w:lineRule="exact"/>
              <w:jc w:val="left"/>
              <w:rPr>
                <w:rFonts w:ascii="方正书宋_GBK" w:eastAsia="方正书宋_GBK"/>
              </w:rPr>
            </w:pP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科普图书</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购买科普图书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册</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科学画册</w:t>
            </w:r>
          </w:p>
          <w:p>
            <w:pPr>
              <w:spacing w:line="300" w:lineRule="exact"/>
              <w:jc w:val="left"/>
              <w:rPr>
                <w:rFonts w:ascii="方正书宋_GBK" w:eastAsia="方正书宋_GBK"/>
              </w:rPr>
            </w:pP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购买科学画册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册</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能够长期较好地开展展示，长期满足人民群众对精神文化的需求。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较好的开展可持续性</w:t>
            </w:r>
          </w:p>
          <w:p>
            <w:pPr>
              <w:spacing w:line="300" w:lineRule="exact"/>
              <w:jc w:val="left"/>
              <w:rPr>
                <w:rFonts w:ascii="方正书宋_GBK" w:eastAsia="方正书宋_GBK"/>
              </w:rPr>
            </w:pPr>
            <w:r>
              <w:rPr>
                <w:rFonts w:hint="eastAsia" w:ascii="方正书宋_GBK" w:eastAsia="方正书宋_GBK"/>
              </w:rPr>
              <w:t>的科普活动</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确保资助项目政治导向正确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资助项目不出现上级通报的意识形态重大问题（个）</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不出现意识形态重大问题</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爱国主义教育基地参观学习人次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组织前往爱国主义教育基地参观的数量（人次）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接受科普宣传服务群众的满意程度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乡镇街道科协的满意程度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社区科普服务的满意度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[2005]12</w:t>
            </w:r>
            <w:r>
              <w:rPr>
                <w:rFonts w:hint="eastAsia" w:ascii="方正书宋_GBK" w:eastAsia="方正书宋_GBK"/>
              </w:rPr>
              <w:t>号</w:t>
            </w:r>
          </w:p>
        </w:tc>
      </w:tr>
    </w:tbl>
    <w:p>
      <w:pPr>
        <w:pStyle w:val="12"/>
        <w:numPr>
          <w:ilvl w:val="0"/>
          <w:numId w:val="2"/>
        </w:numPr>
        <w:spacing w:line="300" w:lineRule="exact"/>
        <w:ind w:firstLineChars="0"/>
        <w:jc w:val="left"/>
        <w:sectPr>
          <w:pgSz w:w="16839" w:h="11907" w:orient="landscape"/>
          <w:pgMar w:top="1304" w:right="1984" w:bottom="1304" w:left="1134" w:header="851" w:footer="992" w:gutter="0"/>
          <w:cols w:space="425" w:num="1"/>
          <w:docGrid w:type="lines" w:linePitch="312" w:charSpace="0"/>
        </w:sectPr>
      </w:pPr>
    </w:p>
    <w:p>
      <w:pPr>
        <w:spacing w:line="540" w:lineRule="exact"/>
        <w:ind w:firstLine="640" w:firstLineChars="200"/>
        <w:jc w:val="left"/>
        <w:rPr>
          <w:rFonts w:ascii="仿宋_GB2312" w:eastAsia="仿宋_GB2312"/>
          <w:sz w:val="32"/>
        </w:rPr>
      </w:pPr>
    </w:p>
    <w:p>
      <w:pPr>
        <w:spacing w:line="540" w:lineRule="exact"/>
        <w:ind w:firstLine="640" w:firstLineChars="200"/>
        <w:jc w:val="left"/>
        <w:rPr>
          <w:rFonts w:ascii="仿宋_GB2312" w:eastAsia="仿宋_GB2312"/>
          <w:sz w:val="32"/>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年，我部门安排政府采购预算0万元。具体内容见下表。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[495]廊坊市广阳区科学技术协会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tc>
        <w:tc>
          <w:tcPr>
            <w:tcW w:w="471" w:type="pct"/>
            <w:vMerge w:val="continue"/>
            <w:shd w:val="clear" w:color="auto" w:fill="auto"/>
            <w:vAlign w:val="center"/>
          </w:tcPr>
          <w:p/>
        </w:tc>
        <w:tc>
          <w:tcPr>
            <w:tcW w:w="247" w:type="pct"/>
            <w:vMerge w:val="continue"/>
            <w:shd w:val="clear" w:color="auto" w:fill="auto"/>
            <w:vAlign w:val="center"/>
          </w:tcPr>
          <w:p/>
        </w:tc>
        <w:tc>
          <w:tcPr>
            <w:tcW w:w="254" w:type="pct"/>
            <w:vMerge w:val="continue"/>
            <w:shd w:val="clear" w:color="auto" w:fill="auto"/>
            <w:vAlign w:val="center"/>
          </w:tcPr>
          <w:p/>
        </w:tc>
        <w:tc>
          <w:tcPr>
            <w:tcW w:w="326"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廊坊市广阳区科学技术协会上年末固定资产金额为</w:t>
      </w:r>
      <w:r>
        <w:rPr>
          <w:rFonts w:hint="eastAsia" w:ascii="Times New Roman" w:hAnsi="Times New Roman" w:eastAsia="仿宋_GB2312" w:cs="Times New Roman"/>
          <w:sz w:val="32"/>
          <w:szCs w:val="32"/>
        </w:rPr>
        <w:t>23.37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本年度我部门无拟购置固定资产。详见下表。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编制部门：廊坊市广阳区科学技术协会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50D12A"/>
    <w:multiLevelType w:val="singleLevel"/>
    <w:tmpl w:val="FA50D12A"/>
    <w:lvl w:ilvl="0" w:tentative="0">
      <w:start w:val="2"/>
      <w:numFmt w:val="chineseCounting"/>
      <w:suff w:val="space"/>
      <w:lvlText w:val="第%1部分"/>
      <w:lvlJc w:val="left"/>
      <w:rPr>
        <w:rFonts w:hint="eastAsia"/>
      </w:rPr>
    </w:lvl>
  </w:abstractNum>
  <w:abstractNum w:abstractNumId="1">
    <w:nsid w:val="00422392"/>
    <w:multiLevelType w:val="multilevel"/>
    <w:tmpl w:val="00422392"/>
    <w:lvl w:ilvl="0" w:tentative="0">
      <w:start w:val="1"/>
      <w:numFmt w:val="chineseCountingThousand"/>
      <w:lvlText w:val="(%1)"/>
      <w:lvlJc w:val="left"/>
      <w:pPr>
        <w:ind w:left="1640" w:hanging="1080"/>
      </w:pPr>
      <w:rPr>
        <w:rFonts w:hint="eastAsia" w:ascii="楷体_GB2312" w:eastAsia="楷体_GB2312"/>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5D4D88"/>
    <w:rsid w:val="00025602"/>
    <w:rsid w:val="001A6C89"/>
    <w:rsid w:val="004D2E27"/>
    <w:rsid w:val="005B2281"/>
    <w:rsid w:val="005D4D88"/>
    <w:rsid w:val="007E31E9"/>
    <w:rsid w:val="00A93AF2"/>
    <w:rsid w:val="00B1744A"/>
    <w:rsid w:val="00BD2C07"/>
    <w:rsid w:val="00CC05DE"/>
    <w:rsid w:val="46F916CB"/>
    <w:rsid w:val="48DB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567</Words>
  <Characters>3234</Characters>
  <Lines>26</Lines>
  <Paragraphs>7</Paragraphs>
  <TotalTime>27</TotalTime>
  <ScaleCrop>false</ScaleCrop>
  <LinksUpToDate>false</LinksUpToDate>
  <CharactersWithSpaces>3794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2020-02-22T09:20:00Z</dcterms:created>
  <dc:creator>guest</dc:creator>
  <cp:lastModifiedBy>Administrator</cp:lastModifiedBy>
  <cp:lastPrinted>2019-02-18T02:45:00Z</cp:lastPrinted>
  <dcterms:modified xsi:type="dcterms:W3CDTF">2024-01-11T09:01:38Z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E143743611884ADB801643371D610CE0</vt:lpwstr>
  </property>
</Properties>
</file>