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廊坊市广阳区南尖塔镇人民政府2020年部门预算信息公开情况说明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6" w:name="_GoBack"/>
      <w:bookmarkEnd w:id="6"/>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部门职责：</w:t>
      </w:r>
    </w:p>
    <w:p>
      <w:pPr>
        <w:spacing w:line="500" w:lineRule="exact"/>
        <w:ind w:firstLine="640" w:firstLineChars="200"/>
        <w:jc w:val="left"/>
        <w:rPr>
          <w:rFonts w:ascii="仿宋_GB2312" w:hAnsi="宋体" w:eastAsia="仿宋_GB2312" w:cs="Times New Roman"/>
          <w:sz w:val="32"/>
          <w:szCs w:val="32"/>
        </w:rPr>
      </w:pPr>
      <w:r>
        <w:rPr>
          <w:rFonts w:hint="eastAsia" w:ascii="仿宋_GB2312" w:hAnsi="Calibri" w:eastAsia="仿宋_GB2312" w:cs="Times New Roman"/>
          <w:sz w:val="32"/>
          <w:szCs w:val="32"/>
        </w:rPr>
        <w:t>根据《廊坊市广阳区南尖塔镇人民政府职能配置、内设机构和人员编制规定》， 廊坊市广阳区南尖塔镇人民政府的主要职责是：</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政务服务职责  政务公开、镇政府、街办处会议管理、督察督办、政务联络等工作。</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应急管理      基层政府值班工作，及时报告重要情况，传达和督促落实镇政府领导指示。协助镇政府领导做好需由基层政府组织处理的突发事件应急处置工作。</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残疾人综合业务管理   对持证残疾人需求情况进行调查，对残疾人状况进行动态监测，加强和规范残疾人基层组织建设，加大残疾人就业保障金的征收力度，加强残疾人工作信息化建设和基础研究</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维护妇女儿童合法权益促进妇女儿童发展 关注并加强研究涉及妇女切身利益的热点、难点问题，及时向镇委和镇政府反映社情民意，提出对策建议。</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工会事务管理  研究指导全镇工会自身建设；承担镇委、镇政府及全国总工会交办的其他事项。</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团委事务管理  参与制定全镇的青少年事业发展规划和青少年工作方针、政策;承担镇委、镇政府和团中央交办的有关事项。</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宣传事务管理  负责系统综合业务管理和机关综合事务管理。</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义务教育      以农村教育为重点，推进义务教育均衡发展，建立中小学校舍安全保障机制，改善薄弱学校办学条件，促进公共教育资源向农村和经济欠发达地区倾斜。</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地方志事务    弘扬和传承优秀文化传统，充分发挥志书“资政、存史、教化”的综合功能，为社会各界方便快捷提供县情，为本县经济社会建设服务，为地方志工作者提供资料和工具。</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党政综合办公室事务管理   负责环境保护系统综合业务管理和机关综合事务管理。</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土地城建政务管理        负责土地征迁、拆除违建、公共住房等，负责环境保护系统综合业务管理和机关综合事务管理。</w:t>
      </w:r>
    </w:p>
    <w:p>
      <w:pPr>
        <w:spacing w:line="5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安全生产  协助广阳区安监局及油田铁路相关部门对我区内各采油站点、油气管线、铁路线路进行安全检查。排查安全隐患，保证我区内正常运行</w:t>
      </w:r>
    </w:p>
    <w:p>
      <w:pPr>
        <w:spacing w:line="584" w:lineRule="exact"/>
        <w:ind w:firstLine="660"/>
        <w:rPr>
          <w:rFonts w:ascii="仿宋_GB2312" w:hAnsi="Times New Roman" w:eastAsia="仿宋_GB2312" w:cs="Times New Roman"/>
          <w:sz w:val="32"/>
          <w:szCs w:val="32"/>
        </w:rPr>
      </w:pPr>
      <w:r>
        <w:rPr>
          <w:rFonts w:hint="eastAsia" w:ascii="仿宋_GB2312" w:hAnsi="Calibri" w:eastAsia="仿宋_GB2312" w:cs="Times New Roman"/>
          <w:sz w:val="32"/>
          <w:szCs w:val="32"/>
        </w:rPr>
        <w:t>政务管理  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w:t>
      </w:r>
    </w:p>
    <w:p>
      <w:pPr>
        <w:autoSpaceDE w:val="0"/>
        <w:autoSpaceDN w:val="0"/>
        <w:adjustRightInd w:val="0"/>
        <w:spacing w:line="584" w:lineRule="exact"/>
        <w:ind w:firstLine="627" w:firstLineChars="196"/>
        <w:jc w:val="left"/>
        <w:rPr>
          <w:rFonts w:ascii="Times New Roman" w:hAnsi="Times New Roman" w:eastAsia="仿宋_GB2312" w:cs="Times New Roman"/>
          <w:color w:val="FF0000"/>
          <w:sz w:val="32"/>
          <w:szCs w:val="32"/>
        </w:rPr>
      </w:pP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廊坊市广阳区南尖塔镇人民政府</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ind w:firstLine="735" w:firstLineChars="350"/>
              <w:jc w:val="left"/>
              <w:rPr>
                <w:rFonts w:ascii="Times New Roman" w:hAnsi="Times New Roman" w:eastAsia="仿宋_GB2312" w:cs="Times New Roman"/>
              </w:rPr>
            </w:pPr>
            <w:r>
              <w:rPr>
                <w:rFonts w:hint="eastAsia" w:ascii="Times New Roman" w:hAnsi="Times New Roman" w:eastAsia="仿宋_GB2312" w:cs="Times New Roman"/>
              </w:rPr>
              <w:t>廊坊市广阳区南尖塔镇财政所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ind w:firstLine="735" w:firstLineChars="350"/>
              <w:jc w:val="left"/>
              <w:rPr>
                <w:rFonts w:ascii="Times New Roman" w:hAnsi="Times New Roman" w:eastAsia="仿宋_GB2312" w:cs="Times New Roman"/>
              </w:rPr>
            </w:pPr>
            <w:r>
              <w:rPr>
                <w:rFonts w:hint="eastAsia" w:ascii="Times New Roman" w:hAnsi="Times New Roman" w:eastAsia="仿宋_GB2312" w:cs="Times New Roman"/>
              </w:rPr>
              <w:t>廊坊市广阳区南尖塔镇计生办</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ind w:firstLine="630" w:firstLineChars="300"/>
              <w:jc w:val="left"/>
              <w:rPr>
                <w:rFonts w:ascii="Times New Roman" w:hAnsi="Times New Roman" w:eastAsia="仿宋_GB2312" w:cs="Times New Roman"/>
              </w:rPr>
            </w:pPr>
            <w:r>
              <w:rPr>
                <w:rFonts w:hint="eastAsia" w:ascii="Times New Roman" w:hAnsi="Times New Roman" w:eastAsia="仿宋_GB2312" w:cs="Times New Roman"/>
              </w:rPr>
              <w:t>廊坊市广阳区南尖塔镇农业办</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ind w:firstLine="630" w:firstLineChars="300"/>
              <w:jc w:val="left"/>
              <w:rPr>
                <w:rFonts w:ascii="Times New Roman" w:hAnsi="Times New Roman" w:eastAsia="仿宋_GB2312" w:cs="Times New Roman"/>
              </w:rPr>
            </w:pPr>
            <w:r>
              <w:rPr>
                <w:rFonts w:hint="eastAsia" w:ascii="Times New Roman" w:hAnsi="Times New Roman" w:eastAsia="仿宋_GB2312" w:cs="Times New Roman"/>
              </w:rPr>
              <w:t>廊坊市广阳区南尖塔镇小学</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ind w:firstLine="630" w:firstLineChars="300"/>
              <w:jc w:val="left"/>
              <w:rPr>
                <w:rFonts w:ascii="Times New Roman" w:hAnsi="Times New Roman" w:eastAsia="仿宋_GB2312" w:cs="Times New Roman"/>
              </w:rPr>
            </w:pPr>
            <w:r>
              <w:rPr>
                <w:rFonts w:hint="eastAsia" w:ascii="Times New Roman" w:hAnsi="Times New Roman" w:eastAsia="仿宋_GB2312" w:cs="Times New Roman"/>
              </w:rPr>
              <w:t>廊坊市广阳区南尖塔镇中学</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ind w:firstLine="525" w:firstLineChars="250"/>
              <w:jc w:val="left"/>
              <w:rPr>
                <w:rFonts w:ascii="Times New Roman" w:hAnsi="Times New Roman" w:eastAsia="仿宋_GB2312" w:cs="Times New Roman"/>
              </w:rPr>
            </w:pPr>
            <w:r>
              <w:rPr>
                <w:rFonts w:hint="eastAsia" w:ascii="Times New Roman" w:hAnsi="Times New Roman" w:eastAsia="仿宋_GB2312" w:cs="Times New Roman"/>
              </w:rPr>
              <w:t>廊坊市广阳区南尖塔镇其他教育</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楷体" w:hAnsi="楷体" w:eastAsia="楷体" w:cs="Times New Roman"/>
          <w:b/>
          <w:sz w:val="32"/>
          <w:szCs w:val="32"/>
        </w:rPr>
      </w:pPr>
      <w:r>
        <w:rPr>
          <w:rFonts w:hint="eastAsia"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5642.14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5642.14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楷体" w:hAnsi="楷体" w:eastAsia="楷体" w:cs="Times New Roman"/>
          <w:b/>
          <w:sz w:val="32"/>
          <w:szCs w:val="32"/>
        </w:rPr>
      </w:pPr>
      <w:r>
        <w:rPr>
          <w:rFonts w:hint="eastAsia"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5642.14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5173.84</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5009.44</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164.4</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468.3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南尖塔镇政府非公办教师工资及各项保险费用，社区聘用人员工资及保险，对村民委员会和村党支部的补助支出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楷体_GB2312" w:hAnsi="Times New Roman" w:eastAsia="楷体_GB2312" w:cs="Times New Roman"/>
          <w:b/>
          <w:sz w:val="32"/>
          <w:szCs w:val="32"/>
        </w:rPr>
      </w:pPr>
      <w:r>
        <w:rPr>
          <w:rFonts w:hint="eastAsia"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5642.14</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418.27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102.93</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人员的经费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315.34</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对村民委员会和村党支部的补助支出：其他支出无增减变化。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164.4</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0"/>
        <w:rPr>
          <w:rFonts w:ascii="楷体" w:hAnsi="楷体" w:eastAsia="楷体" w:cs="Times New Roman"/>
          <w:b/>
          <w:sz w:val="32"/>
          <w:szCs w:val="32"/>
        </w:rPr>
      </w:pPr>
      <w:bookmarkStart w:id="0" w:name="_Toc471398463"/>
      <w:r>
        <w:rPr>
          <w:rFonts w:hint="eastAsia" w:ascii="楷体" w:hAnsi="楷体" w:eastAsia="楷体" w:cs="Times New Roman"/>
          <w:b/>
          <w:sz w:val="32"/>
          <w:szCs w:val="32"/>
        </w:rPr>
        <w:t>第一部分  部门整体绩效目标</w:t>
      </w:r>
    </w:p>
    <w:p>
      <w:pPr>
        <w:spacing w:line="584" w:lineRule="exact"/>
        <w:ind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（一）总体绩效目标</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全面贯彻落实党的十九届二中、三中、四中全会会议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w:t>
      </w:r>
    </w:p>
    <w:p>
      <w:pPr>
        <w:spacing w:line="584" w:lineRule="exact"/>
        <w:ind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（二）分项绩效目标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1、持续提升政务服务与管理工作水平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2、持续提升政府电子政务管理水平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3、提升应急管理水平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绩效指标：保障日常应急值守和突发事件及时处理，处理率达到95%；做好应急宣传工作，宣传覆盖面积达到95%以上。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4、持续提升综合业务事务管理水平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spacing w:line="584" w:lineRule="exact"/>
        <w:ind w:firstLine="640" w:firstLineChars="200"/>
        <w:jc w:val="left"/>
        <w:rPr>
          <w:rFonts w:ascii="仿宋_GB2312" w:hAnsi="Times New Roman" w:eastAsia="仿宋_GB2312" w:cs="Times New Roman"/>
          <w:b/>
          <w:sz w:val="32"/>
          <w:szCs w:val="32"/>
        </w:rPr>
      </w:pPr>
      <w:r>
        <w:rPr>
          <w:rFonts w:hint="eastAsia" w:ascii="仿宋_GB2312" w:eastAsia="仿宋_GB2312"/>
          <w:sz w:val="32"/>
          <w:szCs w:val="32"/>
        </w:rP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pPr>
        <w:spacing w:line="584" w:lineRule="exact"/>
        <w:ind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（三）工作保障措施</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spacing w:line="584" w:lineRule="exact"/>
        <w:ind w:firstLine="640"/>
        <w:rPr>
          <w:rFonts w:ascii="楷体" w:hAnsi="楷体" w:eastAsia="楷体" w:cs="Times New Roman"/>
          <w:b/>
          <w:sz w:val="32"/>
          <w:szCs w:val="32"/>
        </w:rPr>
      </w:pPr>
      <w:r>
        <w:rPr>
          <w:rFonts w:hint="eastAsia" w:ascii="楷体" w:hAnsi="楷体" w:eastAsia="楷体" w:cs="Times New Roman"/>
          <w:b/>
          <w:sz w:val="32"/>
          <w:szCs w:val="32"/>
        </w:rPr>
        <w:t>第二部分  资金绩效目标</w:t>
      </w:r>
    </w:p>
    <w:p>
      <w:pPr>
        <w:ind w:firstLine="562" w:firstLineChars="200"/>
        <w:jc w:val="left"/>
        <w:outlineLvl w:val="1"/>
        <w:rPr>
          <w:rFonts w:ascii="Times New Roman" w:hAnsi="宋体"/>
          <w:b/>
          <w:sz w:val="28"/>
        </w:rPr>
      </w:pPr>
      <w:r>
        <w:rPr>
          <w:rFonts w:hint="eastAsia" w:ascii="方正仿宋_GBK" w:eastAsia="方正仿宋_GBK"/>
          <w:b/>
          <w:sz w:val="28"/>
        </w:rPr>
        <w:t>1</w:t>
      </w:r>
      <w:r>
        <w:rPr>
          <w:rFonts w:hint="eastAsia" w:ascii="方正仿宋_GBK"/>
          <w:b/>
          <w:sz w:val="28"/>
        </w:rPr>
        <w:t>.</w:t>
      </w:r>
      <w:r>
        <w:rPr>
          <w:rFonts w:hint="eastAsia" w:ascii="方正仿宋_GBK" w:eastAsia="方正仿宋_GBK"/>
          <w:b/>
          <w:sz w:val="28"/>
        </w:rPr>
        <w:t>村级组织运转经费绩效目标表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2763243"/>
      <w:r>
        <w:rPr>
          <w:rFonts w:hint="eastAsia" w:ascii="方正仿宋_GBK" w:eastAsia="方正仿宋_GBK"/>
          <w:b/>
          <w:sz w:val="28"/>
        </w:rPr>
        <w:instrText xml:space="preserve">1、村级组织运转经费绩效目标表</w:instrText>
      </w:r>
      <w:bookmarkEnd w:id="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通过开展党组织活动提高党员党性修养和服务意识；救助生产生活困难的党员，使党员时刻感到党的关怀及温暖；2、调动“两委干部”及村民小组长的积极性，提高村级管理水平；3、提高村级办公水平，确保村级承接的上级安排的各项事务；4、通过综合服务站建设、提高村内公共设施的日常维护，使群众在生产生活中得到帮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数量指标</w:t>
            </w:r>
          </w:p>
        </w:tc>
        <w:tc>
          <w:tcPr>
            <w:tcW w:w="1276" w:type="dxa"/>
            <w:shd w:val="clear" w:color="auto" w:fill="auto"/>
            <w:vAlign w:val="center"/>
          </w:tcPr>
          <w:p>
            <w:pPr>
              <w:rPr>
                <w:rFonts w:ascii="宋体" w:hAnsi="宋体" w:eastAsia="宋体" w:cs="宋体"/>
                <w:sz w:val="18"/>
                <w:szCs w:val="18"/>
              </w:rPr>
            </w:pPr>
            <w:r>
              <w:rPr>
                <w:rFonts w:hint="eastAsia"/>
                <w:sz w:val="18"/>
                <w:szCs w:val="18"/>
              </w:rPr>
              <w:t>辖区村级综合服务站个数</w:t>
            </w:r>
          </w:p>
        </w:tc>
        <w:tc>
          <w:tcPr>
            <w:tcW w:w="2891" w:type="dxa"/>
            <w:shd w:val="clear" w:color="auto" w:fill="auto"/>
            <w:vAlign w:val="center"/>
          </w:tcPr>
          <w:p>
            <w:pPr>
              <w:rPr>
                <w:rFonts w:ascii="宋体" w:hAnsi="宋体" w:eastAsia="宋体" w:cs="宋体"/>
                <w:sz w:val="18"/>
                <w:szCs w:val="18"/>
              </w:rPr>
            </w:pPr>
            <w:r>
              <w:rPr>
                <w:rFonts w:hint="eastAsia"/>
                <w:sz w:val="18"/>
                <w:szCs w:val="18"/>
              </w:rPr>
              <w:t>辖区内具有规范、功能齐全、高质量综合服务站个数</w:t>
            </w:r>
          </w:p>
        </w:tc>
        <w:tc>
          <w:tcPr>
            <w:tcW w:w="1276"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color w:val="000000"/>
              </w:rPr>
              <w:t>≥1个</w:t>
            </w:r>
          </w:p>
        </w:tc>
        <w:tc>
          <w:tcPr>
            <w:tcW w:w="1701" w:type="dxa"/>
            <w:shd w:val="clear" w:color="auto" w:fill="auto"/>
            <w:vAlign w:val="center"/>
          </w:tcPr>
          <w:p>
            <w:pPr>
              <w:rPr>
                <w:rFonts w:ascii="宋体" w:hAnsi="宋体" w:eastAsia="宋体" w:cs="宋体"/>
                <w:color w:val="000000"/>
                <w:szCs w:val="21"/>
              </w:rPr>
            </w:pPr>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质量指标</w:t>
            </w:r>
          </w:p>
        </w:tc>
        <w:tc>
          <w:tcPr>
            <w:tcW w:w="1276" w:type="dxa"/>
            <w:shd w:val="clear" w:color="auto" w:fill="auto"/>
            <w:vAlign w:val="center"/>
          </w:tcPr>
          <w:p>
            <w:pPr>
              <w:rPr>
                <w:rFonts w:ascii="宋体" w:hAnsi="宋体" w:eastAsia="宋体" w:cs="宋体"/>
                <w:sz w:val="18"/>
                <w:szCs w:val="18"/>
              </w:rPr>
            </w:pPr>
            <w:r>
              <w:rPr>
                <w:rFonts w:hint="eastAsia"/>
                <w:sz w:val="18"/>
                <w:szCs w:val="18"/>
              </w:rPr>
              <w:t>发放准确率</w:t>
            </w:r>
          </w:p>
        </w:tc>
        <w:tc>
          <w:tcPr>
            <w:tcW w:w="2891" w:type="dxa"/>
            <w:shd w:val="clear" w:color="auto" w:fill="auto"/>
            <w:vAlign w:val="center"/>
          </w:tcPr>
          <w:p>
            <w:pPr>
              <w:rPr>
                <w:rFonts w:ascii="宋体" w:hAnsi="宋体" w:eastAsia="宋体" w:cs="宋体"/>
                <w:sz w:val="18"/>
                <w:szCs w:val="18"/>
              </w:rPr>
            </w:pPr>
            <w:r>
              <w:rPr>
                <w:rFonts w:hint="eastAsia"/>
                <w:sz w:val="18"/>
                <w:szCs w:val="18"/>
              </w:rPr>
              <w:t>准确发放基础职务补贴人数占享受岗位基础职务补贴人数的比例</w:t>
            </w:r>
          </w:p>
        </w:tc>
        <w:tc>
          <w:tcPr>
            <w:tcW w:w="1276" w:type="dxa"/>
            <w:shd w:val="clear" w:color="auto" w:fill="auto"/>
            <w:vAlign w:val="center"/>
          </w:tcPr>
          <w:p>
            <w:pPr>
              <w:jc w:val="center"/>
              <w:rPr>
                <w:rFonts w:ascii="Times New Roman" w:hAnsi="Times New Roman" w:eastAsia="宋体" w:cs="Times New Roman"/>
                <w:color w:val="000000"/>
                <w:sz w:val="24"/>
                <w:szCs w:val="24"/>
              </w:rPr>
            </w:pPr>
            <w:r>
              <w:rPr>
                <w:rFonts w:ascii="Times New Roman" w:hAnsi="Times New Roman" w:cs="Times New Roman"/>
                <w:color w:val="000000"/>
              </w:rPr>
              <w:t>　</w:t>
            </w:r>
            <w:r>
              <w:rPr>
                <w:rFonts w:hint="eastAsia" w:ascii="Times New Roman" w:hAnsi="Times New Roman"/>
                <w:color w:val="000000"/>
              </w:rPr>
              <w:t>≥90%</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质量指标</w:t>
            </w:r>
          </w:p>
        </w:tc>
        <w:tc>
          <w:tcPr>
            <w:tcW w:w="1276" w:type="dxa"/>
            <w:shd w:val="clear" w:color="auto" w:fill="auto"/>
            <w:vAlign w:val="center"/>
          </w:tcPr>
          <w:p>
            <w:pPr>
              <w:rPr>
                <w:rFonts w:ascii="宋体" w:hAnsi="宋体" w:eastAsia="宋体" w:cs="宋体"/>
                <w:sz w:val="18"/>
                <w:szCs w:val="18"/>
              </w:rPr>
            </w:pPr>
            <w:r>
              <w:rPr>
                <w:rFonts w:hint="eastAsia"/>
                <w:sz w:val="18"/>
                <w:szCs w:val="18"/>
              </w:rPr>
              <w:t>保障党员学习教育正常开展</w:t>
            </w:r>
          </w:p>
        </w:tc>
        <w:tc>
          <w:tcPr>
            <w:tcW w:w="2891" w:type="dxa"/>
            <w:shd w:val="clear" w:color="auto" w:fill="auto"/>
            <w:vAlign w:val="center"/>
          </w:tcPr>
          <w:p>
            <w:pPr>
              <w:rPr>
                <w:rFonts w:ascii="宋体" w:hAnsi="宋体" w:eastAsia="宋体" w:cs="宋体"/>
                <w:sz w:val="18"/>
                <w:szCs w:val="18"/>
              </w:rPr>
            </w:pPr>
            <w:r>
              <w:rPr>
                <w:rFonts w:hint="eastAsia"/>
                <w:sz w:val="18"/>
                <w:szCs w:val="18"/>
              </w:rPr>
              <w:t>提高党员的教育水平</w:t>
            </w:r>
          </w:p>
        </w:tc>
        <w:tc>
          <w:tcPr>
            <w:tcW w:w="1276" w:type="dxa"/>
            <w:shd w:val="clear" w:color="auto" w:fill="auto"/>
            <w:vAlign w:val="center"/>
          </w:tcPr>
          <w:p>
            <w:pPr>
              <w:rPr>
                <w:rFonts w:ascii="宋体" w:hAnsi="宋体" w:eastAsia="宋体" w:cs="宋体"/>
                <w:sz w:val="18"/>
                <w:szCs w:val="18"/>
              </w:rPr>
            </w:pPr>
            <w:r>
              <w:rPr>
                <w:rFonts w:hint="eastAsia"/>
                <w:sz w:val="18"/>
                <w:szCs w:val="18"/>
              </w:rPr>
              <w:t>逐步提高党员党性修养和服务意识</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rPr>
                <w:rFonts w:ascii="宋体" w:hAnsi="宋体" w:eastAsia="宋体" w:cs="宋体"/>
                <w:sz w:val="18"/>
                <w:szCs w:val="18"/>
              </w:rPr>
            </w:pPr>
            <w:r>
              <w:rPr>
                <w:rFonts w:hint="eastAsia"/>
                <w:sz w:val="18"/>
                <w:szCs w:val="18"/>
              </w:rPr>
              <w:t>可持续影响指标</w:t>
            </w:r>
          </w:p>
        </w:tc>
        <w:tc>
          <w:tcPr>
            <w:tcW w:w="1276" w:type="dxa"/>
            <w:shd w:val="clear" w:color="auto" w:fill="auto"/>
            <w:vAlign w:val="center"/>
          </w:tcPr>
          <w:p>
            <w:pPr>
              <w:rPr>
                <w:rFonts w:ascii="宋体" w:hAnsi="宋体" w:eastAsia="宋体" w:cs="宋体"/>
                <w:sz w:val="18"/>
                <w:szCs w:val="18"/>
              </w:rPr>
            </w:pPr>
            <w:r>
              <w:rPr>
                <w:rFonts w:hint="eastAsia"/>
                <w:sz w:val="18"/>
                <w:szCs w:val="18"/>
              </w:rPr>
              <w:t>服务群众生产生活</w:t>
            </w:r>
          </w:p>
        </w:tc>
        <w:tc>
          <w:tcPr>
            <w:tcW w:w="2891" w:type="dxa"/>
            <w:shd w:val="clear" w:color="auto" w:fill="auto"/>
            <w:vAlign w:val="center"/>
          </w:tcPr>
          <w:p>
            <w:pPr>
              <w:rPr>
                <w:rFonts w:ascii="宋体" w:hAnsi="宋体" w:eastAsia="宋体" w:cs="宋体"/>
                <w:sz w:val="18"/>
                <w:szCs w:val="18"/>
              </w:rPr>
            </w:pPr>
            <w:r>
              <w:rPr>
                <w:rFonts w:hint="eastAsia"/>
                <w:sz w:val="18"/>
                <w:szCs w:val="18"/>
              </w:rPr>
              <w:t>确保群众生产生活活动正常开展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基本保障</w:t>
            </w:r>
          </w:p>
        </w:tc>
        <w:tc>
          <w:tcPr>
            <w:tcW w:w="1701" w:type="dxa"/>
            <w:shd w:val="clear" w:color="auto" w:fill="auto"/>
            <w:vAlign w:val="center"/>
          </w:tcPr>
          <w:p>
            <w:pPr>
              <w:rPr>
                <w:rFonts w:ascii="宋体" w:hAnsi="宋体" w:eastAsia="宋体" w:cs="宋体"/>
                <w:color w:val="000000"/>
                <w:szCs w:val="21"/>
              </w:rPr>
            </w:pPr>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18"/>
                <w:szCs w:val="18"/>
              </w:rPr>
            </w:pPr>
            <w:r>
              <w:rPr>
                <w:rFonts w:hint="eastAsia"/>
                <w:sz w:val="18"/>
                <w:szCs w:val="18"/>
              </w:rPr>
              <w:t>社会效益指标</w:t>
            </w:r>
          </w:p>
        </w:tc>
        <w:tc>
          <w:tcPr>
            <w:tcW w:w="1276" w:type="dxa"/>
            <w:shd w:val="clear" w:color="auto" w:fill="auto"/>
            <w:vAlign w:val="center"/>
          </w:tcPr>
          <w:p>
            <w:pPr>
              <w:rPr>
                <w:rFonts w:ascii="宋体" w:hAnsi="宋体" w:eastAsia="宋体" w:cs="宋体"/>
                <w:sz w:val="18"/>
                <w:szCs w:val="18"/>
              </w:rPr>
            </w:pPr>
            <w:r>
              <w:rPr>
                <w:rFonts w:hint="eastAsia"/>
                <w:sz w:val="18"/>
                <w:szCs w:val="18"/>
              </w:rPr>
              <w:t>突发事件处理效果</w:t>
            </w:r>
          </w:p>
        </w:tc>
        <w:tc>
          <w:tcPr>
            <w:tcW w:w="2891" w:type="dxa"/>
            <w:shd w:val="clear" w:color="auto" w:fill="auto"/>
            <w:vAlign w:val="center"/>
          </w:tcPr>
          <w:p>
            <w:pPr>
              <w:rPr>
                <w:rFonts w:ascii="宋体" w:hAnsi="宋体" w:eastAsia="宋体" w:cs="宋体"/>
                <w:sz w:val="18"/>
                <w:szCs w:val="18"/>
              </w:rPr>
            </w:pPr>
            <w:r>
              <w:rPr>
                <w:rFonts w:hint="eastAsia"/>
                <w:sz w:val="18"/>
                <w:szCs w:val="18"/>
              </w:rPr>
              <w:t>反映突发事件是否能够得到及时发现并部署处理措施情况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jc w:val="center"/>
              <w:rPr>
                <w:rFonts w:ascii="宋体" w:hAnsi="宋体" w:eastAsia="宋体" w:cs="宋体"/>
                <w:sz w:val="18"/>
                <w:szCs w:val="18"/>
              </w:rPr>
            </w:pPr>
            <w:r>
              <w:rPr>
                <w:rFonts w:hint="eastAsia"/>
                <w:sz w:val="18"/>
                <w:szCs w:val="18"/>
              </w:rPr>
              <w:t>服务对象满意度指标</w:t>
            </w:r>
          </w:p>
        </w:tc>
        <w:tc>
          <w:tcPr>
            <w:tcW w:w="1276" w:type="dxa"/>
            <w:shd w:val="clear" w:color="auto" w:fill="auto"/>
            <w:vAlign w:val="center"/>
          </w:tcPr>
          <w:p>
            <w:pPr>
              <w:rPr>
                <w:rFonts w:ascii="宋体" w:hAnsi="宋体" w:eastAsia="宋体" w:cs="宋体"/>
                <w:sz w:val="18"/>
                <w:szCs w:val="18"/>
              </w:rPr>
            </w:pPr>
            <w:r>
              <w:rPr>
                <w:rFonts w:hint="eastAsia"/>
                <w:sz w:val="18"/>
                <w:szCs w:val="18"/>
              </w:rPr>
              <w:t>群众满意度</w:t>
            </w:r>
          </w:p>
        </w:tc>
        <w:tc>
          <w:tcPr>
            <w:tcW w:w="2891" w:type="dxa"/>
            <w:shd w:val="clear" w:color="auto" w:fill="auto"/>
            <w:vAlign w:val="center"/>
          </w:tcPr>
          <w:p>
            <w:pPr>
              <w:rPr>
                <w:rFonts w:ascii="宋体" w:hAnsi="宋体" w:eastAsia="宋体" w:cs="宋体"/>
                <w:sz w:val="18"/>
                <w:szCs w:val="18"/>
              </w:rPr>
            </w:pPr>
            <w:r>
              <w:rPr>
                <w:rFonts w:hint="eastAsia"/>
                <w:sz w:val="18"/>
                <w:szCs w:val="18"/>
              </w:rPr>
              <w:t>接受服务的群众满意度调查达到完全满意或者满意的占全部调查对象的比例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bl>
    <w:p>
      <w:pPr>
        <w:ind w:firstLine="562" w:firstLineChars="200"/>
        <w:jc w:val="left"/>
        <w:outlineLvl w:val="1"/>
        <w:rPr>
          <w:rFonts w:hint="eastAsia" w:ascii="方正仿宋_GBK"/>
          <w:b/>
          <w:sz w:val="28"/>
        </w:rPr>
      </w:pPr>
    </w:p>
    <w:p>
      <w:pPr>
        <w:ind w:firstLine="562" w:firstLineChars="200"/>
        <w:jc w:val="left"/>
        <w:outlineLvl w:val="1"/>
        <w:rPr>
          <w:rFonts w:hint="eastAsia" w:ascii="方正仿宋_GBK"/>
          <w:b/>
          <w:sz w:val="28"/>
        </w:rPr>
      </w:pPr>
    </w:p>
    <w:p>
      <w:pPr>
        <w:ind w:firstLine="562" w:firstLineChars="200"/>
        <w:jc w:val="left"/>
        <w:outlineLvl w:val="1"/>
        <w:rPr>
          <w:rFonts w:hint="eastAsia" w:ascii="方正仿宋_GBK"/>
          <w:b/>
          <w:sz w:val="28"/>
        </w:rPr>
      </w:pPr>
    </w:p>
    <w:p>
      <w:pPr>
        <w:ind w:firstLine="562" w:firstLineChars="200"/>
        <w:jc w:val="left"/>
        <w:outlineLvl w:val="1"/>
        <w:rPr>
          <w:rFonts w:hint="eastAsia" w:ascii="方正仿宋_GBK"/>
          <w:b/>
          <w:sz w:val="28"/>
        </w:rPr>
      </w:pPr>
    </w:p>
    <w:p>
      <w:pPr>
        <w:ind w:firstLine="562" w:firstLineChars="200"/>
        <w:jc w:val="left"/>
        <w:outlineLvl w:val="1"/>
        <w:rPr>
          <w:rFonts w:hint="eastAsia" w:ascii="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2</w:t>
      </w:r>
      <w:r>
        <w:rPr>
          <w:rFonts w:hint="eastAsia" w:ascii="方正仿宋_GBK"/>
          <w:b/>
          <w:sz w:val="28"/>
        </w:rPr>
        <w:t>.</w:t>
      </w:r>
      <w:r>
        <w:rPr>
          <w:rFonts w:hint="eastAsia" w:ascii="方正仿宋_GBK" w:eastAsia="方正仿宋_GBK"/>
          <w:b/>
          <w:sz w:val="28"/>
        </w:rPr>
        <w:t>非公办教师经费绩效目标表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2763244"/>
      <w:r>
        <w:rPr>
          <w:rFonts w:hint="eastAsia" w:ascii="方正仿宋_GBK" w:eastAsia="方正仿宋_GBK"/>
          <w:b/>
          <w:sz w:val="28"/>
        </w:rPr>
        <w:instrText xml:space="preserve">2、非公办教师经费绩效目标表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、现民办教师已成为教育的重要组成部分，在快速发展过程中如何稳定师资队伍，优化师资结构，科学运用绩效考核对提高民师教学水平推动民师管理规范具有重要意义。</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民师参加培训次数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参加培训次数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次数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区长办公会议纪要（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培训任务所占比重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区长办公会议纪要（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参训教师教育教学能力提高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参训教师教育教学能力提高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区长办公会议纪要（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学生满意所占比重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区长办公会议纪要（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老师满意所占比重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区长办公会议纪要（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号文件</w:t>
            </w:r>
          </w:p>
        </w:tc>
      </w:tr>
    </w:tbl>
    <w:p>
      <w:pPr>
        <w:ind w:firstLine="562" w:firstLineChars="200"/>
        <w:jc w:val="left"/>
        <w:outlineLvl w:val="1"/>
        <w:rPr>
          <w:rFonts w:hint="eastAsia" w:ascii="方正仿宋_GBK"/>
          <w:b/>
          <w:sz w:val="28"/>
        </w:rPr>
      </w:pPr>
    </w:p>
    <w:p>
      <w:pPr>
        <w:ind w:firstLine="562" w:firstLineChars="200"/>
        <w:jc w:val="left"/>
        <w:outlineLvl w:val="1"/>
        <w:rPr>
          <w:rFonts w:hint="eastAsia" w:ascii="方正仿宋_GBK"/>
          <w:b/>
          <w:sz w:val="28"/>
        </w:rPr>
      </w:pPr>
    </w:p>
    <w:p>
      <w:pPr>
        <w:ind w:firstLine="562" w:firstLineChars="200"/>
        <w:jc w:val="left"/>
        <w:outlineLvl w:val="1"/>
        <w:rPr>
          <w:rFonts w:ascii="Times New Roman" w:hAnsi="宋体"/>
          <w:b/>
          <w:sz w:val="28"/>
        </w:rPr>
      </w:pPr>
      <w:r>
        <w:rPr>
          <w:rFonts w:hint="eastAsia" w:ascii="方正仿宋_GBK" w:eastAsia="方正仿宋_GBK"/>
          <w:b/>
          <w:sz w:val="28"/>
        </w:rPr>
        <w:t>3</w:t>
      </w:r>
      <w:r>
        <w:rPr>
          <w:rFonts w:hint="eastAsia" w:ascii="方正仿宋_GBK"/>
          <w:b/>
          <w:sz w:val="28"/>
        </w:rPr>
        <w:t>.</w:t>
      </w:r>
      <w:r>
        <w:rPr>
          <w:rFonts w:hint="eastAsia" w:ascii="方正仿宋_GBK" w:eastAsia="方正仿宋_GBK"/>
          <w:b/>
          <w:sz w:val="28"/>
        </w:rPr>
        <w:t>社区经费绩效目标表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2763245"/>
      <w:r>
        <w:rPr>
          <w:rFonts w:hint="eastAsia" w:ascii="方正仿宋_GBK" w:eastAsia="方正仿宋_GBK"/>
          <w:b/>
          <w:sz w:val="28"/>
        </w:rPr>
        <w:instrText xml:space="preserve">3、社区经费绩效目标表</w:instrText>
      </w:r>
      <w:bookmarkEnd w:id="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、组织宣传活动次数，提高社区居民素质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、组织体育活动，丰富居民业余生活</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组织宣传活动次数</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(2012)6</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开办宣传栏数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开办宣传专栏个数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个数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(2012)6</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听取及采纳居民意见</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听取及采纳居民意见数量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条数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(2012)6</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完成工作所占的比重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(2012)6</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调查中满意和较满意占的比重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(2012)6</w:t>
            </w:r>
            <w:r>
              <w:rPr>
                <w:rFonts w:hint="eastAsia" w:ascii="方正书宋_GBK" w:eastAsia="方正书宋_GBK"/>
              </w:rPr>
              <w:t>号文件</w:t>
            </w:r>
          </w:p>
        </w:tc>
      </w:tr>
    </w:tbl>
    <w:p>
      <w:pPr>
        <w:spacing w:line="584" w:lineRule="exact"/>
        <w:ind w:firstLine="643" w:firstLineChars="200"/>
        <w:jc w:val="left"/>
        <w:rPr>
          <w:rFonts w:ascii="Times New Roman" w:hAnsi="Times New Roman" w:eastAsia="楷体_GB2312" w:cs="Times New Roman"/>
          <w:b/>
          <w:sz w:val="32"/>
          <w:szCs w:val="32"/>
        </w:rPr>
      </w:pPr>
    </w:p>
    <w:bookmarkEnd w:id="0"/>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6.06</w:t>
      </w:r>
      <w:r>
        <w:rPr>
          <w:rFonts w:ascii="Times New Roman" w:hAnsi="Times New Roman" w:eastAsia="仿宋_GB2312" w:cs="Times New Roman"/>
          <w:sz w:val="32"/>
          <w:szCs w:val="24"/>
        </w:rPr>
        <w:t>万元。具体内容见下表。</w:t>
      </w:r>
    </w:p>
    <w:p>
      <w:pPr>
        <w:ind w:firstLine="640" w:firstLineChars="200"/>
        <w:jc w:val="center"/>
        <w:outlineLvl w:val="0"/>
        <w:rPr>
          <w:rFonts w:ascii="Times New Roman"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w:instrText>
      </w:r>
      <w:r>
        <w:rPr>
          <w:rFonts w:hint="eastAsia" w:ascii="方正小标宋_GBK" w:eastAsia="方正小标宋_GBK"/>
          <w:sz w:val="32"/>
        </w:rPr>
        <w:instrText xml:space="preserve">TC </w:instrText>
      </w:r>
      <w:bookmarkStart w:id="5" w:name="_Toc32766195"/>
      <w:r>
        <w:rPr>
          <w:rFonts w:hint="eastAsia" w:ascii="方正小标宋_GBK" w:eastAsia="方正小标宋_GBK"/>
          <w:sz w:val="32"/>
        </w:rPr>
        <w:instrText xml:space="preserve">部门政府采购预算</w:instrText>
      </w:r>
      <w:bookmarkEnd w:id="5"/>
      <w:r>
        <w:rPr>
          <w:rFonts w:hint="eastAsia" w:ascii="方正小标宋_GBK" w:eastAsia="方正小标宋_GBK"/>
          <w:sz w:val="32"/>
        </w:rPr>
        <w:instrText xml:space="preserve"> \f A \l 1</w:instrText>
      </w:r>
      <w:r>
        <w:rPr>
          <w:rFonts w:ascii="方正小标宋_GBK" w:eastAsia="方正小标宋_GBK"/>
          <w:sz w:val="32"/>
        </w:rPr>
        <w:instrText xml:space="preserve"> </w:instrText>
      </w:r>
      <w:r>
        <w:rPr>
          <w:rFonts w:ascii="方正小标宋_GBK" w:eastAsia="方正小标宋_GBK"/>
          <w:sz w:val="32"/>
        </w:rPr>
        <w:fldChar w:fldCharType="end"/>
      </w: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2"/>
              </w:rPr>
            </w:pPr>
            <w:r>
              <w:rPr>
                <w:rFonts w:hint="eastAsia" w:ascii="仿宋_GB2312" w:eastAsia="仿宋_GB2312"/>
                <w:sz w:val="22"/>
              </w:rPr>
              <w:t>[914]廊坊市广阳区南尖塔镇人民政府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政府采购项目来源</w:t>
            </w:r>
          </w:p>
        </w:tc>
        <w:tc>
          <w:tcPr>
            <w:tcW w:w="1531" w:type="dxa"/>
            <w:vMerge w:val="restart"/>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采购物品名称</w:t>
            </w:r>
          </w:p>
        </w:tc>
        <w:tc>
          <w:tcPr>
            <w:tcW w:w="1531" w:type="dxa"/>
            <w:vMerge w:val="restart"/>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政府采购目录序号</w:t>
            </w:r>
          </w:p>
        </w:tc>
        <w:tc>
          <w:tcPr>
            <w:tcW w:w="709" w:type="dxa"/>
            <w:vMerge w:val="restart"/>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计量  单位</w:t>
            </w:r>
          </w:p>
        </w:tc>
        <w:tc>
          <w:tcPr>
            <w:tcW w:w="907" w:type="dxa"/>
            <w:vMerge w:val="restart"/>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数量</w:t>
            </w:r>
          </w:p>
        </w:tc>
        <w:tc>
          <w:tcPr>
            <w:tcW w:w="907" w:type="dxa"/>
            <w:vMerge w:val="restart"/>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单价</w:t>
            </w:r>
          </w:p>
        </w:tc>
        <w:tc>
          <w:tcPr>
            <w:tcW w:w="6804" w:type="dxa"/>
            <w:gridSpan w:val="6"/>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项目名称</w:t>
            </w:r>
          </w:p>
        </w:tc>
        <w:tc>
          <w:tcPr>
            <w:tcW w:w="1134" w:type="dxa"/>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预算资金</w:t>
            </w:r>
          </w:p>
        </w:tc>
        <w:tc>
          <w:tcPr>
            <w:tcW w:w="1531" w:type="dxa"/>
            <w:vMerge w:val="continue"/>
            <w:shd w:val="clear" w:color="auto" w:fill="auto"/>
            <w:vAlign w:val="center"/>
          </w:tcPr>
          <w:p>
            <w:pPr>
              <w:spacing w:line="300" w:lineRule="exact"/>
              <w:jc w:val="left"/>
              <w:outlineLvl w:val="0"/>
              <w:rPr>
                <w:rFonts w:ascii="仿宋_GB2312" w:eastAsia="仿宋_GB2312"/>
                <w:sz w:val="22"/>
              </w:rPr>
            </w:pPr>
          </w:p>
        </w:tc>
        <w:tc>
          <w:tcPr>
            <w:tcW w:w="1531" w:type="dxa"/>
            <w:vMerge w:val="continue"/>
            <w:shd w:val="clear" w:color="auto" w:fill="auto"/>
            <w:vAlign w:val="center"/>
          </w:tcPr>
          <w:p>
            <w:pPr>
              <w:spacing w:line="300" w:lineRule="exact"/>
              <w:jc w:val="left"/>
              <w:outlineLvl w:val="0"/>
              <w:rPr>
                <w:rFonts w:ascii="仿宋_GB2312" w:eastAsia="仿宋_GB2312"/>
                <w:sz w:val="22"/>
              </w:rPr>
            </w:pPr>
          </w:p>
        </w:tc>
        <w:tc>
          <w:tcPr>
            <w:tcW w:w="709" w:type="dxa"/>
            <w:vMerge w:val="continue"/>
            <w:shd w:val="clear" w:color="auto" w:fill="auto"/>
            <w:vAlign w:val="center"/>
          </w:tcPr>
          <w:p>
            <w:pPr>
              <w:spacing w:line="300" w:lineRule="exact"/>
              <w:jc w:val="left"/>
              <w:outlineLvl w:val="0"/>
              <w:rPr>
                <w:rFonts w:ascii="仿宋_GB2312" w:eastAsia="仿宋_GB2312"/>
                <w:sz w:val="22"/>
              </w:rPr>
            </w:pPr>
          </w:p>
        </w:tc>
        <w:tc>
          <w:tcPr>
            <w:tcW w:w="907" w:type="dxa"/>
            <w:vMerge w:val="continue"/>
            <w:shd w:val="clear" w:color="auto" w:fill="auto"/>
            <w:vAlign w:val="center"/>
          </w:tcPr>
          <w:p>
            <w:pPr>
              <w:spacing w:line="300" w:lineRule="exact"/>
              <w:jc w:val="left"/>
              <w:outlineLvl w:val="0"/>
              <w:rPr>
                <w:rFonts w:ascii="仿宋_GB2312" w:eastAsia="仿宋_GB2312"/>
                <w:sz w:val="22"/>
              </w:rPr>
            </w:pPr>
          </w:p>
        </w:tc>
        <w:tc>
          <w:tcPr>
            <w:tcW w:w="907" w:type="dxa"/>
            <w:vMerge w:val="continue"/>
            <w:shd w:val="clear" w:color="auto" w:fill="auto"/>
            <w:vAlign w:val="center"/>
          </w:tcPr>
          <w:p>
            <w:pPr>
              <w:spacing w:line="300" w:lineRule="exact"/>
              <w:jc w:val="left"/>
              <w:outlineLvl w:val="0"/>
              <w:rPr>
                <w:rFonts w:ascii="仿宋_GB2312" w:eastAsia="仿宋_GB2312"/>
                <w:sz w:val="22"/>
              </w:rPr>
            </w:pPr>
          </w:p>
        </w:tc>
        <w:tc>
          <w:tcPr>
            <w:tcW w:w="1134" w:type="dxa"/>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合计</w:t>
            </w:r>
          </w:p>
        </w:tc>
        <w:tc>
          <w:tcPr>
            <w:tcW w:w="1134" w:type="dxa"/>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一般公共预算拨款</w:t>
            </w:r>
          </w:p>
        </w:tc>
        <w:tc>
          <w:tcPr>
            <w:tcW w:w="1134" w:type="dxa"/>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基金预算拨款</w:t>
            </w:r>
          </w:p>
        </w:tc>
        <w:tc>
          <w:tcPr>
            <w:tcW w:w="1134" w:type="dxa"/>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国有资本经营预算拨款</w:t>
            </w:r>
          </w:p>
        </w:tc>
        <w:tc>
          <w:tcPr>
            <w:tcW w:w="1134" w:type="dxa"/>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财政专户核拨</w:t>
            </w:r>
          </w:p>
        </w:tc>
        <w:tc>
          <w:tcPr>
            <w:tcW w:w="1134" w:type="dxa"/>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仿宋_GB2312" w:eastAsia="仿宋_GB2312"/>
                <w:b/>
                <w:sz w:val="22"/>
              </w:rPr>
            </w:pPr>
            <w:r>
              <w:rPr>
                <w:rFonts w:hint="eastAsia" w:ascii="仿宋_GB2312" w:eastAsia="仿宋_GB2312"/>
                <w:b/>
                <w:sz w:val="22"/>
              </w:rPr>
              <w:t>廊坊市广阳区南尖塔镇人民政府小计</w:t>
            </w:r>
          </w:p>
        </w:tc>
        <w:tc>
          <w:tcPr>
            <w:tcW w:w="1134" w:type="dxa"/>
            <w:shd w:val="clear" w:color="auto" w:fill="auto"/>
            <w:vAlign w:val="center"/>
          </w:tcPr>
          <w:p>
            <w:pPr>
              <w:spacing w:line="300" w:lineRule="exact"/>
              <w:jc w:val="right"/>
              <w:rPr>
                <w:rFonts w:ascii="仿宋_GB2312" w:eastAsia="仿宋_GB2312"/>
                <w:b/>
                <w:sz w:val="22"/>
              </w:rPr>
            </w:pPr>
            <w:r>
              <w:rPr>
                <w:rFonts w:hint="eastAsia" w:ascii="仿宋_GB2312" w:eastAsia="仿宋_GB2312"/>
                <w:b/>
                <w:sz w:val="22"/>
              </w:rPr>
              <w:t>6.06</w:t>
            </w:r>
          </w:p>
        </w:tc>
        <w:tc>
          <w:tcPr>
            <w:tcW w:w="1531" w:type="dxa"/>
            <w:shd w:val="clear" w:color="auto" w:fill="auto"/>
            <w:vAlign w:val="center"/>
          </w:tcPr>
          <w:p>
            <w:pPr>
              <w:spacing w:line="300" w:lineRule="exact"/>
              <w:jc w:val="left"/>
              <w:rPr>
                <w:rFonts w:ascii="仿宋_GB2312" w:eastAsia="仿宋_GB2312"/>
                <w:b/>
                <w:sz w:val="22"/>
              </w:rPr>
            </w:pPr>
          </w:p>
        </w:tc>
        <w:tc>
          <w:tcPr>
            <w:tcW w:w="1531" w:type="dxa"/>
            <w:shd w:val="clear" w:color="auto" w:fill="auto"/>
            <w:vAlign w:val="center"/>
          </w:tcPr>
          <w:p>
            <w:pPr>
              <w:spacing w:line="300" w:lineRule="exact"/>
              <w:jc w:val="left"/>
              <w:rPr>
                <w:rFonts w:ascii="仿宋_GB2312" w:eastAsia="仿宋_GB2312"/>
                <w:b/>
                <w:sz w:val="22"/>
              </w:rPr>
            </w:pPr>
          </w:p>
        </w:tc>
        <w:tc>
          <w:tcPr>
            <w:tcW w:w="709" w:type="dxa"/>
            <w:shd w:val="clear" w:color="auto" w:fill="auto"/>
            <w:vAlign w:val="center"/>
          </w:tcPr>
          <w:p>
            <w:pPr>
              <w:spacing w:line="300" w:lineRule="exact"/>
              <w:jc w:val="center"/>
              <w:rPr>
                <w:rFonts w:ascii="仿宋_GB2312" w:eastAsia="仿宋_GB2312"/>
                <w:b/>
                <w:sz w:val="22"/>
              </w:rPr>
            </w:pPr>
          </w:p>
        </w:tc>
        <w:tc>
          <w:tcPr>
            <w:tcW w:w="907" w:type="dxa"/>
            <w:shd w:val="clear" w:color="auto" w:fill="auto"/>
            <w:vAlign w:val="center"/>
          </w:tcPr>
          <w:p>
            <w:pPr>
              <w:spacing w:line="300" w:lineRule="exact"/>
              <w:jc w:val="right"/>
              <w:rPr>
                <w:rFonts w:ascii="仿宋_GB2312" w:eastAsia="仿宋_GB2312"/>
                <w:b/>
                <w:sz w:val="22"/>
              </w:rPr>
            </w:pPr>
          </w:p>
        </w:tc>
        <w:tc>
          <w:tcPr>
            <w:tcW w:w="907" w:type="dxa"/>
            <w:shd w:val="clear" w:color="auto" w:fill="auto"/>
            <w:vAlign w:val="center"/>
          </w:tcPr>
          <w:p>
            <w:pPr>
              <w:spacing w:line="300" w:lineRule="exact"/>
              <w:jc w:val="right"/>
              <w:rPr>
                <w:rFonts w:ascii="仿宋_GB2312" w:eastAsia="仿宋_GB2312"/>
                <w:b/>
                <w:sz w:val="22"/>
              </w:rPr>
            </w:pPr>
          </w:p>
        </w:tc>
        <w:tc>
          <w:tcPr>
            <w:tcW w:w="1134" w:type="dxa"/>
            <w:shd w:val="clear" w:color="auto" w:fill="auto"/>
            <w:vAlign w:val="center"/>
          </w:tcPr>
          <w:p>
            <w:pPr>
              <w:spacing w:line="300" w:lineRule="exact"/>
              <w:jc w:val="right"/>
              <w:rPr>
                <w:rFonts w:ascii="仿宋_GB2312" w:eastAsia="仿宋_GB2312"/>
                <w:b/>
                <w:sz w:val="22"/>
              </w:rPr>
            </w:pPr>
            <w:r>
              <w:rPr>
                <w:rFonts w:hint="eastAsia" w:ascii="仿宋_GB2312" w:eastAsia="仿宋_GB2312"/>
                <w:b/>
                <w:sz w:val="22"/>
              </w:rPr>
              <w:t>6.06</w:t>
            </w:r>
          </w:p>
        </w:tc>
        <w:tc>
          <w:tcPr>
            <w:tcW w:w="1134" w:type="dxa"/>
            <w:shd w:val="clear" w:color="auto" w:fill="auto"/>
            <w:vAlign w:val="center"/>
          </w:tcPr>
          <w:p>
            <w:pPr>
              <w:spacing w:line="300" w:lineRule="exact"/>
              <w:jc w:val="right"/>
              <w:rPr>
                <w:rFonts w:ascii="仿宋_GB2312" w:eastAsia="仿宋_GB2312"/>
                <w:b/>
                <w:sz w:val="22"/>
              </w:rPr>
            </w:pPr>
            <w:r>
              <w:rPr>
                <w:rFonts w:hint="eastAsia" w:ascii="仿宋_GB2312" w:eastAsia="仿宋_GB2312"/>
                <w:b/>
                <w:sz w:val="22"/>
              </w:rPr>
              <w:t>6.06</w:t>
            </w:r>
          </w:p>
        </w:tc>
        <w:tc>
          <w:tcPr>
            <w:tcW w:w="1134" w:type="dxa"/>
            <w:shd w:val="clear" w:color="auto" w:fill="auto"/>
            <w:vAlign w:val="center"/>
          </w:tcPr>
          <w:p>
            <w:pPr>
              <w:spacing w:line="300" w:lineRule="exact"/>
              <w:jc w:val="right"/>
              <w:rPr>
                <w:rFonts w:ascii="仿宋_GB2312" w:eastAsia="仿宋_GB2312"/>
                <w:b/>
                <w:sz w:val="22"/>
              </w:rPr>
            </w:pPr>
          </w:p>
        </w:tc>
        <w:tc>
          <w:tcPr>
            <w:tcW w:w="1134" w:type="dxa"/>
            <w:shd w:val="clear" w:color="auto" w:fill="auto"/>
            <w:vAlign w:val="center"/>
          </w:tcPr>
          <w:p>
            <w:pPr>
              <w:spacing w:line="300" w:lineRule="exact"/>
              <w:jc w:val="right"/>
              <w:rPr>
                <w:rFonts w:ascii="仿宋_GB2312" w:eastAsia="仿宋_GB2312"/>
                <w:b/>
                <w:sz w:val="22"/>
              </w:rPr>
            </w:pPr>
          </w:p>
        </w:tc>
        <w:tc>
          <w:tcPr>
            <w:tcW w:w="1134" w:type="dxa"/>
            <w:shd w:val="clear" w:color="auto" w:fill="auto"/>
            <w:vAlign w:val="center"/>
          </w:tcPr>
          <w:p>
            <w:pPr>
              <w:spacing w:line="300" w:lineRule="exact"/>
              <w:jc w:val="right"/>
              <w:rPr>
                <w:rFonts w:ascii="仿宋_GB2312" w:eastAsia="仿宋_GB2312"/>
                <w:b/>
                <w:sz w:val="22"/>
              </w:rPr>
            </w:pPr>
          </w:p>
        </w:tc>
        <w:tc>
          <w:tcPr>
            <w:tcW w:w="1134" w:type="dxa"/>
            <w:shd w:val="clear" w:color="auto" w:fill="auto"/>
            <w:vAlign w:val="center"/>
          </w:tcPr>
          <w:p>
            <w:pPr>
              <w:spacing w:line="300" w:lineRule="exact"/>
              <w:jc w:val="right"/>
              <w:rPr>
                <w:rFonts w:ascii="仿宋_GB2312" w:eastAsia="仿宋_GB2312"/>
                <w:b/>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仿宋_GB2312" w:eastAsia="仿宋_GB2312"/>
                <w:sz w:val="22"/>
              </w:rPr>
            </w:pPr>
            <w:r>
              <w:rPr>
                <w:rFonts w:hint="eastAsia" w:ascii="仿宋_GB2312" w:eastAsia="仿宋_GB2312"/>
                <w:sz w:val="22"/>
              </w:rPr>
              <w:t>日常公用经费</w:t>
            </w:r>
          </w:p>
        </w:tc>
        <w:tc>
          <w:tcPr>
            <w:tcW w:w="1134"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2.16</w:t>
            </w:r>
          </w:p>
        </w:tc>
        <w:tc>
          <w:tcPr>
            <w:tcW w:w="1531" w:type="dxa"/>
            <w:shd w:val="clear" w:color="auto" w:fill="auto"/>
            <w:vAlign w:val="center"/>
          </w:tcPr>
          <w:p>
            <w:pPr>
              <w:spacing w:line="300" w:lineRule="exact"/>
              <w:jc w:val="left"/>
              <w:rPr>
                <w:rFonts w:ascii="仿宋_GB2312" w:eastAsia="仿宋_GB2312"/>
                <w:sz w:val="22"/>
              </w:rPr>
            </w:pPr>
            <w:r>
              <w:rPr>
                <w:rFonts w:hint="eastAsia" w:ascii="仿宋_GB2312" w:eastAsia="仿宋_GB2312"/>
                <w:sz w:val="22"/>
              </w:rPr>
              <w:t>台式计算机</w:t>
            </w:r>
          </w:p>
        </w:tc>
        <w:tc>
          <w:tcPr>
            <w:tcW w:w="1531" w:type="dxa"/>
            <w:shd w:val="clear" w:color="auto" w:fill="auto"/>
            <w:vAlign w:val="center"/>
          </w:tcPr>
          <w:p>
            <w:pPr>
              <w:spacing w:line="300" w:lineRule="exact"/>
              <w:jc w:val="left"/>
              <w:rPr>
                <w:rFonts w:ascii="仿宋_GB2312" w:eastAsia="仿宋_GB2312"/>
                <w:sz w:val="22"/>
              </w:rPr>
            </w:pPr>
            <w:r>
              <w:rPr>
                <w:rFonts w:hint="eastAsia" w:ascii="仿宋_GB2312" w:eastAsia="仿宋_GB2312"/>
                <w:sz w:val="22"/>
              </w:rPr>
              <w:t>A02010104</w:t>
            </w:r>
          </w:p>
        </w:tc>
        <w:tc>
          <w:tcPr>
            <w:tcW w:w="709" w:type="dxa"/>
            <w:shd w:val="clear" w:color="auto" w:fill="auto"/>
            <w:vAlign w:val="center"/>
          </w:tcPr>
          <w:p>
            <w:pPr>
              <w:spacing w:line="300" w:lineRule="exact"/>
              <w:jc w:val="center"/>
              <w:rPr>
                <w:rFonts w:ascii="仿宋_GB2312" w:eastAsia="仿宋_GB2312"/>
                <w:sz w:val="22"/>
              </w:rPr>
            </w:pPr>
            <w:r>
              <w:rPr>
                <w:rFonts w:hint="eastAsia" w:ascii="仿宋_GB2312" w:eastAsia="仿宋_GB2312"/>
                <w:sz w:val="22"/>
              </w:rPr>
              <w:t>台</w:t>
            </w:r>
          </w:p>
        </w:tc>
        <w:tc>
          <w:tcPr>
            <w:tcW w:w="907"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6</w:t>
            </w:r>
          </w:p>
        </w:tc>
        <w:tc>
          <w:tcPr>
            <w:tcW w:w="907"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0.36</w:t>
            </w:r>
          </w:p>
        </w:tc>
        <w:tc>
          <w:tcPr>
            <w:tcW w:w="1134"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2.16</w:t>
            </w:r>
          </w:p>
        </w:tc>
        <w:tc>
          <w:tcPr>
            <w:tcW w:w="1134"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2.16</w:t>
            </w:r>
          </w:p>
        </w:tc>
        <w:tc>
          <w:tcPr>
            <w:tcW w:w="1134" w:type="dxa"/>
            <w:shd w:val="clear" w:color="auto" w:fill="auto"/>
            <w:vAlign w:val="center"/>
          </w:tcPr>
          <w:p>
            <w:pPr>
              <w:spacing w:line="300" w:lineRule="exact"/>
              <w:jc w:val="right"/>
              <w:rPr>
                <w:rFonts w:ascii="仿宋_GB2312" w:eastAsia="仿宋_GB2312"/>
                <w:sz w:val="22"/>
              </w:rPr>
            </w:pPr>
          </w:p>
        </w:tc>
        <w:tc>
          <w:tcPr>
            <w:tcW w:w="1134" w:type="dxa"/>
            <w:shd w:val="clear" w:color="auto" w:fill="auto"/>
            <w:vAlign w:val="center"/>
          </w:tcPr>
          <w:p>
            <w:pPr>
              <w:spacing w:line="300" w:lineRule="exact"/>
              <w:jc w:val="right"/>
              <w:rPr>
                <w:rFonts w:ascii="仿宋_GB2312" w:eastAsia="仿宋_GB2312"/>
                <w:sz w:val="22"/>
              </w:rPr>
            </w:pPr>
          </w:p>
        </w:tc>
        <w:tc>
          <w:tcPr>
            <w:tcW w:w="1134" w:type="dxa"/>
            <w:shd w:val="clear" w:color="auto" w:fill="auto"/>
            <w:vAlign w:val="center"/>
          </w:tcPr>
          <w:p>
            <w:pPr>
              <w:spacing w:line="300" w:lineRule="exact"/>
              <w:jc w:val="right"/>
              <w:rPr>
                <w:rFonts w:ascii="仿宋_GB2312" w:eastAsia="仿宋_GB2312"/>
                <w:sz w:val="22"/>
              </w:rPr>
            </w:pPr>
          </w:p>
        </w:tc>
        <w:tc>
          <w:tcPr>
            <w:tcW w:w="1134" w:type="dxa"/>
            <w:shd w:val="clear" w:color="auto" w:fill="auto"/>
            <w:vAlign w:val="center"/>
          </w:tcPr>
          <w:p>
            <w:pPr>
              <w:spacing w:line="300" w:lineRule="exact"/>
              <w:jc w:val="right"/>
              <w:rPr>
                <w:rFonts w:ascii="仿宋_GB2312" w:eastAsia="仿宋_GB2312"/>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仿宋_GB2312" w:eastAsia="仿宋_GB2312"/>
                <w:sz w:val="22"/>
              </w:rPr>
            </w:pPr>
            <w:r>
              <w:rPr>
                <w:rFonts w:hint="eastAsia" w:ascii="仿宋_GB2312" w:eastAsia="仿宋_GB2312"/>
                <w:sz w:val="22"/>
              </w:rPr>
              <w:t>日常公用经费</w:t>
            </w:r>
          </w:p>
        </w:tc>
        <w:tc>
          <w:tcPr>
            <w:tcW w:w="1134"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1.8</w:t>
            </w:r>
          </w:p>
        </w:tc>
        <w:tc>
          <w:tcPr>
            <w:tcW w:w="1531" w:type="dxa"/>
            <w:shd w:val="clear" w:color="auto" w:fill="auto"/>
            <w:vAlign w:val="center"/>
          </w:tcPr>
          <w:p>
            <w:pPr>
              <w:spacing w:line="300" w:lineRule="exact"/>
              <w:jc w:val="left"/>
              <w:rPr>
                <w:rFonts w:ascii="仿宋_GB2312" w:eastAsia="仿宋_GB2312"/>
                <w:sz w:val="22"/>
              </w:rPr>
            </w:pPr>
            <w:r>
              <w:rPr>
                <w:rFonts w:hint="eastAsia" w:ascii="仿宋_GB2312" w:eastAsia="仿宋_GB2312"/>
                <w:sz w:val="22"/>
              </w:rPr>
              <w:t>多功能一体机</w:t>
            </w:r>
          </w:p>
        </w:tc>
        <w:tc>
          <w:tcPr>
            <w:tcW w:w="1531" w:type="dxa"/>
            <w:shd w:val="clear" w:color="auto" w:fill="auto"/>
            <w:vAlign w:val="center"/>
          </w:tcPr>
          <w:p>
            <w:pPr>
              <w:spacing w:line="300" w:lineRule="exact"/>
              <w:jc w:val="left"/>
              <w:rPr>
                <w:rFonts w:ascii="仿宋_GB2312" w:eastAsia="仿宋_GB2312"/>
                <w:sz w:val="22"/>
              </w:rPr>
            </w:pPr>
            <w:r>
              <w:rPr>
                <w:rFonts w:hint="eastAsia" w:ascii="仿宋_GB2312" w:eastAsia="仿宋_GB2312"/>
                <w:sz w:val="22"/>
              </w:rPr>
              <w:t>A020204</w:t>
            </w:r>
          </w:p>
        </w:tc>
        <w:tc>
          <w:tcPr>
            <w:tcW w:w="709" w:type="dxa"/>
            <w:shd w:val="clear" w:color="auto" w:fill="auto"/>
            <w:vAlign w:val="center"/>
          </w:tcPr>
          <w:p>
            <w:pPr>
              <w:spacing w:line="300" w:lineRule="exact"/>
              <w:jc w:val="center"/>
              <w:rPr>
                <w:rFonts w:ascii="仿宋_GB2312" w:eastAsia="仿宋_GB2312"/>
                <w:sz w:val="22"/>
              </w:rPr>
            </w:pPr>
            <w:r>
              <w:rPr>
                <w:rFonts w:hint="eastAsia" w:ascii="仿宋_GB2312" w:eastAsia="仿宋_GB2312"/>
                <w:sz w:val="22"/>
              </w:rPr>
              <w:t>台</w:t>
            </w:r>
          </w:p>
        </w:tc>
        <w:tc>
          <w:tcPr>
            <w:tcW w:w="907"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6</w:t>
            </w:r>
          </w:p>
        </w:tc>
        <w:tc>
          <w:tcPr>
            <w:tcW w:w="907"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0.30</w:t>
            </w:r>
          </w:p>
        </w:tc>
        <w:tc>
          <w:tcPr>
            <w:tcW w:w="1134"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1.80</w:t>
            </w:r>
          </w:p>
        </w:tc>
        <w:tc>
          <w:tcPr>
            <w:tcW w:w="1134"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1.80</w:t>
            </w:r>
          </w:p>
        </w:tc>
        <w:tc>
          <w:tcPr>
            <w:tcW w:w="1134" w:type="dxa"/>
            <w:shd w:val="clear" w:color="auto" w:fill="auto"/>
            <w:vAlign w:val="center"/>
          </w:tcPr>
          <w:p>
            <w:pPr>
              <w:spacing w:line="300" w:lineRule="exact"/>
              <w:jc w:val="right"/>
              <w:rPr>
                <w:rFonts w:ascii="仿宋_GB2312" w:eastAsia="仿宋_GB2312"/>
                <w:sz w:val="22"/>
              </w:rPr>
            </w:pPr>
          </w:p>
        </w:tc>
        <w:tc>
          <w:tcPr>
            <w:tcW w:w="1134" w:type="dxa"/>
            <w:shd w:val="clear" w:color="auto" w:fill="auto"/>
            <w:vAlign w:val="center"/>
          </w:tcPr>
          <w:p>
            <w:pPr>
              <w:spacing w:line="300" w:lineRule="exact"/>
              <w:jc w:val="right"/>
              <w:rPr>
                <w:rFonts w:ascii="仿宋_GB2312" w:eastAsia="仿宋_GB2312"/>
                <w:sz w:val="22"/>
              </w:rPr>
            </w:pPr>
          </w:p>
        </w:tc>
        <w:tc>
          <w:tcPr>
            <w:tcW w:w="1134" w:type="dxa"/>
            <w:shd w:val="clear" w:color="auto" w:fill="auto"/>
            <w:vAlign w:val="center"/>
          </w:tcPr>
          <w:p>
            <w:pPr>
              <w:spacing w:line="300" w:lineRule="exact"/>
              <w:jc w:val="right"/>
              <w:rPr>
                <w:rFonts w:ascii="仿宋_GB2312" w:eastAsia="仿宋_GB2312"/>
                <w:sz w:val="22"/>
              </w:rPr>
            </w:pPr>
          </w:p>
        </w:tc>
        <w:tc>
          <w:tcPr>
            <w:tcW w:w="1134" w:type="dxa"/>
            <w:shd w:val="clear" w:color="auto" w:fill="auto"/>
            <w:vAlign w:val="center"/>
          </w:tcPr>
          <w:p>
            <w:pPr>
              <w:spacing w:line="300" w:lineRule="exact"/>
              <w:jc w:val="right"/>
              <w:rPr>
                <w:rFonts w:ascii="仿宋_GB2312" w:eastAsia="仿宋_GB2312"/>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仿宋_GB2312" w:eastAsia="仿宋_GB2312"/>
                <w:sz w:val="22"/>
              </w:rPr>
            </w:pPr>
            <w:r>
              <w:rPr>
                <w:rFonts w:hint="eastAsia" w:ascii="仿宋_GB2312" w:eastAsia="仿宋_GB2312"/>
                <w:sz w:val="22"/>
              </w:rPr>
              <w:t>日常公用经费</w:t>
            </w:r>
          </w:p>
        </w:tc>
        <w:tc>
          <w:tcPr>
            <w:tcW w:w="1134"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2.1</w:t>
            </w:r>
          </w:p>
        </w:tc>
        <w:tc>
          <w:tcPr>
            <w:tcW w:w="1531" w:type="dxa"/>
            <w:shd w:val="clear" w:color="auto" w:fill="auto"/>
            <w:vAlign w:val="center"/>
          </w:tcPr>
          <w:p>
            <w:pPr>
              <w:spacing w:line="300" w:lineRule="exact"/>
              <w:jc w:val="left"/>
              <w:rPr>
                <w:rFonts w:ascii="仿宋_GB2312" w:eastAsia="仿宋_GB2312"/>
                <w:sz w:val="22"/>
              </w:rPr>
            </w:pPr>
            <w:r>
              <w:rPr>
                <w:rFonts w:hint="eastAsia" w:ascii="仿宋_GB2312" w:eastAsia="仿宋_GB2312"/>
                <w:sz w:val="22"/>
              </w:rPr>
              <w:t>空调机组</w:t>
            </w:r>
          </w:p>
        </w:tc>
        <w:tc>
          <w:tcPr>
            <w:tcW w:w="1531" w:type="dxa"/>
            <w:shd w:val="clear" w:color="auto" w:fill="auto"/>
            <w:vAlign w:val="center"/>
          </w:tcPr>
          <w:p>
            <w:pPr>
              <w:spacing w:line="300" w:lineRule="exact"/>
              <w:jc w:val="left"/>
              <w:rPr>
                <w:rFonts w:ascii="仿宋_GB2312" w:eastAsia="仿宋_GB2312"/>
                <w:sz w:val="22"/>
              </w:rPr>
            </w:pPr>
            <w:r>
              <w:rPr>
                <w:rFonts w:hint="eastAsia" w:ascii="仿宋_GB2312" w:eastAsia="仿宋_GB2312"/>
                <w:sz w:val="22"/>
              </w:rPr>
              <w:t>A02052305</w:t>
            </w:r>
          </w:p>
        </w:tc>
        <w:tc>
          <w:tcPr>
            <w:tcW w:w="709" w:type="dxa"/>
            <w:shd w:val="clear" w:color="auto" w:fill="auto"/>
            <w:vAlign w:val="center"/>
          </w:tcPr>
          <w:p>
            <w:pPr>
              <w:spacing w:line="300" w:lineRule="exact"/>
              <w:jc w:val="center"/>
              <w:rPr>
                <w:rFonts w:ascii="仿宋_GB2312" w:eastAsia="仿宋_GB2312"/>
                <w:sz w:val="22"/>
              </w:rPr>
            </w:pPr>
            <w:r>
              <w:rPr>
                <w:rFonts w:hint="eastAsia" w:ascii="仿宋_GB2312" w:eastAsia="仿宋_GB2312"/>
                <w:sz w:val="22"/>
              </w:rPr>
              <w:t>台</w:t>
            </w:r>
          </w:p>
        </w:tc>
        <w:tc>
          <w:tcPr>
            <w:tcW w:w="907"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5</w:t>
            </w:r>
          </w:p>
        </w:tc>
        <w:tc>
          <w:tcPr>
            <w:tcW w:w="907"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0.42</w:t>
            </w:r>
          </w:p>
        </w:tc>
        <w:tc>
          <w:tcPr>
            <w:tcW w:w="1134"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2.10</w:t>
            </w:r>
          </w:p>
        </w:tc>
        <w:tc>
          <w:tcPr>
            <w:tcW w:w="1134" w:type="dxa"/>
            <w:shd w:val="clear" w:color="auto" w:fill="auto"/>
            <w:vAlign w:val="center"/>
          </w:tcPr>
          <w:p>
            <w:pPr>
              <w:spacing w:line="300" w:lineRule="exact"/>
              <w:jc w:val="right"/>
              <w:rPr>
                <w:rFonts w:ascii="仿宋_GB2312" w:eastAsia="仿宋_GB2312"/>
                <w:sz w:val="22"/>
              </w:rPr>
            </w:pPr>
            <w:r>
              <w:rPr>
                <w:rFonts w:hint="eastAsia" w:ascii="仿宋_GB2312" w:eastAsia="仿宋_GB2312"/>
                <w:sz w:val="22"/>
              </w:rPr>
              <w:t>2.10</w:t>
            </w:r>
          </w:p>
        </w:tc>
        <w:tc>
          <w:tcPr>
            <w:tcW w:w="1134" w:type="dxa"/>
            <w:shd w:val="clear" w:color="auto" w:fill="auto"/>
            <w:vAlign w:val="center"/>
          </w:tcPr>
          <w:p>
            <w:pPr>
              <w:spacing w:line="300" w:lineRule="exact"/>
              <w:jc w:val="right"/>
              <w:rPr>
                <w:rFonts w:ascii="仿宋_GB2312" w:eastAsia="仿宋_GB2312"/>
                <w:sz w:val="22"/>
              </w:rPr>
            </w:pPr>
          </w:p>
        </w:tc>
        <w:tc>
          <w:tcPr>
            <w:tcW w:w="1134" w:type="dxa"/>
            <w:shd w:val="clear" w:color="auto" w:fill="auto"/>
            <w:vAlign w:val="center"/>
          </w:tcPr>
          <w:p>
            <w:pPr>
              <w:spacing w:line="300" w:lineRule="exact"/>
              <w:jc w:val="right"/>
              <w:rPr>
                <w:rFonts w:ascii="仿宋_GB2312" w:eastAsia="仿宋_GB2312"/>
                <w:sz w:val="22"/>
              </w:rPr>
            </w:pPr>
          </w:p>
        </w:tc>
        <w:tc>
          <w:tcPr>
            <w:tcW w:w="1134" w:type="dxa"/>
            <w:shd w:val="clear" w:color="auto" w:fill="auto"/>
            <w:vAlign w:val="center"/>
          </w:tcPr>
          <w:p>
            <w:pPr>
              <w:spacing w:line="300" w:lineRule="exact"/>
              <w:jc w:val="right"/>
              <w:rPr>
                <w:rFonts w:ascii="仿宋_GB2312" w:eastAsia="仿宋_GB2312"/>
                <w:sz w:val="22"/>
              </w:rPr>
            </w:pPr>
          </w:p>
        </w:tc>
        <w:tc>
          <w:tcPr>
            <w:tcW w:w="1134" w:type="dxa"/>
            <w:shd w:val="clear" w:color="auto" w:fill="auto"/>
            <w:vAlign w:val="center"/>
          </w:tcPr>
          <w:p>
            <w:pPr>
              <w:spacing w:line="300" w:lineRule="exact"/>
              <w:jc w:val="right"/>
              <w:rPr>
                <w:rFonts w:ascii="仿宋_GB2312" w:eastAsia="仿宋_GB2312"/>
                <w:sz w:val="22"/>
              </w:rPr>
            </w:pPr>
          </w:p>
        </w:tc>
      </w:tr>
      <w:bookmarkEnd w:id="4"/>
    </w:tbl>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广阳区南尖塔镇人民政府</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1062.79</w:t>
      </w:r>
      <w:r>
        <w:rPr>
          <w:rFonts w:ascii="Times New Roman" w:hAnsi="Times New Roman" w:eastAsia="仿宋_GB2312" w:cs="Times New Roman"/>
          <w:sz w:val="32"/>
          <w:szCs w:val="32"/>
        </w:rPr>
        <w:t>万元，本年度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总额为6.06万元，</w:t>
      </w:r>
      <w:r>
        <w:rPr>
          <w:rFonts w:ascii="Times New Roman" w:hAnsi="Times New Roman" w:eastAsia="仿宋_GB2312" w:cs="Times New Roman"/>
          <w:sz w:val="32"/>
          <w:szCs w:val="32"/>
        </w:rPr>
        <w:t>主要为计算机设备、打印设备、空调等，已列入政府采购预算。详见</w:t>
      </w:r>
      <w:r>
        <w:rPr>
          <w:rFonts w:hint="eastAsia" w:ascii="Times New Roman" w:hAnsi="Times New Roman" w:eastAsia="仿宋_GB2312" w:cs="Times New Roman"/>
          <w:sz w:val="32"/>
          <w:szCs w:val="32"/>
        </w:rPr>
        <w:t>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广阳区南尖塔镇人民政府</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1062.79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10581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10581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500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78.88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483.91</w:t>
            </w:r>
          </w:p>
        </w:tc>
      </w:tr>
    </w:tbl>
    <w:p>
      <w:pPr>
        <w:autoSpaceDE w:val="0"/>
        <w:autoSpaceDN w:val="0"/>
        <w:adjustRightInd w:val="0"/>
        <w:spacing w:line="584" w:lineRule="exact"/>
        <w:ind w:firstLine="640" w:firstLineChars="200"/>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 w:hAnsi="楷体" w:eastAsia="楷体"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sectPr>
      <w:footerReference r:id="rId4" w:type="first"/>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0080"/>
    <w:rsid w:val="00072187"/>
    <w:rsid w:val="00075D5F"/>
    <w:rsid w:val="0008180F"/>
    <w:rsid w:val="00093DA3"/>
    <w:rsid w:val="000B529B"/>
    <w:rsid w:val="000C24E6"/>
    <w:rsid w:val="000C3A19"/>
    <w:rsid w:val="000C461A"/>
    <w:rsid w:val="000E4305"/>
    <w:rsid w:val="000F0D09"/>
    <w:rsid w:val="001245BB"/>
    <w:rsid w:val="001251A3"/>
    <w:rsid w:val="0015229A"/>
    <w:rsid w:val="00160266"/>
    <w:rsid w:val="001643E8"/>
    <w:rsid w:val="00176C13"/>
    <w:rsid w:val="001919C4"/>
    <w:rsid w:val="0019723B"/>
    <w:rsid w:val="001A0943"/>
    <w:rsid w:val="001B5C1D"/>
    <w:rsid w:val="001D346D"/>
    <w:rsid w:val="001D6B64"/>
    <w:rsid w:val="001E0757"/>
    <w:rsid w:val="001E6DDC"/>
    <w:rsid w:val="001E70E9"/>
    <w:rsid w:val="001F5C92"/>
    <w:rsid w:val="001F7873"/>
    <w:rsid w:val="00230E48"/>
    <w:rsid w:val="00241FD4"/>
    <w:rsid w:val="00246317"/>
    <w:rsid w:val="00251B12"/>
    <w:rsid w:val="002617EF"/>
    <w:rsid w:val="00265318"/>
    <w:rsid w:val="00265F39"/>
    <w:rsid w:val="002835D7"/>
    <w:rsid w:val="00290FD6"/>
    <w:rsid w:val="00292821"/>
    <w:rsid w:val="00296113"/>
    <w:rsid w:val="002A673A"/>
    <w:rsid w:val="002C5E13"/>
    <w:rsid w:val="002C62BC"/>
    <w:rsid w:val="002E0EB8"/>
    <w:rsid w:val="002F3896"/>
    <w:rsid w:val="002F3E58"/>
    <w:rsid w:val="002F431C"/>
    <w:rsid w:val="0030542C"/>
    <w:rsid w:val="00311B7A"/>
    <w:rsid w:val="003126B6"/>
    <w:rsid w:val="00313D9C"/>
    <w:rsid w:val="00325215"/>
    <w:rsid w:val="0033339C"/>
    <w:rsid w:val="00335660"/>
    <w:rsid w:val="003A05EE"/>
    <w:rsid w:val="003B6D37"/>
    <w:rsid w:val="004132D7"/>
    <w:rsid w:val="00414BD3"/>
    <w:rsid w:val="00424943"/>
    <w:rsid w:val="0042727E"/>
    <w:rsid w:val="0043175C"/>
    <w:rsid w:val="00437296"/>
    <w:rsid w:val="00451590"/>
    <w:rsid w:val="00451871"/>
    <w:rsid w:val="00455103"/>
    <w:rsid w:val="004706DE"/>
    <w:rsid w:val="00470AC5"/>
    <w:rsid w:val="00472923"/>
    <w:rsid w:val="00486DCD"/>
    <w:rsid w:val="0049120C"/>
    <w:rsid w:val="0049346B"/>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04BBD"/>
    <w:rsid w:val="00611D03"/>
    <w:rsid w:val="00614A29"/>
    <w:rsid w:val="00651BA2"/>
    <w:rsid w:val="00654FB9"/>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035BF"/>
    <w:rsid w:val="00811795"/>
    <w:rsid w:val="00813208"/>
    <w:rsid w:val="00814DF4"/>
    <w:rsid w:val="00815157"/>
    <w:rsid w:val="00833253"/>
    <w:rsid w:val="0083348E"/>
    <w:rsid w:val="008334AE"/>
    <w:rsid w:val="00836FED"/>
    <w:rsid w:val="0083724E"/>
    <w:rsid w:val="00841D53"/>
    <w:rsid w:val="00843DF8"/>
    <w:rsid w:val="00845CD2"/>
    <w:rsid w:val="00852B0D"/>
    <w:rsid w:val="0085425A"/>
    <w:rsid w:val="00862CE4"/>
    <w:rsid w:val="00864B7F"/>
    <w:rsid w:val="0087488A"/>
    <w:rsid w:val="008775C1"/>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07B9"/>
    <w:rsid w:val="009C6C86"/>
    <w:rsid w:val="009D37D3"/>
    <w:rsid w:val="009D3807"/>
    <w:rsid w:val="009F24CE"/>
    <w:rsid w:val="00A102AA"/>
    <w:rsid w:val="00A16E6C"/>
    <w:rsid w:val="00A27EE2"/>
    <w:rsid w:val="00A40F60"/>
    <w:rsid w:val="00A44E3D"/>
    <w:rsid w:val="00A72D2E"/>
    <w:rsid w:val="00A74447"/>
    <w:rsid w:val="00A74CE5"/>
    <w:rsid w:val="00A77500"/>
    <w:rsid w:val="00A849B6"/>
    <w:rsid w:val="00A8536F"/>
    <w:rsid w:val="00A911E7"/>
    <w:rsid w:val="00A939D9"/>
    <w:rsid w:val="00AB77AA"/>
    <w:rsid w:val="00AC0E98"/>
    <w:rsid w:val="00AC4748"/>
    <w:rsid w:val="00AD39E7"/>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A67BA"/>
    <w:rsid w:val="00BD09F8"/>
    <w:rsid w:val="00BE356A"/>
    <w:rsid w:val="00BE694A"/>
    <w:rsid w:val="00C005B2"/>
    <w:rsid w:val="00C1565C"/>
    <w:rsid w:val="00C21E0F"/>
    <w:rsid w:val="00C362CA"/>
    <w:rsid w:val="00C37A99"/>
    <w:rsid w:val="00C772C1"/>
    <w:rsid w:val="00C87B6E"/>
    <w:rsid w:val="00C93D22"/>
    <w:rsid w:val="00CA7176"/>
    <w:rsid w:val="00CB51D7"/>
    <w:rsid w:val="00CC75B0"/>
    <w:rsid w:val="00CD2773"/>
    <w:rsid w:val="00CE01BA"/>
    <w:rsid w:val="00CE143B"/>
    <w:rsid w:val="00CE3A91"/>
    <w:rsid w:val="00D07DBA"/>
    <w:rsid w:val="00D23C16"/>
    <w:rsid w:val="00D27003"/>
    <w:rsid w:val="00D324AD"/>
    <w:rsid w:val="00D4472E"/>
    <w:rsid w:val="00D57F1B"/>
    <w:rsid w:val="00D9307A"/>
    <w:rsid w:val="00DB4322"/>
    <w:rsid w:val="00DD1D0C"/>
    <w:rsid w:val="00DE186D"/>
    <w:rsid w:val="00DF0745"/>
    <w:rsid w:val="00E167C7"/>
    <w:rsid w:val="00E20ED4"/>
    <w:rsid w:val="00E440CF"/>
    <w:rsid w:val="00E55B78"/>
    <w:rsid w:val="00E76361"/>
    <w:rsid w:val="00E84020"/>
    <w:rsid w:val="00EB7A80"/>
    <w:rsid w:val="00EC47F6"/>
    <w:rsid w:val="00EE6D6D"/>
    <w:rsid w:val="00EF08C9"/>
    <w:rsid w:val="00EF19C3"/>
    <w:rsid w:val="00EF535E"/>
    <w:rsid w:val="00F15CF0"/>
    <w:rsid w:val="00F471F7"/>
    <w:rsid w:val="00F56046"/>
    <w:rsid w:val="00F66032"/>
    <w:rsid w:val="00F83B96"/>
    <w:rsid w:val="00F8441D"/>
    <w:rsid w:val="00F87C1E"/>
    <w:rsid w:val="00F958C2"/>
    <w:rsid w:val="00FA740E"/>
    <w:rsid w:val="00FC06C7"/>
    <w:rsid w:val="00FC447E"/>
    <w:rsid w:val="00FD5DB4"/>
    <w:rsid w:val="00FD7FCC"/>
    <w:rsid w:val="00FE1724"/>
    <w:rsid w:val="00FE753C"/>
    <w:rsid w:val="00FF2346"/>
    <w:rsid w:val="54727D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F971C-4040-4224-9A54-4F955E12A77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1016</Words>
  <Characters>5794</Characters>
  <Lines>48</Lines>
  <Paragraphs>13</Paragraphs>
  <TotalTime>306</TotalTime>
  <ScaleCrop>false</ScaleCrop>
  <LinksUpToDate>false</LinksUpToDate>
  <CharactersWithSpaces>6797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2024-01-11T08:48:30Z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DCF42D87D3BF473DB3E08E4F589B655C</vt:lpwstr>
  </property>
</Properties>
</file>