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廊坊市广阳区人民政府信访局</w:t>
      </w:r>
    </w:p>
    <w:p/>
    <w:p/>
    <w:p/>
    <w:p/>
    <w:p>
      <w:pPr>
        <w:widowControl/>
        <w:jc w:val="center"/>
        <w:rPr>
          <w:color w:val="000000"/>
          <w:sz w:val="72"/>
          <w:szCs w:val="72"/>
        </w:rPr>
      </w:pPr>
      <w:r>
        <w:rPr>
          <w:rFonts w:ascii="黑体" w:eastAsia="黑体" w:hint="eastAsia"/>
          <w:color w:val="000000"/>
          <w:sz w:val="72"/>
          <w:szCs w:val="72"/>
        </w:rPr>
        <w:t>第一部分  部门概况</w:t>
      </w:r>
    </w:p>
    <w:p/>
    <w:p/>
    <w:p/>
    <w:p/>
    <w:p/>
    <w:p/>
    <w:p/>
    <w:p/>
    <w:p/>
    <w:p/>
    <w:p/>
    <w:p/>
    <w:p>
      <w:bookmarkStart w:id="0" w:name="_GoBack"/>
      <w:bookmarkEnd w:id="0"/>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一、部门职责</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研究提出全区信访工作思路，拟定全区信访工作有关制度、规定。2、接待人民群众来访，办理人民群众来信，查办信访案件。3、负责区委、区政府人民群众建议征集办公室工作。4、调查研究和综合分析全区信访形势及信访工作状况，及时向区委、区政府提出对策建议。5、参与全区社会治安综合治理和维护社会政治稳定工作，参与处理影响社会政治稳定的突发性、群体性事件。6、对乡镇、街办处党委、政府和区直有关部门信访工作年度责任目标进行考核。7、督促检查和组织指导全区乡镇、街办处及有关部门的信访工作。8、组织指导全区信访工作业务建设。9、承办区委、区政府及上级信访部门交办的有关事项。</w:t>
      </w:r>
    </w:p>
    <w:p>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从决算编报单位构成看，纳入2018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596"/>
        </w:trPr>
        <w:tc>
          <w:tcPr>
            <w:tcW w:w="98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廊坊市广阳区人民政府信访局</w:t>
            </w:r>
          </w:p>
        </w:tc>
        <w:tc>
          <w:tcPr>
            <w:tcW w:w="244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66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pPr>
        <w:widowControl/>
        <w:spacing w:line="1200" w:lineRule="exact"/>
        <w:jc w:val="center"/>
        <w:rPr>
          <w:color w:val="000000"/>
          <w:sz w:val="72"/>
          <w:szCs w:val="96"/>
        </w:rPr>
      </w:pPr>
      <w:r>
        <w:rPr>
          <w:rFonts w:ascii="黑体" w:eastAsia="黑体" w:hint="eastAsia"/>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Chars="200" w:firstLine="640"/>
        <w:rPr>
          <w:rFonts w:eastAsia="仿宋_GB2312"/>
          <w:sz w:val="20"/>
          <w:szCs w:val="32"/>
        </w:rPr>
      </w:pPr>
      <w:r>
        <w:rPr>
          <w:rFonts w:eastAsia="黑体"/>
          <w:sz w:val="32"/>
          <w:szCs w:val="32"/>
        </w:rPr>
        <w:t>第二部分   201</w:t>
      </w:r>
      <w:r>
        <w:rPr>
          <w:rFonts w:eastAsia="黑体" w:hint="eastAsia"/>
          <w:sz w:val="32"/>
          <w:szCs w:val="32"/>
        </w:rPr>
        <w:t>8</w:t>
      </w:r>
      <w:r>
        <w:rPr>
          <w:rFonts w:eastAsia="黑体"/>
          <w:sz w:val="32"/>
          <w:szCs w:val="32"/>
        </w:rPr>
        <w:t>年度部门决算报表</w:t>
      </w:r>
    </w:p>
    <w:p>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sz w:val="32"/>
          <w:szCs w:val="32"/>
        </w:rPr>
        <w:t>二、收入决算表</w:t>
      </w:r>
    </w:p>
    <w:p>
      <w:pPr>
        <w:widowControl/>
        <w:spacing w:line="580" w:lineRule="exact"/>
        <w:ind w:left="640" w:firstLineChars="200" w:firstLine="640"/>
        <w:rPr>
          <w:rFonts w:eastAsia="仿宋_GB2312"/>
          <w:sz w:val="32"/>
          <w:szCs w:val="32"/>
        </w:rPr>
      </w:pPr>
      <w:r>
        <w:rPr>
          <w:rFonts w:eastAsia="仿宋_GB2312"/>
          <w:sz w:val="32"/>
          <w:szCs w:val="32"/>
        </w:rPr>
        <w:t>三、支出决算表</w:t>
      </w:r>
    </w:p>
    <w:p>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“三公”经费</w:t>
      </w:r>
      <w:r>
        <w:rPr>
          <w:rFonts w:eastAsia="仿宋_GB2312" w:hint="eastAsia"/>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pPr>
        <w:widowControl/>
        <w:spacing w:line="1200" w:lineRule="exact"/>
        <w:jc w:val="center"/>
        <w:rPr>
          <w:color w:val="000000"/>
          <w:sz w:val="72"/>
          <w:szCs w:val="72"/>
        </w:rPr>
      </w:pPr>
      <w:r>
        <w:rPr>
          <w:rFonts w:ascii="黑体" w:eastAsia="黑体" w:hint="eastAsia"/>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docGrid w:type="lines" w:linePitch="312" w:charSpace="0"/>
        </w:sectPr>
      </w:pPr>
    </w:p>
    <w:p>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cs="黑体" w:hint="eastAsia"/>
          <w:b w:val="0"/>
          <w:bCs w:val="0"/>
          <w:kern w:val="0"/>
        </w:rPr>
        <w:t>支出</w:t>
      </w:r>
      <w:r>
        <w:rPr>
          <w:rFonts w:ascii="黑体" w:eastAsia="黑体" w:hint="eastAsia"/>
          <w:b w:val="0"/>
          <w:bCs w:val="0"/>
        </w:rPr>
        <w:t>决算总体情况说明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本部门2018年度收支总计（含结转和结余）306.89万元，与 2017年度决算相比，本年收支各增加51.57万元，增加20.71%，主要是包括以前年度预留的个人部分职业年金和人员工资调整。</w:t>
      </w:r>
    </w:p>
    <w:p>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本部门2018年度本年收入合计300.55万元，其中：财政拨款收入266.54万元，占88.7%；事业收入0万元，占0%；经营收入0万元，占0%；其他收入34.01万元，占11.3%。</w:t>
      </w:r>
    </w:p>
    <w:p>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本部门2018年度本年支出合计306.78万元，其中：基本支出306.78万元，占100%；项目支出0万元，占0%；经营支出0万元，占0%。</w:t>
      </w:r>
    </w:p>
    <w:p>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266.54万元,比2017年度增加22.56万元，增长9.6%，主要原因是是以前年度预留的个人部分职业年金；本年支出272.77万元，增加28.79万元，增长11.8%，主要原因是以前年度预留的个人部分职业年金。</w:t>
      </w:r>
    </w:p>
    <w:p>
      <w:pPr>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266.54万元，完成年初预算的100%,比年初预算增加48.32万元，决算数大于预算数，主要原因是以前年度预留的个人部分职业年金和人员工资调整；本年支出272.77万元，完成年初预算的100%,比年初预算增加54.55万元，决算数大于预算数，主要原因是以前年度预留的个人部分职业年金和人员工资调整。</w:t>
      </w:r>
    </w:p>
    <w:p>
      <w:pPr>
        <w:adjustRightInd w:val="0"/>
        <w:snapToGrid w:val="0"/>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（三）财政拨款支出决算结构情况。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年度财政拨款支出272.77万元，主要用于以下方面：一般公共服务（类）支出225.22万元，占82.6%；社会保障和就业（类）支出 28.44万元，占10.4%；住房保障（类）支出12万元，占4.4%;医疗卫生与计划生育（类）支出 7.11万元占2.6%。</w:t>
      </w:r>
    </w:p>
    <w:p>
      <w:pPr>
        <w:adjustRightInd w:val="0"/>
        <w:snapToGrid w:val="0"/>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一般公共预算财政拨款基本支出272.79万元，其中：人员经费248.33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24.46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三公”经费支出共计1.75万元，比年初预算减少0.55万元，降低23.9%，主要原因是无公务接待费用发生，比2017年度决算增加0.1万元，增长6.1%，主要原因是汽车维修费增加。具体情况如下：</w:t>
      </w:r>
    </w:p>
    <w:p>
      <w:pPr>
        <w:adjustRightInd w:val="0"/>
        <w:snapToGrid w:val="0"/>
        <w:spacing w:after="0" w:line="580" w:lineRule="exact"/>
        <w:ind w:firstLineChars="200" w:firstLine="640"/>
        <w:rPr>
          <w:rFonts w:eastAsia="仿宋_GB2312"/>
          <w:sz w:val="32"/>
          <w:szCs w:val="32"/>
          <w:highlight w:val="yellow"/>
        </w:rPr>
      </w:pPr>
      <w:r>
        <w:rPr>
          <w:rFonts w:eastAsia="楷体_GB2312" w:hint="eastAsia"/>
          <w:b/>
          <w:bCs/>
          <w:sz w:val="32"/>
          <w:szCs w:val="32"/>
        </w:rPr>
        <w:t>（一）</w:t>
      </w:r>
      <w:r>
        <w:rPr>
          <w:rFonts w:eastAsia="楷体_GB2312"/>
          <w:b/>
          <w:bCs/>
          <w:sz w:val="32"/>
          <w:szCs w:val="32"/>
        </w:rPr>
        <w:t>因公出国（境）费支出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pPr>
        <w:widowControl/>
        <w:numPr>
          <w:ilvl w:val="0"/>
          <w:numId w:val="1"/>
        </w:numPr>
        <w:ind w:left="0" w:firstLineChars="200" w:firstLine="640"/>
        <w:jc w:val="left"/>
        <w:rPr>
          <w:rFonts w:eastAsia="楷体_GB2312"/>
          <w:b/>
          <w:bCs/>
          <w:sz w:val="32"/>
          <w:szCs w:val="32"/>
        </w:rPr>
      </w:pPr>
      <w:r>
        <w:rPr>
          <w:rFonts w:eastAsia="楷体_GB2312"/>
          <w:b/>
          <w:bCs/>
          <w:sz w:val="32"/>
          <w:szCs w:val="32"/>
        </w:rPr>
        <w:t>公务用车购置及运行维护费支出</w:t>
      </w:r>
      <w:r>
        <w:rPr>
          <w:rFonts w:eastAsia="楷体_GB2312" w:hint="eastAsia"/>
          <w:b/>
          <w:bCs/>
          <w:sz w:val="32"/>
          <w:szCs w:val="32"/>
        </w:rPr>
        <w:t>1.75</w:t>
      </w:r>
      <w:r>
        <w:rPr>
          <w:rFonts w:eastAsia="楷体_GB2312"/>
          <w:b/>
          <w:bCs/>
          <w:sz w:val="32"/>
          <w:szCs w:val="32"/>
        </w:rPr>
        <w:t>万元。</w:t>
      </w:r>
    </w:p>
    <w:p>
      <w:pPr>
        <w:widowControl/>
        <w:ind w:firstLineChars="200" w:firstLine="640"/>
        <w:jc w:val="left"/>
        <w:rPr>
          <w:rFonts w:eastAsia="仿宋_GB2312"/>
          <w:b/>
          <w:bCs/>
          <w:sz w:val="32"/>
          <w:szCs w:val="32"/>
        </w:rPr>
      </w:pPr>
      <w:r>
        <w:rPr>
          <w:rFonts w:ascii="仿宋_GB2312" w:eastAsia="仿宋_GB2312" w:cs="DengXian-Regular" w:hint="eastAsia"/>
          <w:sz w:val="32"/>
          <w:szCs w:val="32"/>
        </w:rPr>
        <w:t>本部门2018年度公务用车购置及运行维护费比年初预算</w:t>
      </w:r>
      <w:r>
        <w:rPr>
          <w:rFonts w:eastAsia="仿宋_GB2312"/>
          <w:sz w:val="32"/>
          <w:szCs w:val="32"/>
        </w:rPr>
        <w:t>减少</w:t>
      </w:r>
      <w:r>
        <w:rPr>
          <w:rFonts w:eastAsia="仿宋_GB2312" w:hint="eastAsia"/>
          <w:sz w:val="32"/>
          <w:szCs w:val="32"/>
        </w:rPr>
        <w:t>0.55</w:t>
      </w:r>
      <w:r>
        <w:rPr>
          <w:rFonts w:eastAsia="仿宋_GB2312"/>
          <w:sz w:val="32"/>
          <w:szCs w:val="32"/>
        </w:rPr>
        <w:t>万元</w:t>
      </w:r>
      <w:r>
        <w:rPr>
          <w:rFonts w:ascii="仿宋_GB2312" w:eastAsia="仿宋_GB2312" w:cs="DengXian-Regular" w:hint="eastAsia"/>
          <w:sz w:val="32"/>
          <w:szCs w:val="32"/>
        </w:rPr>
        <w:t>，</w:t>
      </w:r>
      <w:r>
        <w:rPr>
          <w:rFonts w:eastAsia="仿宋_GB2312"/>
          <w:sz w:val="32"/>
          <w:szCs w:val="32"/>
        </w:rPr>
        <w:t>降低</w:t>
      </w:r>
      <w:r>
        <w:rPr>
          <w:rFonts w:eastAsia="仿宋_GB2312" w:hint="eastAsia"/>
          <w:sz w:val="32"/>
          <w:szCs w:val="32"/>
        </w:rPr>
        <w:t>23.9</w:t>
      </w:r>
      <w:r>
        <w:rPr>
          <w:rFonts w:eastAsia="仿宋_GB2312"/>
          <w:sz w:val="32"/>
          <w:szCs w:val="32"/>
        </w:rPr>
        <w:t>%</w:t>
      </w:r>
      <w:r>
        <w:rPr>
          <w:rFonts w:ascii="仿宋_GB2312" w:eastAsia="仿宋_GB2312" w:cs="DengXian-Regular" w:hint="eastAsia"/>
          <w:sz w:val="32"/>
          <w:szCs w:val="32"/>
        </w:rPr>
        <w:t>,主要原因是</w:t>
      </w:r>
      <w:r>
        <w:rPr>
          <w:rFonts w:ascii="仿宋_GB2312" w:eastAsia="仿宋_GB2312" w:cs="仿宋_GB2312"/>
          <w:color w:val="000000"/>
          <w:kern w:val="0"/>
          <w:sz w:val="31"/>
          <w:szCs w:val="31"/>
        </w:rPr>
        <w:t>严格执行了公车管理制度</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0.1</w:t>
      </w:r>
      <w:r>
        <w:rPr>
          <w:rFonts w:eastAsia="仿宋_GB2312"/>
          <w:sz w:val="32"/>
          <w:szCs w:val="32"/>
        </w:rPr>
        <w:t>万元，增长</w:t>
      </w:r>
      <w:r>
        <w:rPr>
          <w:rFonts w:eastAsia="仿宋_GB2312" w:hint="eastAsia"/>
          <w:sz w:val="32"/>
          <w:szCs w:val="32"/>
        </w:rPr>
        <w:t>6.1</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汽车维修费增加。</w:t>
      </w:r>
      <w:r>
        <w:rPr>
          <w:rFonts w:eastAsia="仿宋_GB2312"/>
          <w:b/>
          <w:bCs/>
          <w:sz w:val="32"/>
          <w:szCs w:val="32"/>
        </w:rPr>
        <w:t>其中：</w:t>
      </w:r>
    </w:p>
    <w:p>
      <w:pPr>
        <w:widowControl/>
        <w:ind w:firstLineChars="200" w:firstLine="640"/>
        <w:jc w:val="left"/>
        <w:rPr>
          <w:rFonts w:eastAsia="仿宋_GB2312"/>
          <w:sz w:val="32"/>
          <w:szCs w:val="32"/>
          <w:highlight w:val="yellow"/>
        </w:rPr>
      </w:pPr>
      <w:r>
        <w:rPr>
          <w:rFonts w:eastAsia="仿宋_GB2312"/>
          <w:b/>
          <w:sz w:val="32"/>
          <w:szCs w:val="32"/>
        </w:rPr>
        <w:t>公务用车购置费支出</w:t>
      </w:r>
      <w:r>
        <w:rPr>
          <w:rFonts w:eastAsia="仿宋_GB2312" w:hint="eastAsia"/>
          <w:b/>
          <w:sz w:val="32"/>
          <w:szCs w:val="32"/>
        </w:rPr>
        <w:t>0</w:t>
      </w:r>
      <w:r>
        <w:rPr>
          <w:rFonts w:eastAsia="仿宋_GB2312"/>
          <w:b/>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年度公务用车购置数量</w:t>
      </w:r>
      <w:r>
        <w:rPr>
          <w:rFonts w:eastAsia="仿宋_GB2312" w:hint="eastAsia"/>
          <w:sz w:val="32"/>
          <w:szCs w:val="32"/>
        </w:rPr>
        <w:t>0</w:t>
      </w:r>
      <w:r>
        <w:rPr>
          <w:rFonts w:eastAsia="仿宋_GB2312"/>
          <w:sz w:val="32"/>
          <w:szCs w:val="32"/>
        </w:rPr>
        <w:t>辆。</w:t>
      </w:r>
      <w:r>
        <w:rPr>
          <w:rFonts w:ascii="仿宋_GB2312" w:eastAsia="仿宋_GB2312" w:cs="仿宋_GB2312"/>
          <w:color w:val="000000"/>
          <w:kern w:val="0"/>
          <w:sz w:val="31"/>
          <w:szCs w:val="31"/>
        </w:rPr>
        <w:t>公务用车购置费支出较年初预算无增减变化；较</w:t>
      </w:r>
      <w:r>
        <w:rPr>
          <w:rFonts w:ascii="TimesNewRomanPSMT" w:eastAsia="TimesNewRomanPSMT" w:cs="TimesNewRomanPSMT" w:hAnsi="TimesNewRomanPSMT"/>
          <w:color w:val="000000"/>
          <w:kern w:val="0"/>
          <w:sz w:val="31"/>
          <w:szCs w:val="31"/>
        </w:rPr>
        <w:t xml:space="preserve">2017 </w:t>
      </w:r>
      <w:r>
        <w:rPr>
          <w:rFonts w:ascii="仿宋_GB2312" w:eastAsia="仿宋_GB2312" w:cs="仿宋_GB2312"/>
          <w:color w:val="000000"/>
          <w:kern w:val="0"/>
          <w:sz w:val="31"/>
          <w:szCs w:val="31"/>
        </w:rPr>
        <w:t>年度决算无增减变化。</w:t>
      </w:r>
    </w:p>
    <w:p>
      <w:pPr>
        <w:adjustRightInd w:val="0"/>
        <w:snapToGrid w:val="0"/>
        <w:spacing w:line="584" w:lineRule="exact"/>
        <w:ind w:firstLineChars="200" w:firstLine="640"/>
        <w:rPr>
          <w:rFonts w:eastAsia="仿宋_GB2312"/>
          <w:sz w:val="32"/>
          <w:szCs w:val="32"/>
          <w:highlight w:val="yellow"/>
        </w:rPr>
      </w:pPr>
      <w:r>
        <w:rPr>
          <w:rFonts w:eastAsia="仿宋_GB2312"/>
          <w:b/>
          <w:sz w:val="32"/>
          <w:szCs w:val="32"/>
        </w:rPr>
        <w:t>公务用车运行维护费支出</w:t>
      </w:r>
      <w:r>
        <w:rPr>
          <w:rFonts w:eastAsia="仿宋_GB2312" w:hint="eastAsia"/>
          <w:b/>
          <w:sz w:val="32"/>
          <w:szCs w:val="32"/>
        </w:rPr>
        <w:t>1.75</w:t>
      </w:r>
      <w:r>
        <w:rPr>
          <w:rFonts w:eastAsia="仿宋_GB2312"/>
          <w:b/>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年末单位公务用车保有量</w:t>
      </w:r>
      <w:r>
        <w:rPr>
          <w:rFonts w:eastAsia="仿宋_GB2312" w:hint="eastAsia"/>
          <w:sz w:val="32"/>
          <w:szCs w:val="32"/>
        </w:rPr>
        <w:t>1</w:t>
      </w:r>
      <w:r>
        <w:rPr>
          <w:rFonts w:eastAsia="仿宋_GB2312"/>
          <w:sz w:val="32"/>
          <w:szCs w:val="32"/>
        </w:rPr>
        <w:t>辆。公车运行维护费支出</w:t>
      </w:r>
      <w:r>
        <w:rPr>
          <w:rFonts w:eastAsia="仿宋_GB2312" w:hint="eastAsia"/>
          <w:sz w:val="32"/>
          <w:szCs w:val="32"/>
        </w:rPr>
        <w:t>比</w:t>
      </w:r>
      <w:r>
        <w:rPr>
          <w:rFonts w:eastAsia="仿宋_GB2312"/>
          <w:sz w:val="32"/>
          <w:szCs w:val="32"/>
        </w:rPr>
        <w:t>年初预算减少</w:t>
      </w:r>
      <w:r>
        <w:rPr>
          <w:rFonts w:eastAsia="仿宋_GB2312" w:hint="eastAsia"/>
          <w:sz w:val="32"/>
          <w:szCs w:val="32"/>
        </w:rPr>
        <w:t>0.55</w:t>
      </w:r>
      <w:r>
        <w:rPr>
          <w:rFonts w:eastAsia="仿宋_GB2312"/>
          <w:sz w:val="32"/>
          <w:szCs w:val="32"/>
        </w:rPr>
        <w:t>万元</w:t>
      </w:r>
      <w:r>
        <w:rPr>
          <w:rFonts w:ascii="仿宋_GB2312" w:eastAsia="仿宋_GB2312" w:cs="DengXian-Regular" w:hint="eastAsia"/>
          <w:sz w:val="32"/>
          <w:szCs w:val="32"/>
        </w:rPr>
        <w:t>，</w:t>
      </w:r>
      <w:r>
        <w:rPr>
          <w:rFonts w:eastAsia="仿宋_GB2312"/>
          <w:sz w:val="32"/>
          <w:szCs w:val="32"/>
        </w:rPr>
        <w:t>降低</w:t>
      </w:r>
      <w:r>
        <w:rPr>
          <w:rFonts w:eastAsia="仿宋_GB2312" w:hint="eastAsia"/>
          <w:sz w:val="32"/>
          <w:szCs w:val="32"/>
        </w:rPr>
        <w:t>23.9</w:t>
      </w:r>
      <w:r>
        <w:rPr>
          <w:rFonts w:eastAsia="仿宋_GB2312"/>
          <w:sz w:val="32"/>
          <w:szCs w:val="32"/>
        </w:rPr>
        <w:t>%</w:t>
      </w:r>
      <w:r>
        <w:rPr>
          <w:rFonts w:ascii="仿宋_GB2312" w:eastAsia="仿宋_GB2312" w:cs="DengXian-Regular" w:hint="eastAsia"/>
          <w:sz w:val="32"/>
          <w:szCs w:val="32"/>
        </w:rPr>
        <w:t>,主要原因是</w:t>
      </w:r>
      <w:r>
        <w:rPr>
          <w:rFonts w:ascii="仿宋_GB2312" w:eastAsia="仿宋_GB2312" w:cs="仿宋_GB2312"/>
          <w:color w:val="000000"/>
          <w:kern w:val="0"/>
          <w:sz w:val="31"/>
          <w:szCs w:val="31"/>
        </w:rPr>
        <w:t>严格执行了公车管理制度</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0.1</w:t>
      </w:r>
      <w:r>
        <w:rPr>
          <w:rFonts w:eastAsia="仿宋_GB2312"/>
          <w:sz w:val="32"/>
          <w:szCs w:val="32"/>
        </w:rPr>
        <w:t>万元，增长</w:t>
      </w:r>
      <w:r>
        <w:rPr>
          <w:rFonts w:eastAsia="仿宋_GB2312" w:hint="eastAsia"/>
          <w:sz w:val="32"/>
          <w:szCs w:val="32"/>
        </w:rPr>
        <w:t>6.1</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汽车维修费增加。</w:t>
      </w:r>
    </w:p>
    <w:p>
      <w:pPr>
        <w:adjustRightInd w:val="0"/>
        <w:snapToGrid w:val="0"/>
        <w:spacing w:line="584" w:lineRule="exact"/>
        <w:ind w:firstLineChars="200" w:firstLine="640"/>
        <w:rPr>
          <w:rFonts w:eastAsia="仿宋_GB2312"/>
          <w:sz w:val="32"/>
          <w:szCs w:val="32"/>
          <w:highlight w:val="yellow"/>
        </w:rPr>
      </w:pPr>
      <w:r>
        <w:rPr>
          <w:rFonts w:eastAsia="楷体_GB2312" w:hint="eastAsia"/>
          <w:b/>
          <w:bCs/>
          <w:sz w:val="32"/>
          <w:szCs w:val="32"/>
        </w:rPr>
        <w:t>（三）</w:t>
      </w:r>
      <w:r>
        <w:rPr>
          <w:rFonts w:eastAsia="楷体_GB2312"/>
          <w:b/>
          <w:bCs/>
          <w:sz w:val="32"/>
          <w:szCs w:val="32"/>
        </w:rPr>
        <w:t>公务接待费支出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年度未发生公务接待经费支出。公务接待费支出较年初预算无增减变化；较201</w:t>
      </w:r>
      <w:r>
        <w:rPr>
          <w:rFonts w:eastAsia="仿宋_GB2312" w:hint="eastAsia"/>
          <w:sz w:val="32"/>
          <w:szCs w:val="32"/>
        </w:rPr>
        <w:t>7</w:t>
      </w:r>
      <w:r>
        <w:rPr>
          <w:rFonts w:eastAsia="仿宋_GB2312"/>
          <w:sz w:val="32"/>
          <w:szCs w:val="32"/>
        </w:rPr>
        <w:t>年度决算无增减变化。</w:t>
      </w:r>
    </w:p>
    <w:p>
      <w:pPr>
        <w:pStyle w:val="2"/>
        <w:spacing w:before="0" w:after="0" w:line="580" w:lineRule="exact"/>
        <w:ind w:firstLineChars="200" w:firstLine="640"/>
        <w:rPr>
          <w:rFonts w:ascii="黑体" w:eastAsia="黑体"/>
          <w:b w:val="0"/>
          <w:bCs w:val="0"/>
        </w:rPr>
      </w:pPr>
      <w:r>
        <w:rPr>
          <w:rFonts w:ascii="黑体" w:eastAsia="黑体" w:hint="eastAsia"/>
          <w:b w:val="0"/>
          <w:bCs w:val="0"/>
        </w:rPr>
        <w:t>六、预算绩效情况说明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（一）预算绩效管理工作开展情况。 </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一是绩效评价管理机制不断完善。加强了绩效评价管理与财 </w:t>
      </w:r>
    </w:p>
    <w:p>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 xml:space="preserve">政资金监管、财政监督检查工作的相互融合，绩效评价在预算分配、预算执行、结果应用的全过程管理机制不断完善。二是绩效管理理念逐步建立。绩效评价工作的开展，特别是绩效评价结果 </w:t>
      </w:r>
    </w:p>
    <w:p>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 xml:space="preserve">的应用，有利于全面提高财政资金使用的效果。 </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（二）项目绩效自评结果 </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我单位严格按照财政局文件要求，对 2018 年项目进行自评 </w:t>
      </w:r>
    </w:p>
    <w:p>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 xml:space="preserve">价，评价结果良好，取得了良好的社会效益，达到了预期的效益 </w:t>
      </w:r>
    </w:p>
    <w:p>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目标。</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（三）重点项目绩效评价结果。 </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从评价结果看，我单位能较好地完成项目，取得良好的社会效益，资金管理完善，达到预期的效益目标。评价结果为良好。</w:t>
      </w:r>
    </w:p>
    <w:p>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本部门2018年度机关运行经费支出24.46万元，比年初预算数增加4.9万元，增长25.1%。主要原因是本年度房屋进行维修。较2017年度决算增加1.48万元，增长6.4%，主要原因是本年度房屋进行维修。</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w:t>
      </w:r>
      <w:r>
        <w:rPr>
          <w:rFonts w:ascii="仿宋_GB2312" w:eastAsia="仿宋_GB2312" w:cs="DengXian-Regular"/>
          <w:sz w:val="32"/>
          <w:szCs w:val="32"/>
        </w:rPr>
        <w:t>未发生</w:t>
      </w:r>
      <w:r>
        <w:rPr>
          <w:rFonts w:ascii="仿宋_GB2312" w:eastAsia="仿宋_GB2312" w:cs="DengXian-Regular" w:hint="eastAsia"/>
          <w:sz w:val="32"/>
          <w:szCs w:val="32"/>
        </w:rPr>
        <w:t>政府采购</w:t>
      </w:r>
      <w:r>
        <w:rPr>
          <w:rFonts w:ascii="仿宋_GB2312" w:eastAsia="仿宋_GB2312" w:cs="DengXian-Regular"/>
          <w:sz w:val="32"/>
          <w:szCs w:val="32"/>
        </w:rPr>
        <w:t>费用</w:t>
      </w:r>
      <w:r>
        <w:rPr>
          <w:rFonts w:ascii="仿宋_GB2312" w:eastAsia="仿宋_GB2312" w:cs="DengXian-Regular" w:hint="eastAsia"/>
          <w:sz w:val="32"/>
          <w:szCs w:val="32"/>
        </w:rPr>
        <w:t>支出</w:t>
      </w:r>
      <w:r>
        <w:rPr>
          <w:rFonts w:ascii="仿宋_GB2312" w:eastAsia="仿宋_GB2312" w:cs="DengXian-Regular"/>
          <w:sz w:val="32"/>
          <w:szCs w:val="32"/>
        </w:rPr>
        <w:t>。</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（三）国有资产占用情况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1辆，比上年增加0辆。其中，副部（省）级及以上领导用车0辆，主要领导干部用车0辆，机要通信用车1辆，应急保障用车0辆，执法执勤用车0辆，特种专业技术用车0辆，离退休干部用车0辆，其他用车0辆；单位价值50万元以上通用设备0台（套），单位价值100万元以上专用设备0（套）。</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1、本部门 2018 年度无政府采购情况，政府性基金预算财政拨款收入支出及国有资本经营预算财政拨款收入支出无收支及结转结余情况，故政府采购情况表，政府性基金预算财政拨款收入支出及国有资本经营预算财政拨款收入支出表以空表列示。 </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Chars="200" w:firstLine="640"/>
        <w:jc w:val="left"/>
        <w:rPr>
          <w:rFonts w:ascii="宋体" w:eastAsia="宋体" w:cs="MS-UIGothic,Bold"/>
          <w:b/>
          <w:bCs/>
          <w:kern w:val="0"/>
          <w:sz w:val="32"/>
          <w:szCs w:val="32"/>
        </w:rPr>
        <w:sectPr>
          <w:pgSz w:w="11906" w:h="16838"/>
          <w:pgMar w:top="2098" w:right="1474" w:bottom="1984" w:left="1588" w:header="851" w:footer="992" w:gutter="0"/>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pPr>
        <w:widowControl/>
        <w:spacing w:line="1200" w:lineRule="exact"/>
        <w:jc w:val="center"/>
        <w:rPr>
          <w:color w:val="000000"/>
          <w:sz w:val="96"/>
          <w:szCs w:val="96"/>
        </w:rPr>
      </w:pPr>
      <w:r>
        <w:rPr>
          <w:rFonts w:ascii="黑体" w:eastAsia="黑体" w:hint="eastAsia"/>
          <w:color w:val="000000"/>
          <w:sz w:val="96"/>
          <w:szCs w:val="96"/>
        </w:rPr>
        <w:t>名词解释</w:t>
      </w:r>
    </w:p>
    <w:p>
      <w:pPr>
        <w:rPr>
          <w:rFonts w:ascii="宋体" w:cs="ArialUnicodeMS"/>
          <w:color w:val="000000"/>
          <w:kern w:val="0"/>
        </w:rPr>
        <w:sectPr>
          <w:pgSz w:w="11906" w:h="16838"/>
          <w:pgMar w:top="2098" w:right="1474" w:bottom="1984" w:left="1588" w:header="851" w:footer="992" w:gutter="0"/>
          <w:docGrid w:type="lines" w:linePitch="312" w:charSpace="0"/>
        </w:sectPr>
      </w:pP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DengXian-Regular">
    <w:altName w:val="宋体"/>
    <w:panose1 w:val="00000000000000000000"/>
    <w:charset w:val="86"/>
    <w:family w:val="auto"/>
    <w:pitch w:val="variable"/>
    <w:sig w:usb0="00000000" w:usb1="00000000" w:usb2="00000010" w:usb3="00000000" w:csb0="00040001" w:csb1="00000000"/>
  </w:font>
  <w:font w:name="ArialUnicodeMS">
    <w:altName w:val="Malgun Gothic"/>
    <w:panose1 w:val="00000000000000000000"/>
    <w:charset w:val="81"/>
    <w:family w:val="auto"/>
    <w:pitch w:val="variable"/>
    <w:sig w:usb0="00000000" w:usb1="00000000" w:usb2="00000010" w:usb3="00000000" w:csb0="00080001" w:csb1="00000000"/>
  </w:font>
  <w:font w:name="MS-UIGothic,Bold">
    <w:altName w:val="Malgun Gothic"/>
    <w:panose1 w:val="00000000000000000000"/>
    <w:charset w:val="81"/>
    <w:family w:val="auto"/>
    <w:pitch w:val="variable"/>
    <w:sig w:usb0="00000000" w:usb1="00000000" w:usb2="00000010" w:usb3="00000000" w:csb0="00080000"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variable"/>
    <w:sig w:usb0="00000001" w:usb1="080E0000" w:usb2="00000010" w:usb3="00000000" w:csb0="00040000" w:csb1="00000000"/>
  </w:font>
  <w:font w:name="DengXian-Bold">
    <w:altName w:val="宋体"/>
    <w:panose1 w:val="00000000000000000000"/>
    <w:charset w:val="86"/>
    <w:family w:val="auto"/>
    <w:pitch w:val="variable"/>
    <w:sig w:usb0="00000000" w:usb1="00000000" w:usb2="00000010" w:usb3="00000000" w:csb0="00040001" w:csb1="00000000"/>
  </w:font>
  <w:font w:name="TimesNewRomanPSMT">
    <w:altName w:val="Arial"/>
    <w:panose1 w:val="00000000000000000000"/>
    <w:charset w:val="00"/>
    <w:family w:val="swiss"/>
    <w:pitch w:val="variable"/>
    <w:sig w:usb0="00000000"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auto"/>
    <w:pitch w:val="variable"/>
    <w:sig w:usb0="00007A87" w:usb1="80000000" w:usb2="00000008" w:usb3="00000000" w:csb0="400001FF" w:csb1="FFFF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F9A42A5C"/>
    <w:multiLevelType w:val="singleLevel"/>
    <w:tmpl w:val="F9A42A5C"/>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w:eastAsia="宋体" w:cs="Arial" w:hAnsi="Calibri"/>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Calibri" w:eastAsia="宋体" w:cs="Arial" w:hAnsi="Calibri"/>
      <w:b/>
      <w:bCs/>
      <w:sz w:val="28"/>
      <w:szCs w:val="28"/>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rFonts w:ascii="Cambria" w:eastAsia="黑体" w:cs="Times New Roman" w:hAnsi="Cambria"/>
      <w:sz w:val="18"/>
      <w:szCs w:val="18"/>
    </w:rPr>
  </w:style>
  <w:style w:type="paragraph" w:styleId="18">
    <w:name w:val="header"/>
    <w:basedOn w:val="0"/>
    <w:pPr>
      <w:pBdr>
        <w:bottom w:val="single" w:sz="6" w:space="1" w:color="auto"/>
      </w:pBdr>
      <w:tabs>
        <w:tab w:val="center" w:pos="4153"/>
        <w:tab w:val="right" w:pos="8306"/>
      </w:tabs>
      <w:snapToGrid w:val="0"/>
      <w:jc w:val="center"/>
    </w:pPr>
    <w:rPr>
      <w:rFonts w:ascii="Cambria" w:eastAsia="黑体" w:cs="Times New Roman" w:hAnsi="Cambria"/>
      <w:sz w:val="18"/>
      <w:szCs w:val="18"/>
    </w:rPr>
  </w:style>
  <w:style w:type="paragraph" w:styleId="19">
    <w:name w:val="Subtitle"/>
    <w:basedOn w:val="0"/>
    <w:next w:val="0"/>
    <w:pPr>
      <w:widowControl/>
      <w:spacing w:after="200" w:line="276" w:lineRule="auto"/>
      <w:jc w:val="left"/>
    </w:pPr>
    <w:rPr>
      <w:rFonts w:ascii="Calibri" w:eastAsia="宋体" w:cs="Arial" w:hAnsi="Calibri"/>
      <w:i/>
      <w:iCs/>
      <w:color w:val="F0A22E"/>
      <w:spacing w:val="15"/>
      <w:kern w:val="0"/>
      <w:sz w:val="24"/>
    </w:rPr>
  </w:style>
  <w:style w:type="paragraph" w:styleId="20">
    <w:name w:val="Title"/>
    <w:basedOn w:val="0"/>
    <w:next w:val="0"/>
    <w:pPr>
      <w:widowControl/>
      <w:pBdr>
        <w:bottom w:val="single" w:sz="8" w:space="4" w:color="F0A22E"/>
      </w:pBdr>
      <w:spacing w:after="300"/>
      <w:contextualSpacing/>
      <w:jc w:val="left"/>
    </w:pPr>
    <w:rPr>
      <w:rFonts w:ascii="Calibri" w:eastAsia="宋体" w:cs="Arial" w:hAnsi="Calibri"/>
      <w:color w:val="3A2C24"/>
      <w:spacing w:val="5"/>
      <w:kern w:val="28"/>
      <w:sz w:val="52"/>
      <w:szCs w:val="52"/>
    </w:rPr>
  </w:style>
  <w:style w:type="paragraph" w:customStyle="1" w:styleId="21">
    <w:name w:val="No Spacing"/>
    <w:pPr>
      <w:spacing w:after="160" w:line="480" w:lineRule="auto"/>
    </w:pPr>
    <w:rPr>
      <w:rFonts w:ascii="Cambria" w:eastAsia="黑体" w:cs="Times New Roman" w:hAnsi="Cambria"/>
      <w:sz w:val="22"/>
      <w:szCs w:val="22"/>
      <w:lang w:val="en-US" w:eastAsia="zh-CN" w:bidi="ar-SA"/>
    </w:rPr>
  </w:style>
  <w:style w:type="character" w:customStyle="1" w:styleId="22">
    <w:name w:val="Style1"/>
    <w:basedOn w:val="10"/>
    <w:rPr>
      <w:rFonts w:ascii="Cambria" w:eastAsia="黑体" w:cs="Times New Roman" w:hAnsi="Cambria"/>
      <w:sz w:val="22"/>
      <w:szCs w:val="22"/>
      <w:lang w:eastAsia="zh-CN"/>
    </w:rPr>
  </w:style>
  <w:style w:type="character" w:customStyle="1" w:styleId="23">
    <w:name w:val="Style2"/>
    <w:basedOn w:val="10"/>
    <w:rPr>
      <w:rFonts w:ascii="Cambria" w:eastAsia="黑体" w:cs="Times New Roman" w:hAnsi="Cambria"/>
      <w:sz w:val="22"/>
      <w:szCs w:val="22"/>
      <w:lang w:eastAsia="zh-CN"/>
    </w:rPr>
  </w:style>
  <w:style w:type="character" w:customStyle="1" w:styleId="24">
    <w:name w:val="Style3"/>
    <w:basedOn w:val="10"/>
    <w:rPr>
      <w:rFonts w:ascii="Cambria" w:eastAsia="黑体" w:cs="Times New Roman" w:hAnsi="Cambria"/>
      <w:szCs w:val="22"/>
      <w:lang w:eastAsia="zh-CN"/>
    </w:rPr>
  </w:style>
  <w:style w:type="character" w:customStyle="1" w:styleId="25">
    <w:name w:val="Style4"/>
    <w:basedOn w:val="10"/>
    <w:rPr>
      <w:rFonts w:ascii="Cambria" w:eastAsia="黑体" w:cs="Times New Roman" w:hAnsi="Cambria"/>
      <w:szCs w:val="22"/>
      <w:lang w:eastAsia="zh-CN"/>
    </w:rPr>
  </w:style>
  <w:style w:type="character" w:customStyle="1" w:styleId="26">
    <w:name w:val="Style5"/>
    <w:basedOn w:val="10"/>
    <w:rPr>
      <w:rFonts w:ascii="Cambria" w:eastAsia="黑体" w:cs="Times New Roman" w:hAnsi="Cambria"/>
      <w:sz w:val="22"/>
      <w:szCs w:val="22"/>
      <w:lang w:eastAsia="zh-CN"/>
    </w:rPr>
  </w:style>
  <w:style w:type="paragraph" w:customStyle="1" w:styleId="2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68</TotalTime>
  <Application>Yozo_Office</Application>
  <Pages>16</Pages>
  <Words>4073</Words>
  <Characters>4388</Characters>
  <Lines>258</Lines>
  <Paragraphs>93</Paragraphs>
  <CharactersWithSpaces>4411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lenovo</cp:lastModifiedBy>
  <cp:revision>42</cp:revision>
  <cp:lastPrinted>2019-09-27T00:42:00Z</cp:lastPrinted>
  <dcterms:created xsi:type="dcterms:W3CDTF">2019-09-26T01:09:00Z</dcterms:created>
  <dcterms:modified xsi:type="dcterms:W3CDTF">2019-11-25T02:42:47Z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2052-11.1.0.9145</vt:lpwstr>
  </property>
</Properties>
</file>