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rPr>
          <w:rFonts w:ascii="Times New Roman" w:hAnsi="Times New Roman" w:eastAsia="仿宋_GB2312" w:cs="Times New Roman"/>
          <w:sz w:val="44"/>
          <w:szCs w:val="44"/>
        </w:rPr>
      </w:pPr>
      <w:bookmarkStart w:id="4" w:name="_GoBack"/>
      <w:bookmarkEnd w:id="4"/>
    </w:p>
    <w:p>
      <w:pPr>
        <w:spacing w:line="584"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廊坊市广阳区解放道街道办事处2019年部门预算信息公开</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w:t>
      </w:r>
      <w:r>
        <w:rPr>
          <w:rFonts w:hint="eastAsia" w:ascii="Times New Roman" w:hAnsi="Times New Roman" w:eastAsia="仿宋_GB2312" w:cs="Times New Roman"/>
          <w:sz w:val="32"/>
          <w:szCs w:val="32"/>
          <w:lang w:eastAsia="zh-CN"/>
        </w:rPr>
        <w:t>中华人民共和国</w:t>
      </w:r>
      <w:r>
        <w:rPr>
          <w:rFonts w:ascii="Times New Roman" w:hAnsi="Times New Roman" w:eastAsia="仿宋_GB2312" w:cs="Times New Roman"/>
          <w:sz w:val="32"/>
          <w:szCs w:val="32"/>
        </w:rPr>
        <w:t>预算法》、《地方预决算公开操作规程》和《河北省省级预算公开办法》规定，现将廊坊市</w:t>
      </w:r>
      <w:r>
        <w:rPr>
          <w:rFonts w:hint="eastAsia" w:ascii="Times New Roman" w:hAnsi="Times New Roman" w:eastAsia="仿宋_GB2312" w:cs="Times New Roman"/>
          <w:sz w:val="32"/>
          <w:szCs w:val="32"/>
        </w:rPr>
        <w:t>广阳区解放道街道办事处</w:t>
      </w:r>
      <w:r>
        <w:rPr>
          <w:rFonts w:ascii="Times New Roman" w:hAnsi="Times New Roman" w:eastAsia="仿宋_GB2312" w:cs="Times New Roman"/>
          <w:sz w:val="32"/>
          <w:szCs w:val="32"/>
        </w:rPr>
        <w:t>2019年部门预算公开如下：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ind w:firstLine="640" w:firstLineChars="200"/>
        <w:rPr>
          <w:rFonts w:ascii="仿宋_GB2312" w:eastAsia="仿宋_GB2312"/>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广阳区解放道街道办事处</w:t>
      </w:r>
      <w:r>
        <w:rPr>
          <w:rFonts w:hint="eastAsia" w:ascii="仿宋_GB2312" w:eastAsia="仿宋_GB2312"/>
          <w:sz w:val="32"/>
          <w:szCs w:val="32"/>
        </w:rPr>
        <w:t>作为广阳区委、区政府的派出机构，依据法律、法规和区委、区政府的授权，对辖区内的社区经济、社区管理、社区服务和社区文化行使组织领导、综合协调、执法监督等综合行政管理职能，对地区性、社会性、群众性的工作负全面责任。具体履行以下主要职能：</w:t>
      </w:r>
    </w:p>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、宣传、贯彻、落实党的路线、方针、政策和国家的法律法规，执行上级党委、政府的决定和命令；</w:t>
      </w:r>
    </w:p>
    <w:p>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、制定并组织实施本行政区域内的经济和社会发展规划，促进经济和社会事业的全面发展；</w:t>
      </w:r>
    </w:p>
    <w:p>
      <w:pPr>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、加强街道、社区党的建设，领导和支持群团组织依法独立开展工作；</w:t>
      </w:r>
    </w:p>
    <w:p>
      <w:pPr>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、依法管理本行政区域内的各项社会事务，组织协调本辖区内机关、团体和企事业单位完成地区性、群众性和社会性的工作任务，支持、配合、监督派驻本辖区的公安、工商、税务等机构或人员正常开展工作；</w:t>
      </w:r>
    </w:p>
    <w:p>
      <w:pPr>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、加强街道、社区精神文明建设和文化建设，促进社会文明进步；</w:t>
      </w:r>
    </w:p>
    <w:p>
      <w:pPr>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、加强街道、社区社会治安综合治理工作，维护社会稳定；</w:t>
      </w:r>
    </w:p>
    <w:p>
      <w:pPr>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、兴建社区服务设施，强化服务功能，提供多种形式的公共服务；</w:t>
      </w:r>
    </w:p>
    <w:p>
      <w:pPr>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、加大城市建设与经营管理力度，发展社会公共事业，加快城市建设和发展步伐；</w:t>
      </w:r>
    </w:p>
    <w:p>
      <w:pPr>
        <w:ind w:firstLine="640" w:firstLineChars="200"/>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、完成区委、区政府交办的其它工作任务。</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134"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276"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2902"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b/>
              </w:rPr>
            </w:pPr>
            <w:r>
              <w:rPr>
                <w:rFonts w:hint="eastAsia" w:ascii="仿宋_GB2312" w:eastAsia="仿宋_GB2312" w:cs="宋体"/>
                <w:b/>
                <w:kern w:val="0"/>
                <w:szCs w:val="21"/>
              </w:rPr>
              <w:t>廊坊市广阳区解放道街道办事处</w:t>
            </w:r>
          </w:p>
        </w:tc>
        <w:tc>
          <w:tcPr>
            <w:tcW w:w="1134"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行政</w:t>
            </w:r>
          </w:p>
        </w:tc>
        <w:tc>
          <w:tcPr>
            <w:tcW w:w="1276"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正科级</w:t>
            </w:r>
          </w:p>
        </w:tc>
        <w:tc>
          <w:tcPr>
            <w:tcW w:w="2902"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财政拨款</w:t>
            </w:r>
          </w:p>
        </w:tc>
      </w:tr>
    </w:tbl>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广阳区解放道街道办事处</w:t>
      </w:r>
      <w:r>
        <w:rPr>
          <w:rFonts w:ascii="Times New Roman" w:hAnsi="Times New Roman" w:eastAsia="仿宋_GB2312" w:cs="Times New Roman"/>
          <w:sz w:val="32"/>
          <w:szCs w:val="32"/>
        </w:rPr>
        <w:t>机关及所属事业单位的收支包含在部门预算中。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2150.61</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2150.61</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广阳区解放道街道办事处</w:t>
      </w:r>
      <w:r>
        <w:rPr>
          <w:rFonts w:ascii="Times New Roman" w:hAnsi="Times New Roman" w:eastAsia="仿宋_GB2312" w:cs="Times New Roman"/>
          <w:sz w:val="32"/>
          <w:szCs w:val="32"/>
        </w:rPr>
        <w:t>年度部门预算中支出预算的总体情况。201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2150.61</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1992.83</w:t>
      </w:r>
      <w:r>
        <w:rPr>
          <w:rFonts w:ascii="Times New Roman" w:hAnsi="Times New Roman" w:eastAsia="仿宋_GB2312" w:cs="Times New Roman"/>
          <w:sz w:val="32"/>
          <w:szCs w:val="32"/>
        </w:rPr>
        <w:t>万元，包括人员经费</w:t>
      </w:r>
      <w:r>
        <w:rPr>
          <w:rFonts w:hint="eastAsia" w:ascii="Times New Roman" w:hAnsi="Times New Roman" w:eastAsia="仿宋_GB2312" w:cs="Times New Roman"/>
          <w:sz w:val="32"/>
          <w:szCs w:val="32"/>
        </w:rPr>
        <w:t>1850.67</w:t>
      </w:r>
      <w:r>
        <w:rPr>
          <w:rFonts w:ascii="Times New Roman" w:hAnsi="Times New Roman" w:eastAsia="仿宋_GB2312" w:cs="Times New Roman"/>
          <w:sz w:val="32"/>
          <w:szCs w:val="32"/>
        </w:rPr>
        <w:t>万元和日常公用经费</w:t>
      </w:r>
      <w:r>
        <w:rPr>
          <w:rFonts w:hint="eastAsia" w:ascii="Times New Roman" w:hAnsi="Times New Roman" w:eastAsia="仿宋_GB2312" w:cs="Times New Roman"/>
          <w:sz w:val="32"/>
          <w:szCs w:val="32"/>
        </w:rPr>
        <w:t>142.16</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rPr>
        <w:t>157.78</w:t>
      </w:r>
      <w:r>
        <w:rPr>
          <w:rFonts w:ascii="Times New Roman" w:hAnsi="Times New Roman" w:eastAsia="仿宋_GB2312" w:cs="Times New Roman"/>
          <w:sz w:val="32"/>
          <w:szCs w:val="32"/>
        </w:rPr>
        <w:t>万元，包括本级支出</w:t>
      </w:r>
      <w:r>
        <w:rPr>
          <w:rFonts w:hint="eastAsia" w:ascii="Times New Roman" w:hAnsi="Times New Roman" w:eastAsia="仿宋_GB2312" w:cs="Times New Roman"/>
          <w:sz w:val="32"/>
          <w:szCs w:val="32"/>
        </w:rPr>
        <w:t>157.78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主要为</w:t>
      </w:r>
      <w:r>
        <w:rPr>
          <w:rFonts w:hint="eastAsia" w:ascii="Times New Roman" w:hAnsi="Times New Roman" w:eastAsia="仿宋_GB2312" w:cs="Times New Roman"/>
          <w:sz w:val="32"/>
          <w:szCs w:val="32"/>
        </w:rPr>
        <w:t>社区人员及公用支出</w:t>
      </w:r>
      <w:r>
        <w:rPr>
          <w:rFonts w:ascii="Times New Roman" w:hAnsi="Times New Roman" w:eastAsia="仿宋_GB2312" w:cs="Times New Roman"/>
          <w:sz w:val="32"/>
          <w:szCs w:val="32"/>
        </w:rPr>
        <w:t>等</w:t>
      </w:r>
      <w:r>
        <w:rPr>
          <w:rFonts w:hint="eastAsia"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2150.61</w:t>
      </w:r>
      <w:r>
        <w:rPr>
          <w:rFonts w:ascii="Times New Roman" w:hAnsi="Times New Roman" w:eastAsia="仿宋_GB2312" w:cs="Times New Roman"/>
          <w:sz w:val="32"/>
          <w:szCs w:val="32"/>
        </w:rPr>
        <w:t>万元，较201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年预算增加</w:t>
      </w:r>
      <w:r>
        <w:rPr>
          <w:rFonts w:hint="eastAsia" w:ascii="Times New Roman" w:hAnsi="Times New Roman" w:eastAsia="仿宋_GB2312" w:cs="Times New Roman"/>
          <w:sz w:val="32"/>
          <w:szCs w:val="32"/>
        </w:rPr>
        <w:t>246.14</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239.39</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人员经费支出</w:t>
      </w:r>
      <w:r>
        <w:rPr>
          <w:rFonts w:ascii="Times New Roman" w:hAnsi="Times New Roman" w:eastAsia="仿宋_GB2312" w:cs="Times New Roman"/>
          <w:sz w:val="32"/>
          <w:szCs w:val="32"/>
        </w:rPr>
        <w:t>；项目支出增加</w:t>
      </w:r>
      <w:r>
        <w:rPr>
          <w:rFonts w:hint="eastAsia" w:ascii="Times New Roman" w:hAnsi="Times New Roman" w:eastAsia="仿宋_GB2312" w:cs="Times New Roman"/>
          <w:sz w:val="32"/>
          <w:szCs w:val="32"/>
        </w:rPr>
        <w:t>6.75</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社区</w:t>
      </w:r>
      <w:r>
        <w:rPr>
          <w:rFonts w:ascii="Times New Roman" w:hAnsi="Times New Roman" w:eastAsia="仿宋_GB2312" w:cs="Times New Roman"/>
          <w:sz w:val="32"/>
          <w:szCs w:val="32"/>
        </w:rPr>
        <w:t>项目支出。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10.08</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廊坊市广阳区解放道街道办事处</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firstLine="640" w:firstLineChars="200"/>
        <w:jc w:val="left"/>
        <w:rPr>
          <w:rFonts w:ascii="Times New Roman" w:hAnsi="黑体" w:eastAsia="黑体" w:cs="Times New Roman"/>
          <w:sz w:val="32"/>
          <w:szCs w:val="32"/>
        </w:rPr>
      </w:pPr>
      <w:r>
        <w:rPr>
          <w:rFonts w:ascii="Times New Roman" w:hAnsi="黑体" w:eastAsia="黑体" w:cs="Times New Roman"/>
          <w:sz w:val="32"/>
          <w:szCs w:val="32"/>
        </w:rPr>
        <w:t>四、财政拨款“三公”经费预算情况及增减变化原因</w:t>
      </w:r>
    </w:p>
    <w:p>
      <w:pPr>
        <w:spacing w:line="584" w:lineRule="exact"/>
        <w:ind w:firstLine="640" w:firstLineChars="200"/>
        <w:jc w:val="left"/>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sz w:val="32"/>
          <w:szCs w:val="32"/>
        </w:rPr>
        <w:t>2019年</w:t>
      </w: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4.37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4.37</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4.37</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相减少0.23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公务用车购置及运维费</w:t>
      </w:r>
      <w:r>
        <w:rPr>
          <w:rFonts w:hint="eastAsia" w:ascii="Times New Roman" w:hAnsi="Times New Roman" w:eastAsia="仿宋_GB2312" w:cs="Times New Roman"/>
          <w:sz w:val="32"/>
          <w:szCs w:val="32"/>
        </w:rPr>
        <w:t>减少0.23</w:t>
      </w:r>
      <w:r>
        <w:rPr>
          <w:rFonts w:ascii="Times New Roman" w:hAnsi="Times New Roman" w:eastAsia="仿宋_GB2312" w:cs="Times New Roman"/>
          <w:sz w:val="32"/>
          <w:szCs w:val="32"/>
        </w:rPr>
        <w:t>万元（其中：公务用车购置费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减少0.23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我部门切实落实勤俭节约各项规定，压减公车运行经费支出</w:t>
      </w:r>
      <w:r>
        <w:rPr>
          <w:rFonts w:ascii="Times New Roman" w:hAnsi="Times New Roman" w:eastAsia="仿宋_GB2312" w:cs="Times New Roman"/>
          <w:sz w:val="32"/>
          <w:szCs w:val="32"/>
        </w:rPr>
        <w:t>；公务接待费</w:t>
      </w:r>
      <w:r>
        <w:rPr>
          <w:rFonts w:hint="eastAsia" w:ascii="Times New Roman" w:hAnsi="Times New Roman" w:eastAsia="仿宋_GB2312" w:cs="Times New Roman"/>
          <w:sz w:val="32"/>
          <w:szCs w:val="32"/>
        </w:rPr>
        <w:t>0万元，</w:t>
      </w:r>
      <w:r>
        <w:rPr>
          <w:rFonts w:ascii="Times New Roman" w:hAnsi="Times New Roman" w:eastAsia="仿宋_GB2312" w:cs="Times New Roman"/>
          <w:color w:val="000000" w:themeColor="text1"/>
          <w:sz w:val="32"/>
          <w:szCs w:val="32"/>
        </w:rPr>
        <w:t>与201</w:t>
      </w:r>
      <w:r>
        <w:rPr>
          <w:rFonts w:hint="eastAsia" w:ascii="Times New Roman" w:hAnsi="Times New Roman" w:eastAsia="仿宋_GB2312" w:cs="Times New Roman"/>
          <w:color w:val="000000" w:themeColor="text1"/>
          <w:sz w:val="32"/>
          <w:szCs w:val="32"/>
        </w:rPr>
        <w:t>8</w:t>
      </w:r>
      <w:r>
        <w:rPr>
          <w:rFonts w:ascii="Times New Roman" w:hAnsi="Times New Roman" w:eastAsia="仿宋_GB2312" w:cs="Times New Roman"/>
          <w:color w:val="000000" w:themeColor="text1"/>
          <w:sz w:val="32"/>
          <w:szCs w:val="32"/>
        </w:rPr>
        <w:t>年相比持平，无增减变化。</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五、绩效预算信息</w:t>
      </w:r>
    </w:p>
    <w:p>
      <w:pPr>
        <w:spacing w:line="584" w:lineRule="exact"/>
        <w:ind w:firstLine="643" w:firstLineChars="200"/>
        <w:jc w:val="left"/>
        <w:rPr>
          <w:rFonts w:ascii="Times New Roman" w:hAnsi="Times New Roman" w:eastAsia="楷体_GB2312" w:cs="Times New Roman"/>
          <w:b/>
          <w:sz w:val="32"/>
          <w:szCs w:val="32"/>
        </w:rPr>
      </w:pPr>
      <w:bookmarkStart w:id="0" w:name="_Toc471398463"/>
      <w:r>
        <w:rPr>
          <w:rFonts w:ascii="Times New Roman" w:hAnsi="Times New Roman" w:eastAsia="楷体_GB2312" w:cs="Times New Roman"/>
          <w:b/>
          <w:sz w:val="32"/>
          <w:szCs w:val="32"/>
        </w:rPr>
        <w:t>总体绩效目标：</w:t>
      </w:r>
    </w:p>
    <w:p>
      <w:pPr>
        <w:spacing w:line="500" w:lineRule="exact"/>
        <w:ind w:firstLine="560"/>
        <w:rPr>
          <w:rFonts w:ascii="仿宋_GB2312" w:eastAsia="仿宋_GB2312"/>
          <w:sz w:val="32"/>
          <w:szCs w:val="32"/>
        </w:rPr>
      </w:pPr>
      <w:r>
        <w:rPr>
          <w:rFonts w:hint="eastAsia" w:ascii="仿宋_GB2312" w:eastAsia="仿宋_GB2312"/>
          <w:sz w:val="32"/>
          <w:szCs w:val="32"/>
        </w:rPr>
        <w:t>一是推进经济持续增长。狠抓招商引资，坚持“区域突破，扩大规模，内外联动”策略，力争多招商、招好商。同时，力推项目建设，结合去年的项目建设，一些扩建项目还要继续推进，争取更大更多的项目。二是加强社区民生服务。进一步强化社区网格服务功能，坚持以党建带社管、管理与服务相结合，不断提升网格承载的社会管理和公共服务的能力。推行了解民情零距离、答复民疑零延迟、解决民难零推脱的“三零”标准。把就业、计生、司法、民政等服务不断充实到网格里，实现网格员和网格长上门服务居民。三是创新社区文化品牌。多形式设计活动载体，充分发挥公益性社会群团组织作用，激发社区文化活力，提高原创作品的创作能力，提升社区文化品质，打造文化街道品牌。四是坚持维护稳定大局。深入排查化解矛盾纠纷，积极预防和妥善处置群体性事件，坚持做到涉稳问题排查化解到位、重点涉稳人员稳控到位、预防和处置非访事件准备工作到位，为实现广阳又好又快发展做出更大的贡献。五是实行科技</w:t>
      </w:r>
      <w:r>
        <w:rPr>
          <w:rFonts w:hint="eastAsia" w:ascii="仿宋_GB2312" w:eastAsia="仿宋_GB2312"/>
          <w:sz w:val="32"/>
          <w:szCs w:val="32"/>
          <w:lang w:eastAsia="zh-CN"/>
        </w:rPr>
        <w:t>环保督察</w:t>
      </w:r>
      <w:r>
        <w:rPr>
          <w:rFonts w:hint="eastAsia" w:ascii="仿宋_GB2312" w:eastAsia="仿宋_GB2312"/>
          <w:sz w:val="32"/>
          <w:szCs w:val="32"/>
        </w:rPr>
        <w:t>。在继续推行网格员巡查的同时，加大对网格员的培训力度，发动全员治霾的同时，加大无人机和监测仪在实际检查中的应用，让数据说话，真正做到精准治霾，科技治霾。全力推进各社区数字化信息管理平台和环保网格数据平台的建设工作，增加专业业务知识培训次数。六是加大隐患整治力度。对街道辖区内的安全生产重点监管单位、重大危险源进行重点监管检查，对一般单位实施定期或不定期专项检查，通过检查及时发现隐患，遏制一般事故，杜绝重大事故，确保各类检查和整治活动取得成效，完成各项控制指标。</w:t>
      </w:r>
    </w:p>
    <w:p>
      <w:pPr>
        <w:spacing w:line="500" w:lineRule="exact"/>
        <w:ind w:firstLine="560"/>
        <w:rPr>
          <w:rFonts w:ascii="楷体_GB2312" w:eastAsia="楷体_GB2312"/>
          <w:sz w:val="32"/>
          <w:szCs w:val="32"/>
        </w:rPr>
      </w:pPr>
      <w:r>
        <w:rPr>
          <w:rFonts w:hint="eastAsia" w:ascii="楷体_GB2312" w:eastAsia="楷体_GB2312"/>
          <w:b/>
          <w:sz w:val="32"/>
          <w:szCs w:val="32"/>
        </w:rPr>
        <w:t>职责分类绩效目标：</w:t>
      </w:r>
    </w:p>
    <w:p>
      <w:pPr>
        <w:spacing w:line="500" w:lineRule="exact"/>
        <w:ind w:firstLine="560"/>
        <w:rPr>
          <w:rFonts w:ascii="楷体_GB2312" w:eastAsia="楷体_GB2312"/>
          <w:sz w:val="32"/>
          <w:szCs w:val="32"/>
        </w:rPr>
      </w:pPr>
      <w:r>
        <w:rPr>
          <w:rFonts w:hint="eastAsia" w:ascii="仿宋_GB2312" w:eastAsia="仿宋_GB2312"/>
          <w:sz w:val="32"/>
          <w:szCs w:val="32"/>
        </w:rPr>
        <w:t>政务服务职责：负责政务公开、街办处会议管理、督察督办、政务联络、街道办事处日常工作等。</w:t>
      </w:r>
    </w:p>
    <w:p>
      <w:pPr>
        <w:spacing w:line="500" w:lineRule="exact"/>
        <w:ind w:firstLine="560"/>
        <w:rPr>
          <w:rFonts w:ascii="仿宋_GB2312" w:eastAsia="仿宋_GB2312"/>
          <w:sz w:val="32"/>
          <w:szCs w:val="32"/>
        </w:rPr>
      </w:pPr>
      <w:r>
        <w:rPr>
          <w:rFonts w:hint="eastAsia" w:ascii="仿宋_GB2312" w:eastAsia="仿宋_GB2312"/>
          <w:sz w:val="32"/>
          <w:szCs w:val="32"/>
        </w:rPr>
        <w:t>应急管理职责：负责基层政府值班工作，及时报告重要情况，传达和督促落实镇政府领导指示。协助镇政府领导做好需由基层政府组织处理的突发事件应急处置工作。</w:t>
      </w:r>
    </w:p>
    <w:p>
      <w:pPr>
        <w:spacing w:line="500" w:lineRule="exact"/>
        <w:ind w:firstLine="560"/>
        <w:rPr>
          <w:rFonts w:ascii="仿宋_GB2312" w:eastAsia="仿宋_GB2312"/>
          <w:sz w:val="32"/>
          <w:szCs w:val="32"/>
        </w:rPr>
      </w:pPr>
      <w:r>
        <w:rPr>
          <w:rFonts w:hint="eastAsia" w:ascii="仿宋_GB2312" w:eastAsia="仿宋_GB2312"/>
          <w:sz w:val="32"/>
          <w:szCs w:val="32"/>
        </w:rPr>
        <w:t>电子政务管理职责：负责政务信息服务工作和政府系统机关电子政务工作，保各类会议顺利进行；保障街道网络系统安全、稳定运行，技术设备安全可用。严格执行会议技术保障服务流程和电视电话会议室管理制度。切实提高技术保障和服务能力，力争领导满意、群众满意、部门满意。</w:t>
      </w:r>
    </w:p>
    <w:p>
      <w:pPr>
        <w:spacing w:line="500" w:lineRule="exact"/>
        <w:ind w:firstLine="560"/>
        <w:rPr>
          <w:rFonts w:ascii="仿宋_GB2312" w:eastAsia="仿宋_GB2312"/>
          <w:sz w:val="32"/>
          <w:szCs w:val="32"/>
        </w:rPr>
      </w:pPr>
      <w:r>
        <w:rPr>
          <w:rFonts w:hint="eastAsia" w:ascii="仿宋_GB2312" w:eastAsia="仿宋_GB2312"/>
          <w:sz w:val="32"/>
          <w:szCs w:val="32"/>
        </w:rPr>
        <w:t>地方志事务职责：负责全街道地方志事务管理。弘扬和传承优秀文化传统，充分发挥志书“资政、存史、教化”的综合功能，为社会各界方便快捷提供县情，为本县经济社会建设服务，为地方志工作者提供资料和工具。</w:t>
      </w:r>
    </w:p>
    <w:p>
      <w:pPr>
        <w:spacing w:line="500" w:lineRule="exact"/>
        <w:ind w:firstLine="560"/>
        <w:rPr>
          <w:rFonts w:ascii="仿宋_GB2312" w:eastAsia="仿宋_GB2312"/>
          <w:sz w:val="32"/>
          <w:szCs w:val="32"/>
        </w:rPr>
      </w:pPr>
      <w:r>
        <w:rPr>
          <w:rFonts w:hint="eastAsia" w:ascii="仿宋_GB2312" w:eastAsia="仿宋_GB2312"/>
          <w:sz w:val="32"/>
          <w:szCs w:val="32"/>
        </w:rPr>
        <w:t>街道政务管理职责：在区委、区政府的领导下，贯彻执行党路线、方针、政策和国家的各项法律、法规；负责街辖区内的地区性、群众性、公益性、社会性工作。负责精神文明建设工作，积极组织以提高市民质素为目的的活动，树立文明新风。按照职责范围，负责街辖区内的城市建设和管理、市容环境卫生、园林绿化、环境保护、市政、房地产等监督、管理、服务工作。负责街辖区内的维护稳定及社会治安综合治理工作，依照有关规定做好出租屋和外来暂住人员的管理工作；负责民事调解，法律服务工作，维护居民的合法权益。 负责社区建设和管理，积极开展社区服务工作，大力兴办社区福利事业，发动和组织社区成员开展各类社区公益活动；负责拥军优属、优抚安置、社会救济、社会福利、社区文化、科普、体育、教育等工作。发展街道经济，管理街道自有国有资产和集体资产，为街道经济组织提供人才、科技、信息和各种服务，以经济、法律和必要的行政手段推动街道经济发展和维护市场经济秩序。 负责计划生育、劳动就业、安全生产管理、初级卫生保健、民兵、兵役等工作；尊重少数民族的风俗习惯，保障少数民族的权益。指导和帮助居民委员会搞好组织建设和制度建设，发挥居委会的群众自治组织作用。配合有关部门做好防汛、防风、防火、防震、防灾和抢险工作。向区人民政府反映居民群众的意见和要求，办理人民群众来信来访事项。承办区委、区政府和上级部门交办的其他事项。</w:t>
      </w:r>
    </w:p>
    <w:p>
      <w:pPr>
        <w:spacing w:line="500" w:lineRule="exact"/>
        <w:ind w:firstLine="560"/>
        <w:rPr>
          <w:rFonts w:ascii="仿宋_GB2312" w:eastAsia="仿宋_GB2312"/>
          <w:sz w:val="32"/>
          <w:szCs w:val="32"/>
        </w:rPr>
      </w:pPr>
      <w:r>
        <w:rPr>
          <w:rFonts w:ascii="Times New Roman" w:hAnsi="Times New Roman" w:eastAsia="楷体_GB2312" w:cs="Times New Roman"/>
          <w:b/>
          <w:sz w:val="32"/>
          <w:szCs w:val="32"/>
        </w:rPr>
        <w:t>部门职责及工作活动绩效目标指标：</w:t>
      </w:r>
    </w:p>
    <w:bookmarkEnd w:id="0"/>
    <w:p>
      <w:pPr>
        <w:spacing w:line="584" w:lineRule="exact"/>
        <w:jc w:val="center"/>
        <w:outlineLvl w:val="0"/>
        <w:rPr>
          <w:rFonts w:ascii="Times New Roman" w:hAnsi="Times New Roman" w:eastAsia="仿宋_GB2312" w:cs="Times New Roman"/>
          <w:b/>
          <w:sz w:val="32"/>
        </w:rPr>
      </w:pPr>
      <w:bookmarkStart w:id="1" w:name="_Toc504489147"/>
      <w:r>
        <w:rPr>
          <w:rFonts w:ascii="Times New Roman" w:hAnsi="Times New Roman" w:eastAsia="仿宋_GB2312" w:cs="Times New Roman"/>
          <w:b/>
          <w:sz w:val="32"/>
        </w:rPr>
        <w:t>部门职责-工作活动绩效目标</w:t>
      </w:r>
      <w:bookmarkEnd w:id="1"/>
    </w:p>
    <w:tbl>
      <w:tblPr>
        <w:tblStyle w:val="8"/>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_GB2312" w:eastAsia="仿宋_GB2312"/>
                <w:sz w:val="24"/>
              </w:rPr>
            </w:pPr>
            <w:r>
              <w:rPr>
                <w:rFonts w:hint="eastAsia" w:ascii="仿宋_GB2312" w:eastAsia="仿宋_GB2312"/>
                <w:sz w:val="24"/>
              </w:rPr>
              <w:t>919廊坊市广阳区解放道街道办事处</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_GB2312" w:eastAsia="仿宋_GB2312"/>
                <w:sz w:val="24"/>
              </w:rPr>
            </w:pPr>
            <w:r>
              <w:rPr>
                <w:rFonts w:hint="eastAsia" w:ascii="仿宋_GB2312" w:eastAsia="仿宋_GB2312"/>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职责活动</w:t>
            </w:r>
          </w:p>
        </w:tc>
        <w:tc>
          <w:tcPr>
            <w:tcW w:w="12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年度预算数</w:t>
            </w:r>
          </w:p>
        </w:tc>
        <w:tc>
          <w:tcPr>
            <w:tcW w:w="29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内容描述</w:t>
            </w:r>
          </w:p>
        </w:tc>
        <w:tc>
          <w:tcPr>
            <w:tcW w:w="29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绩效目标</w:t>
            </w:r>
          </w:p>
        </w:tc>
        <w:tc>
          <w:tcPr>
            <w:tcW w:w="1417"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绩效指标</w:t>
            </w:r>
          </w:p>
        </w:tc>
        <w:tc>
          <w:tcPr>
            <w:tcW w:w="2948" w:type="dxa"/>
            <w:gridSpan w:val="4"/>
            <w:shd w:val="clear" w:color="auto" w:fill="auto"/>
            <w:vAlign w:val="center"/>
          </w:tcPr>
          <w:p>
            <w:pPr>
              <w:spacing w:line="300" w:lineRule="exact"/>
              <w:jc w:val="center"/>
              <w:rPr>
                <w:rFonts w:ascii="仿宋_GB2312" w:eastAsia="仿宋_GB2312"/>
                <w:b/>
              </w:rPr>
            </w:pPr>
            <w:r>
              <w:rPr>
                <w:rFonts w:hint="eastAsia" w:ascii="仿宋_GB2312" w:eastAsia="仿宋_GB2312"/>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rPr>
                <w:rFonts w:ascii="仿宋_GB2312" w:eastAsia="仿宋_GB2312"/>
              </w:rPr>
            </w:pPr>
          </w:p>
        </w:tc>
        <w:tc>
          <w:tcPr>
            <w:tcW w:w="1276" w:type="dxa"/>
            <w:vMerge w:val="continue"/>
            <w:shd w:val="clear" w:color="auto" w:fill="auto"/>
            <w:vAlign w:val="center"/>
          </w:tcPr>
          <w:p>
            <w:pPr>
              <w:spacing w:line="300" w:lineRule="exact"/>
              <w:jc w:val="left"/>
              <w:outlineLvl w:val="0"/>
              <w:rPr>
                <w:rFonts w:ascii="仿宋_GB2312" w:eastAsia="仿宋_GB2312"/>
              </w:rPr>
            </w:pPr>
          </w:p>
        </w:tc>
        <w:tc>
          <w:tcPr>
            <w:tcW w:w="2976" w:type="dxa"/>
            <w:vMerge w:val="continue"/>
            <w:shd w:val="clear" w:color="auto" w:fill="auto"/>
            <w:vAlign w:val="center"/>
          </w:tcPr>
          <w:p>
            <w:pPr>
              <w:spacing w:line="300" w:lineRule="exact"/>
              <w:jc w:val="left"/>
              <w:outlineLvl w:val="0"/>
              <w:rPr>
                <w:rFonts w:ascii="仿宋_GB2312" w:eastAsia="仿宋_GB2312"/>
              </w:rPr>
            </w:pPr>
          </w:p>
        </w:tc>
        <w:tc>
          <w:tcPr>
            <w:tcW w:w="2976" w:type="dxa"/>
            <w:vMerge w:val="continue"/>
            <w:shd w:val="clear" w:color="auto" w:fill="auto"/>
            <w:vAlign w:val="center"/>
          </w:tcPr>
          <w:p>
            <w:pPr>
              <w:spacing w:line="300" w:lineRule="exact"/>
              <w:jc w:val="left"/>
              <w:outlineLvl w:val="0"/>
              <w:rPr>
                <w:rFonts w:ascii="仿宋_GB2312" w:eastAsia="仿宋_GB2312"/>
              </w:rPr>
            </w:pPr>
          </w:p>
        </w:tc>
        <w:tc>
          <w:tcPr>
            <w:tcW w:w="1417" w:type="dxa"/>
            <w:vMerge w:val="continue"/>
            <w:shd w:val="clear" w:color="auto" w:fill="auto"/>
            <w:vAlign w:val="center"/>
          </w:tcPr>
          <w:p>
            <w:pPr>
              <w:spacing w:line="300" w:lineRule="exact"/>
              <w:jc w:val="left"/>
              <w:outlineLvl w:val="0"/>
              <w:rPr>
                <w:rFonts w:ascii="仿宋_GB2312" w:eastAsia="仿宋_GB2312"/>
              </w:rPr>
            </w:pP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优</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良</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中</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一、政务服务</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政务公开、镇政府、街办处会议管理、督察督办、政务联络等工作。</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突出政务、加强事务、提升服务，力求重点工作出精品，难点工作求突破、基础工作有创新、常规工作见特色。以机关干部作风量化指标为依据，增强了工作综合服务实力。</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1、政务公开</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承担街办处政务公开暨行政权力公开透明运行工作领导小组的日常工作，指导和协调全镇政务公开及政务服务中心建设、推进行政服务体系标准化建设工作。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通过完成街办处政务信息公开工作的指导监督工作，使全街办处信息公开业务队伍素质不断提高，业务水平进一步提升；政府政务信息公开范围不断扩大，公开内容得到进一步细化。</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政务公开率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政务公开次数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政务公开内容</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全部符合规定标准</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基本符合标准</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其中一项不符合标准</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两项以上不符合标准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2、政务联络</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负责管理区政府驻外办事处工作。负责区领导、区有关部门公务活动的接待安排；</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做好县际间与我区政务往来服务保障工作</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重大会议的协调安保工作完成率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符合各项要求</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无事故</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无重大事故</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重大事故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重大会议的内容完成情况</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全部完成</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基本完成</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部分完成</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重大活动联络服务工作</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非常满意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满意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较满意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不满意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3、会议管理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政府会议的准备和服务工作，协助政府领导组织会议决定事项的落实。</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做好街道会议保障；严格召开的会议审批，控制会议费开支规模。</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大型会议执行度</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大型会议控制率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重大会议的协调安保工作完成率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符合各项要求</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无事故</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无重大事故</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重大事故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4、督查督办</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督促检查街道各部门对政府决定事项及政府领导重要指示的执行落实情况并跟踪调研，及时向领导报告。组织承办人大代表和政协提案工作。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确保街道决定事项及街道领导重要指示得到贯彻落实。</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督察督办次数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督察督办程度</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决策部署督查反馈率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二、应急管理</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基层政府值班工作，及时报告重要情况，传达和督促落实街办处领导指示。协助街办处领导做好需由基层政府组织处理的突发事件应急处置工作。</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建设运行维护好镇政府应急平台，实现各种实用功能，有效保证镇政府日常应急值守和突发事件应对处置工作；进一步加强应急宣传培训工作，拓宽宣教渠道、扩大受众面、增强工作实效；进一步完善应急预案体系建设，认真编制、严格审核应急预案，确保预案内容科学合理，有效组织实施；进一步加强应急演练工作，提升演练效果，确保遇突发事件能够有效应对；充分发挥专家组的决策咨询和技术指导作用，为突发事件应对处置工作提供更大帮助；做好指导、协调各镇镇、各部门应急工作，确保信息报送及时畅通，不出差错和问题。</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1、应急管理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政府值班工作，及时报告重要情况，传达和督促落实办事处领导指示。协助领导做好需由镇政府组织处理的突发事件应急处置工作。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维护好本地政府应急平台，确保街办处应急工作顺利完成；各类突发事件得到及时妥善处置</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突发事件处理率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突发事件处理效率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小于一小时</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小于三小时</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小于八小时</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八小时以上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突发事件处理程度</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完全解决</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基本解决</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未解决上报</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未解决未上报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三、电子政务管理</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政务信息服务工作和政府系统机关电子政务工作。</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确保各类会议顺利进行；保障街道网络系统安全、稳定运行，技术设备安全可用。严格执行会议技术保障服务流程和电视电话会议室管理制度。切实提高技术保障和服务能力，力争领导满意、群众满意、部门满意。</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1、政府电子政务管理与服务</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政务信息服务工作和政府系统机关电子政务工作。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案件及时处理，环境卫生达标</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结案率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居民对案件处理满意程度</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非常满意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满意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较满意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不满意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四、地方志事务</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全街道地方志事务管理。</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弘扬和传承优秀文化传统，充分发挥志书“资政、存史、教化”的综合功能，为社会各界方便快捷提供县情，为本县经济社会建设服务，为地方志工作者提供资料和工具。</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1、地方志事务管理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拟订全街道地方志工作规划并组织实施；搜集、保存、管理地方文献和资料；组织开发利用地方志资源；建设和维护街道地方志县情网络。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为社会各界方便快捷提供街道情，为经济社会建设服务</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真实程度</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编印差错率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影响范围</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五、街道政务管理</w:t>
            </w:r>
          </w:p>
        </w:tc>
        <w:tc>
          <w:tcPr>
            <w:tcW w:w="12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157.78</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按照有关要求，做好机关办公区房屋与附属设施的维修、维护工作；做好机关办公区绿化、美化工作；做好后勤保障和老干部管理服务工作。</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以服务领导和机关保障有力为目标，增强了优质后勤管理水平，通过加强公车管理，降低运行成本，为创建节约型机关打下了良好的基础。采取保障街道领导和机关工作办公环境的措施，提升了服务管理水平，保障了街道和机关工作的正常运转。及时了解国内外形势、党和国家的方针政策以及街道办公室的重要部署和要求，及时为老干部提供优质高效服务。</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1、财政事务</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贯彻落实国家财政收入政策，采取科学合理方法测算年度财政收入情况，制定年度预算收入计划。研究制定完善的预算政策体系，提高预算管理的科学化水平。统筹市级财力，强化绩效管理，科学编制政府绩效预算。规范预算执行，合理组织财政各项支出，促进社会事业发展。推进预算公开，实施全面规范、公开透明的预算制度。</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预算编制科学、政策有效、执行规范、决算准确、绩效突出</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编制和批复决算及时性</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按时完成</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延迟5天以内</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延迟10天以内</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延迟10天以上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财政体制有效性</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财政体制完备，运行顺畅。</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财政体制能够较好运行。</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财政体制能够基本运行</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财政体制不能执行。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政府预算公开情况</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政府预算公开时限、公开内容、公开渠道、公开内容细化程度，四项严格符合规定要求</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政府预算公开时限、公开内容、公开渠道、公开内容细化程度，四项基本符合规定要求</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政府预算公开时限、公开内容、公开渠道、公开内容细化程度，有一项不符合规定要求</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政府预算公开时限、公开内容、公开渠道、公开内容细化程度，有一项以上不符合规定要求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总预算会计核算信息准确率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专项检查任务完成及时率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2、信访问题处理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负责正常来信来访、网上信访，非访、突发性及群体性事件的办理；提供相关服务保障；处理全乡群众进京上访；信访事项督查、案件查办、复查复核、听证等工作。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畅通信访渠道，维护群众合法利益，解决群众合理诉求，促进社会和谐稳定。。</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信访事项受理及时率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信访事项按期结案率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领导干部公开接访</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3、残疾人综合业务管理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对持证残疾人需求情况进行调查，对残疾人状况进行动态监测，加强和规范残疾人基层组织建设，加大残疾人就业保障金的征收力度，加强残疾人工作信息化建设和基础研究</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提高残疾人证办证率；增强基层服务残疾人的能力；保障正常运转，促进残疾人事业发展。</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群众安全感和满意度比例</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奖励落实比例</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反映实际开展培训数量占年培训计划的比率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4、工会事务管理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研究指导工会自身建设；承担区政府及全国总工会交办的其他事项。</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负责工会干部管理制度和培训规划制定以及培训工作；承担区政府及全国总工会交办的其他事项。</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综合事务保障率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职工定期活动率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对困难职工关注率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5、计划生育</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提供各类计划生育技术服务，建立利益导向机制，开展出生人口性别比治理以及流动人口计划生育管理等各项工作。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改善计划怀孕夫妇健康状况，有效降低出生缺陷发生风险；为各类育龄人群提供安全、有效避孕节育技术服务；健全完善流动人口管理机制。增强群众自觉实行计划生育的积极性，稳定适度的低生育水平，提高计划生育家庭发展能力，增强计划生育家庭的凝聚力及成员幸福感。增进广大育龄群众和计生家庭福祉，提高群众自觉实行计划生育的积极性。</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流动人口计划生育服务管理信息反馈率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免费计划生育基本服务项目覆盖率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免费孕前优生健康检查目标人群覆盖率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计划生育家庭特别扶助政策落实率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农村部分计划生育家庭奖励扶助政策落实率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失独家庭“亲情关爱”行动帮扶覆盖面</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计划生育基层群众自治村（居）覆盖率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6、社会保障事务</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切实解决“4050”人员、“零就业家庭”成员、低保人员、残疾人员等八类就业困难人员就业、保障困难人员基本生活、树立困难人员再就业的信心。鼓励用人单位吸纳就业困难人员就业、支持就业困难人员自谋职业、自主创业和灵活就业。</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实现公共利益和安置就业困难人员为主要目的，为就业困难人员提供社会公共管理类岗位、城市社区公益性岗位、机关事业单位工勤保障和公共服务岗位以及其他岗位</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按时按质完成申报率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发放准确率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及时增减人员</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按时完成</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延迟5天以内</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延迟10天以内</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延迟10天以上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年检完成率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政策宣传次数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保险上缴完成率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生存认证完成率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7、宣传事务</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以加快文明城市创建为目标，构建和谐街道，深入开展文明城市创建活动，进一步深化省级文明单位申报工作。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围绕文明城市创建这条主线，创建文明单位、文明社区，全面提高文明素质、文明程度，加快建设创新驱动的社会发展环境。</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验收合格率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征订完成率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投稿数量、刊发数量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8、社区建设</w:t>
            </w:r>
          </w:p>
        </w:tc>
        <w:tc>
          <w:tcPr>
            <w:tcW w:w="12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157.78</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加强和完善社区治理事关基层和谐稳定，进一步健全城乡社区治理体系，推进治理能力现代化</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确保社区建设工作全面提高，营造社区氛围、增强居民满意度</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验收合格率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年度文化艺术节演出活动次数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各项工作顺利上报完成率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9、环保工作</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做好辖区内散乱污、饭店油烟、VOC企业、汽修企业、工地扬尘治理管控工作。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确保重污染天气应急响应到位。</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巡查落实到位率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安装完成率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巡查落实到率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10、综治工作</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搞好本辖区内的矛盾纠纷排查、化解、维护社会稳定和社会治安管理工作；搞好本辖域内的平安创建工作；配合相关部门搞好本辖域内的反邪教、禁毒等工作，预防法轮功等邪教组织的反弹及蔓延;彻底清除传销及非法集资组织完成街道办党委、街道交办的其他各项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定期排查和调处各种矛盾纠纷，加强平安创建强化打击防控，提高防范能力。狠抓源头，消除不稳定因素，确保铁路安全畅通，彻底清除传销及非法集资组织，预防法轮功等邪教组织的反弹及蔓延，推进平安建设迈上新台阶。</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责任书签约率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辖区排查率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辖区排查率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11、食药监工作</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食品药品监管</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贯彻食品安全和药品各项法律法规</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辖区排查率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备案率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组织开展食品药品安全宣传培训次数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投诉、举报解决处理完成率。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12、民政工作</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为本辖区的困难群众办理城镇居民最低生活保障金、医疗救助、临时救助等审批及防灾减灾排查工作；做好优抚双拥工作；为辖区年满80周岁老人办理高龄补贴；完成街道办党委、街道交办的其他各项工作。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在规定时间内对各社区上报的申报材料审批上报民政局，确保困难群众能应保尽保，最大程度解决生活困难，按要求落实各项政策，让困难居民享受救助；排查隐患，保群众安全；宣传教育广泛深入，确保拥军优属工作扎实有效</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按政策要求达到参保率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准确率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应享受范围覆盖率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13、妇联工作</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在街道党委和上级妇联的领导下，加强政治引领和思想引导。履行组织、宣传、教育妇女职能</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按时保质保量完成市、区妇联安排部署的各项工作，同时做好妇女维权、困难群体的帮扶、妇女群众信访及街办处的各项中心工作。</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开展次数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群众满意程度</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非常满意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满意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基本满意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不满意</w:t>
            </w:r>
          </w:p>
        </w:tc>
      </w:tr>
    </w:tbl>
    <w:p>
      <w:pPr>
        <w:spacing w:line="584" w:lineRule="exact"/>
        <w:jc w:val="center"/>
        <w:outlineLvl w:val="0"/>
        <w:rPr>
          <w:rFonts w:ascii="Times New Roman" w:hAnsi="Times New Roman" w:eastAsia="仿宋_GB2312" w:cs="Times New Roman"/>
          <w:b/>
          <w:sz w:val="32"/>
        </w:rPr>
      </w:pPr>
    </w:p>
    <w:p>
      <w:pPr>
        <w:sectPr>
          <w:footerReference r:id="rId4" w:type="first"/>
          <w:footerReference r:id="rId3" w:type="default"/>
          <w:pgSz w:w="16839" w:h="11907" w:orient="landscape"/>
          <w:pgMar w:top="1020" w:right="1361" w:bottom="1020" w:left="1361" w:header="851" w:footer="992" w:gutter="0"/>
          <w:cols w:space="425" w:num="1"/>
          <w:titlePg/>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2" w:name="_Toc471398468"/>
      <w:r>
        <w:rPr>
          <w:rFonts w:ascii="Times New Roman" w:hAnsi="Times New Roman" w:eastAsia="仿宋_GB2312" w:cs="Times New Roman"/>
          <w:sz w:val="32"/>
          <w:szCs w:val="24"/>
        </w:rPr>
        <w:t>201</w:t>
      </w:r>
      <w:r>
        <w:rPr>
          <w:rFonts w:hint="eastAsia" w:ascii="Times New Roman" w:hAnsi="Times New Roman" w:eastAsia="仿宋_GB2312" w:cs="Times New Roman"/>
          <w:sz w:val="32"/>
          <w:szCs w:val="24"/>
        </w:rPr>
        <w:t>9</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10</w:t>
      </w:r>
      <w:r>
        <w:rPr>
          <w:rFonts w:ascii="Times New Roman" w:hAnsi="Times New Roman" w:eastAsia="仿宋_GB2312" w:cs="Times New Roman"/>
          <w:sz w:val="32"/>
          <w:szCs w:val="24"/>
        </w:rPr>
        <w:t>万元。具体内容见下表。</w:t>
      </w:r>
    </w:p>
    <w:bookmarkEnd w:id="2"/>
    <w:p>
      <w:pPr>
        <w:spacing w:line="584" w:lineRule="exact"/>
        <w:jc w:val="center"/>
        <w:outlineLvl w:val="0"/>
        <w:rPr>
          <w:rFonts w:ascii="Times New Roman" w:hAnsi="Times New Roman" w:eastAsia="仿宋_GB2312" w:cs="Times New Roman"/>
          <w:sz w:val="32"/>
        </w:rPr>
      </w:pPr>
      <w:bookmarkStart w:id="3" w:name="_Toc504489153"/>
      <w:r>
        <w:rPr>
          <w:rFonts w:ascii="Times New Roman" w:hAnsi="Times New Roman" w:eastAsia="仿宋_GB2312" w:cs="Times New Roman"/>
          <w:sz w:val="32"/>
        </w:rPr>
        <w:t>部门政府采购预算</w:t>
      </w:r>
      <w:bookmarkEnd w:id="3"/>
    </w:p>
    <w:tbl>
      <w:tblPr>
        <w:tblStyle w:val="8"/>
        <w:tblW w:w="1456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6"/>
        <w:gridCol w:w="1057"/>
        <w:gridCol w:w="932"/>
        <w:gridCol w:w="1372"/>
        <w:gridCol w:w="720"/>
        <w:gridCol w:w="740"/>
        <w:gridCol w:w="950"/>
        <w:gridCol w:w="956"/>
        <w:gridCol w:w="956"/>
        <w:gridCol w:w="956"/>
        <w:gridCol w:w="790"/>
        <w:gridCol w:w="924"/>
        <w:gridCol w:w="929"/>
        <w:gridCol w:w="8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177" w:type="dxa"/>
            <w:gridSpan w:val="7"/>
            <w:tcBorders>
              <w:top w:val="single" w:color="FFFFFF" w:sz="6" w:space="0"/>
              <w:left w:val="single" w:color="FFFFFF" w:sz="6" w:space="0"/>
              <w:right w:val="single" w:color="FFFFFF" w:sz="6" w:space="0"/>
            </w:tcBorders>
            <w:shd w:val="clear" w:color="auto" w:fill="auto"/>
            <w:vAlign w:val="center"/>
          </w:tcPr>
          <w:p>
            <w:pPr>
              <w:spacing w:line="584" w:lineRule="exact"/>
              <w:jc w:val="left"/>
              <w:rPr>
                <w:rFonts w:ascii="Times New Roman" w:hAnsi="Times New Roman" w:eastAsia="仿宋_GB2312" w:cs="Times New Roman"/>
                <w:sz w:val="24"/>
              </w:rPr>
            </w:pPr>
            <w:r>
              <w:rPr>
                <w:rFonts w:hint="eastAsia" w:ascii="Times New Roman" w:hAnsi="Times New Roman" w:eastAsia="仿宋_GB2312" w:cs="Times New Roman"/>
                <w:sz w:val="24"/>
              </w:rPr>
              <w:t>919廊坊市广阳区解放道街道办事处</w:t>
            </w:r>
          </w:p>
        </w:tc>
        <w:tc>
          <w:tcPr>
            <w:tcW w:w="6391" w:type="dxa"/>
            <w:gridSpan w:val="7"/>
            <w:tcBorders>
              <w:top w:val="single" w:color="FFFFFF" w:sz="6" w:space="0"/>
              <w:left w:val="single" w:color="FFFFFF" w:sz="6" w:space="0"/>
              <w:right w:val="single" w:color="FFFFFF" w:sz="6" w:space="0"/>
            </w:tcBorders>
            <w:shd w:val="clear" w:color="auto" w:fill="auto"/>
            <w:vAlign w:val="center"/>
          </w:tcPr>
          <w:p>
            <w:pPr>
              <w:spacing w:line="584" w:lineRule="exact"/>
              <w:jc w:val="right"/>
              <w:rPr>
                <w:rFonts w:ascii="Times New Roman" w:hAnsi="Times New Roman" w:eastAsia="仿宋_GB2312" w:cs="Times New Roman"/>
                <w:sz w:val="24"/>
              </w:rPr>
            </w:pPr>
            <w:r>
              <w:rPr>
                <w:rFonts w:ascii="Times New Roman" w:hAnsi="Times New Roman" w:eastAsia="仿宋_GB2312"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463" w:type="dxa"/>
            <w:gridSpan w:val="2"/>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政府采购项目来源</w:t>
            </w:r>
          </w:p>
        </w:tc>
        <w:tc>
          <w:tcPr>
            <w:tcW w:w="932"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采购物品名称</w:t>
            </w:r>
          </w:p>
        </w:tc>
        <w:tc>
          <w:tcPr>
            <w:tcW w:w="1372"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政府采购目录序号</w:t>
            </w:r>
          </w:p>
        </w:tc>
        <w:tc>
          <w:tcPr>
            <w:tcW w:w="720"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数量单位</w:t>
            </w:r>
          </w:p>
        </w:tc>
        <w:tc>
          <w:tcPr>
            <w:tcW w:w="740"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w:t>
            </w:r>
          </w:p>
        </w:tc>
        <w:tc>
          <w:tcPr>
            <w:tcW w:w="950"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单价</w:t>
            </w:r>
          </w:p>
        </w:tc>
        <w:tc>
          <w:tcPr>
            <w:tcW w:w="6391" w:type="dxa"/>
            <w:gridSpan w:val="7"/>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406"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项目名称</w:t>
            </w:r>
          </w:p>
        </w:tc>
        <w:tc>
          <w:tcPr>
            <w:tcW w:w="1057"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预算资金</w:t>
            </w:r>
          </w:p>
        </w:tc>
        <w:tc>
          <w:tcPr>
            <w:tcW w:w="932"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1372"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720"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740"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950"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956"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总计</w:t>
            </w:r>
          </w:p>
        </w:tc>
        <w:tc>
          <w:tcPr>
            <w:tcW w:w="4555" w:type="dxa"/>
            <w:gridSpan w:val="5"/>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当年部门预算安排资金</w:t>
            </w:r>
          </w:p>
        </w:tc>
        <w:tc>
          <w:tcPr>
            <w:tcW w:w="880" w:type="dxa"/>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2406"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1057"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932"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1372"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720"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740"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950"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956"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956"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合计</w:t>
            </w:r>
          </w:p>
        </w:tc>
        <w:tc>
          <w:tcPr>
            <w:tcW w:w="956"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一般公共预算拨款</w:t>
            </w:r>
          </w:p>
        </w:tc>
        <w:tc>
          <w:tcPr>
            <w:tcW w:w="790"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基金预算拨款</w:t>
            </w:r>
          </w:p>
        </w:tc>
        <w:tc>
          <w:tcPr>
            <w:tcW w:w="924"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财政专户核拨</w:t>
            </w:r>
          </w:p>
        </w:tc>
        <w:tc>
          <w:tcPr>
            <w:tcW w:w="929"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其他来源收入</w:t>
            </w:r>
          </w:p>
        </w:tc>
        <w:tc>
          <w:tcPr>
            <w:tcW w:w="880" w:type="dxa"/>
            <w:vMerge w:val="continue"/>
            <w:shd w:val="clear" w:color="auto" w:fill="auto"/>
            <w:vAlign w:val="center"/>
          </w:tcPr>
          <w:p>
            <w:pPr>
              <w:spacing w:line="584" w:lineRule="exact"/>
              <w:jc w:val="left"/>
              <w:outlineLvl w:val="0"/>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6" w:type="dxa"/>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　计</w:t>
            </w:r>
          </w:p>
        </w:tc>
        <w:tc>
          <w:tcPr>
            <w:tcW w:w="1057" w:type="dxa"/>
            <w:shd w:val="clear" w:color="auto" w:fill="auto"/>
            <w:vAlign w:val="center"/>
          </w:tcPr>
          <w:p>
            <w:pPr>
              <w:spacing w:line="584" w:lineRule="exact"/>
              <w:jc w:val="right"/>
              <w:rPr>
                <w:rFonts w:ascii="Times New Roman" w:hAnsi="Times New Roman" w:eastAsia="仿宋_GB2312" w:cs="Times New Roman"/>
                <w:b/>
              </w:rPr>
            </w:pPr>
            <w:r>
              <w:rPr>
                <w:rFonts w:hint="eastAsia" w:ascii="Times New Roman" w:hAnsi="Times New Roman" w:eastAsia="仿宋_GB2312" w:cs="Times New Roman"/>
                <w:b/>
              </w:rPr>
              <w:t>10</w:t>
            </w:r>
          </w:p>
        </w:tc>
        <w:tc>
          <w:tcPr>
            <w:tcW w:w="932" w:type="dxa"/>
            <w:shd w:val="clear" w:color="auto" w:fill="auto"/>
            <w:vAlign w:val="center"/>
          </w:tcPr>
          <w:p>
            <w:pPr>
              <w:spacing w:line="584" w:lineRule="exact"/>
              <w:jc w:val="left"/>
              <w:rPr>
                <w:rFonts w:ascii="Times New Roman" w:hAnsi="Times New Roman" w:eastAsia="仿宋_GB2312" w:cs="Times New Roman"/>
                <w:b/>
              </w:rPr>
            </w:pPr>
          </w:p>
        </w:tc>
        <w:tc>
          <w:tcPr>
            <w:tcW w:w="1372" w:type="dxa"/>
            <w:shd w:val="clear" w:color="auto" w:fill="auto"/>
            <w:vAlign w:val="center"/>
          </w:tcPr>
          <w:p>
            <w:pPr>
              <w:spacing w:line="584" w:lineRule="exact"/>
              <w:jc w:val="left"/>
              <w:rPr>
                <w:rFonts w:ascii="Times New Roman" w:hAnsi="Times New Roman" w:eastAsia="仿宋_GB2312" w:cs="Times New Roman"/>
                <w:b/>
              </w:rPr>
            </w:pPr>
          </w:p>
        </w:tc>
        <w:tc>
          <w:tcPr>
            <w:tcW w:w="720" w:type="dxa"/>
            <w:shd w:val="clear" w:color="auto" w:fill="auto"/>
            <w:vAlign w:val="center"/>
          </w:tcPr>
          <w:p>
            <w:pPr>
              <w:spacing w:line="584" w:lineRule="exact"/>
              <w:jc w:val="left"/>
              <w:rPr>
                <w:rFonts w:ascii="Times New Roman" w:hAnsi="Times New Roman" w:eastAsia="仿宋_GB2312" w:cs="Times New Roman"/>
                <w:b/>
              </w:rPr>
            </w:pPr>
          </w:p>
        </w:tc>
        <w:tc>
          <w:tcPr>
            <w:tcW w:w="740" w:type="dxa"/>
            <w:shd w:val="clear" w:color="auto" w:fill="auto"/>
            <w:vAlign w:val="center"/>
          </w:tcPr>
          <w:p>
            <w:pPr>
              <w:spacing w:line="584" w:lineRule="exact"/>
              <w:jc w:val="right"/>
              <w:rPr>
                <w:rFonts w:ascii="Times New Roman" w:hAnsi="Times New Roman" w:eastAsia="仿宋_GB2312" w:cs="Times New Roman"/>
                <w:b/>
              </w:rPr>
            </w:pPr>
          </w:p>
        </w:tc>
        <w:tc>
          <w:tcPr>
            <w:tcW w:w="950" w:type="dxa"/>
            <w:shd w:val="clear" w:color="auto" w:fill="auto"/>
            <w:vAlign w:val="center"/>
          </w:tcPr>
          <w:p>
            <w:pPr>
              <w:spacing w:line="584" w:lineRule="exact"/>
              <w:jc w:val="right"/>
              <w:rPr>
                <w:rFonts w:ascii="Times New Roman" w:hAnsi="Times New Roman" w:eastAsia="仿宋_GB2312" w:cs="Times New Roman"/>
                <w:b/>
              </w:rPr>
            </w:pPr>
          </w:p>
        </w:tc>
        <w:tc>
          <w:tcPr>
            <w:tcW w:w="956" w:type="dxa"/>
            <w:shd w:val="clear" w:color="auto" w:fill="auto"/>
            <w:vAlign w:val="center"/>
          </w:tcPr>
          <w:p>
            <w:pPr>
              <w:spacing w:line="584" w:lineRule="exact"/>
              <w:jc w:val="right"/>
              <w:rPr>
                <w:rFonts w:ascii="Times New Roman" w:hAnsi="Times New Roman" w:eastAsia="仿宋_GB2312" w:cs="Times New Roman"/>
                <w:b/>
              </w:rPr>
            </w:pPr>
            <w:r>
              <w:rPr>
                <w:rFonts w:hint="eastAsia" w:ascii="Times New Roman" w:hAnsi="Times New Roman" w:eastAsia="仿宋_GB2312" w:cs="Times New Roman"/>
                <w:b/>
              </w:rPr>
              <w:t>10</w:t>
            </w:r>
          </w:p>
        </w:tc>
        <w:tc>
          <w:tcPr>
            <w:tcW w:w="956" w:type="dxa"/>
            <w:shd w:val="clear" w:color="auto" w:fill="auto"/>
            <w:vAlign w:val="center"/>
          </w:tcPr>
          <w:p>
            <w:pPr>
              <w:spacing w:line="584" w:lineRule="exact"/>
              <w:jc w:val="right"/>
              <w:rPr>
                <w:rFonts w:ascii="Times New Roman" w:hAnsi="Times New Roman" w:eastAsia="仿宋_GB2312" w:cs="Times New Roman"/>
                <w:b/>
              </w:rPr>
            </w:pPr>
            <w:r>
              <w:rPr>
                <w:rFonts w:hint="eastAsia" w:ascii="Times New Roman" w:hAnsi="Times New Roman" w:eastAsia="仿宋_GB2312" w:cs="Times New Roman"/>
                <w:b/>
              </w:rPr>
              <w:t>10</w:t>
            </w:r>
          </w:p>
        </w:tc>
        <w:tc>
          <w:tcPr>
            <w:tcW w:w="956" w:type="dxa"/>
            <w:shd w:val="clear" w:color="auto" w:fill="auto"/>
            <w:vAlign w:val="center"/>
          </w:tcPr>
          <w:p>
            <w:pPr>
              <w:spacing w:line="584" w:lineRule="exact"/>
              <w:jc w:val="right"/>
              <w:rPr>
                <w:rFonts w:ascii="Times New Roman" w:hAnsi="Times New Roman" w:eastAsia="仿宋_GB2312" w:cs="Times New Roman"/>
                <w:b/>
              </w:rPr>
            </w:pPr>
            <w:r>
              <w:rPr>
                <w:rFonts w:hint="eastAsia" w:ascii="Times New Roman" w:hAnsi="Times New Roman" w:eastAsia="仿宋_GB2312" w:cs="Times New Roman"/>
                <w:b/>
              </w:rPr>
              <w:t>10</w:t>
            </w:r>
          </w:p>
        </w:tc>
        <w:tc>
          <w:tcPr>
            <w:tcW w:w="790" w:type="dxa"/>
            <w:shd w:val="clear" w:color="auto" w:fill="auto"/>
            <w:vAlign w:val="center"/>
          </w:tcPr>
          <w:p>
            <w:pPr>
              <w:spacing w:line="584" w:lineRule="exact"/>
              <w:jc w:val="right"/>
              <w:rPr>
                <w:rFonts w:ascii="Times New Roman" w:hAnsi="Times New Roman" w:eastAsia="仿宋_GB2312" w:cs="Times New Roman"/>
                <w:b/>
              </w:rPr>
            </w:pPr>
          </w:p>
        </w:tc>
        <w:tc>
          <w:tcPr>
            <w:tcW w:w="924" w:type="dxa"/>
            <w:shd w:val="clear" w:color="auto" w:fill="auto"/>
            <w:vAlign w:val="center"/>
          </w:tcPr>
          <w:p>
            <w:pPr>
              <w:spacing w:line="584" w:lineRule="exact"/>
              <w:jc w:val="right"/>
              <w:rPr>
                <w:rFonts w:ascii="Times New Roman" w:hAnsi="Times New Roman" w:eastAsia="仿宋_GB2312" w:cs="Times New Roman"/>
                <w:b/>
              </w:rPr>
            </w:pPr>
          </w:p>
        </w:tc>
        <w:tc>
          <w:tcPr>
            <w:tcW w:w="929" w:type="dxa"/>
            <w:shd w:val="clear" w:color="auto" w:fill="auto"/>
            <w:vAlign w:val="center"/>
          </w:tcPr>
          <w:p>
            <w:pPr>
              <w:spacing w:line="584" w:lineRule="exact"/>
              <w:jc w:val="right"/>
              <w:rPr>
                <w:rFonts w:ascii="Times New Roman" w:hAnsi="Times New Roman" w:eastAsia="仿宋_GB2312" w:cs="Times New Roman"/>
                <w:b/>
              </w:rPr>
            </w:pPr>
          </w:p>
        </w:tc>
        <w:tc>
          <w:tcPr>
            <w:tcW w:w="880" w:type="dxa"/>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6" w:type="dxa"/>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办公经费</w:t>
            </w:r>
          </w:p>
        </w:tc>
        <w:tc>
          <w:tcPr>
            <w:tcW w:w="1057" w:type="dxa"/>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4</w:t>
            </w:r>
          </w:p>
        </w:tc>
        <w:tc>
          <w:tcPr>
            <w:tcW w:w="932" w:type="dxa"/>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计算机</w:t>
            </w:r>
          </w:p>
        </w:tc>
        <w:tc>
          <w:tcPr>
            <w:tcW w:w="1372" w:type="dxa"/>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A020101</w:t>
            </w:r>
          </w:p>
        </w:tc>
        <w:tc>
          <w:tcPr>
            <w:tcW w:w="720" w:type="dxa"/>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台</w:t>
            </w:r>
          </w:p>
        </w:tc>
        <w:tc>
          <w:tcPr>
            <w:tcW w:w="740" w:type="dxa"/>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10</w:t>
            </w:r>
          </w:p>
        </w:tc>
        <w:tc>
          <w:tcPr>
            <w:tcW w:w="950" w:type="dxa"/>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0.4</w:t>
            </w:r>
          </w:p>
        </w:tc>
        <w:tc>
          <w:tcPr>
            <w:tcW w:w="956" w:type="dxa"/>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4</w:t>
            </w:r>
          </w:p>
        </w:tc>
        <w:tc>
          <w:tcPr>
            <w:tcW w:w="956" w:type="dxa"/>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4</w:t>
            </w:r>
          </w:p>
        </w:tc>
        <w:tc>
          <w:tcPr>
            <w:tcW w:w="956" w:type="dxa"/>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4</w:t>
            </w:r>
          </w:p>
        </w:tc>
        <w:tc>
          <w:tcPr>
            <w:tcW w:w="790" w:type="dxa"/>
            <w:shd w:val="clear" w:color="auto" w:fill="auto"/>
            <w:vAlign w:val="center"/>
          </w:tcPr>
          <w:p>
            <w:pPr>
              <w:spacing w:line="584" w:lineRule="exact"/>
              <w:jc w:val="center"/>
              <w:rPr>
                <w:rFonts w:ascii="仿宋_GB2312" w:hAnsi="Times New Roman" w:eastAsia="仿宋_GB2312" w:cs="Times New Roman"/>
                <w:szCs w:val="21"/>
              </w:rPr>
            </w:pPr>
          </w:p>
        </w:tc>
        <w:tc>
          <w:tcPr>
            <w:tcW w:w="924" w:type="dxa"/>
            <w:shd w:val="clear" w:color="auto" w:fill="auto"/>
            <w:vAlign w:val="center"/>
          </w:tcPr>
          <w:p>
            <w:pPr>
              <w:spacing w:line="584" w:lineRule="exact"/>
              <w:jc w:val="center"/>
              <w:rPr>
                <w:rFonts w:ascii="仿宋_GB2312" w:hAnsi="Times New Roman" w:eastAsia="仿宋_GB2312" w:cs="Times New Roman"/>
                <w:szCs w:val="21"/>
              </w:rPr>
            </w:pPr>
          </w:p>
        </w:tc>
        <w:tc>
          <w:tcPr>
            <w:tcW w:w="929" w:type="dxa"/>
            <w:shd w:val="clear" w:color="auto" w:fill="auto"/>
            <w:vAlign w:val="center"/>
          </w:tcPr>
          <w:p>
            <w:pPr>
              <w:spacing w:line="584" w:lineRule="exact"/>
              <w:jc w:val="center"/>
              <w:rPr>
                <w:rFonts w:ascii="仿宋_GB2312" w:hAnsi="Times New Roman" w:eastAsia="仿宋_GB2312" w:cs="Times New Roman"/>
                <w:szCs w:val="21"/>
              </w:rPr>
            </w:pPr>
          </w:p>
        </w:tc>
        <w:tc>
          <w:tcPr>
            <w:tcW w:w="880" w:type="dxa"/>
            <w:shd w:val="clear" w:color="auto" w:fill="auto"/>
            <w:vAlign w:val="center"/>
          </w:tcPr>
          <w:p>
            <w:pPr>
              <w:spacing w:line="584" w:lineRule="exact"/>
              <w:jc w:val="center"/>
              <w:rPr>
                <w:rFonts w:ascii="仿宋_GB2312" w:hAnsi="Times New Roman"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6" w:type="dxa"/>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办公经费</w:t>
            </w:r>
          </w:p>
        </w:tc>
        <w:tc>
          <w:tcPr>
            <w:tcW w:w="1057" w:type="dxa"/>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3</w:t>
            </w:r>
          </w:p>
        </w:tc>
        <w:tc>
          <w:tcPr>
            <w:tcW w:w="932" w:type="dxa"/>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空调</w:t>
            </w:r>
          </w:p>
        </w:tc>
        <w:tc>
          <w:tcPr>
            <w:tcW w:w="1372" w:type="dxa"/>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A020523</w:t>
            </w:r>
          </w:p>
        </w:tc>
        <w:tc>
          <w:tcPr>
            <w:tcW w:w="720" w:type="dxa"/>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台</w:t>
            </w:r>
          </w:p>
        </w:tc>
        <w:tc>
          <w:tcPr>
            <w:tcW w:w="740" w:type="dxa"/>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10</w:t>
            </w:r>
          </w:p>
        </w:tc>
        <w:tc>
          <w:tcPr>
            <w:tcW w:w="950" w:type="dxa"/>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0.3</w:t>
            </w:r>
          </w:p>
        </w:tc>
        <w:tc>
          <w:tcPr>
            <w:tcW w:w="956" w:type="dxa"/>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3</w:t>
            </w:r>
          </w:p>
        </w:tc>
        <w:tc>
          <w:tcPr>
            <w:tcW w:w="956" w:type="dxa"/>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3</w:t>
            </w:r>
          </w:p>
        </w:tc>
        <w:tc>
          <w:tcPr>
            <w:tcW w:w="956" w:type="dxa"/>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3</w:t>
            </w:r>
          </w:p>
        </w:tc>
        <w:tc>
          <w:tcPr>
            <w:tcW w:w="790" w:type="dxa"/>
            <w:shd w:val="clear" w:color="auto" w:fill="auto"/>
            <w:vAlign w:val="center"/>
          </w:tcPr>
          <w:p>
            <w:pPr>
              <w:spacing w:line="584" w:lineRule="exact"/>
              <w:jc w:val="center"/>
              <w:rPr>
                <w:rFonts w:ascii="仿宋_GB2312" w:hAnsi="Times New Roman" w:eastAsia="仿宋_GB2312" w:cs="Times New Roman"/>
                <w:szCs w:val="21"/>
              </w:rPr>
            </w:pPr>
          </w:p>
        </w:tc>
        <w:tc>
          <w:tcPr>
            <w:tcW w:w="924" w:type="dxa"/>
            <w:shd w:val="clear" w:color="auto" w:fill="auto"/>
            <w:vAlign w:val="center"/>
          </w:tcPr>
          <w:p>
            <w:pPr>
              <w:spacing w:line="584" w:lineRule="exact"/>
              <w:jc w:val="center"/>
              <w:rPr>
                <w:rFonts w:ascii="仿宋_GB2312" w:hAnsi="Times New Roman" w:eastAsia="仿宋_GB2312" w:cs="Times New Roman"/>
                <w:szCs w:val="21"/>
              </w:rPr>
            </w:pPr>
          </w:p>
        </w:tc>
        <w:tc>
          <w:tcPr>
            <w:tcW w:w="929" w:type="dxa"/>
            <w:shd w:val="clear" w:color="auto" w:fill="auto"/>
            <w:vAlign w:val="center"/>
          </w:tcPr>
          <w:p>
            <w:pPr>
              <w:spacing w:line="584" w:lineRule="exact"/>
              <w:jc w:val="center"/>
              <w:rPr>
                <w:rFonts w:ascii="仿宋_GB2312" w:hAnsi="Times New Roman" w:eastAsia="仿宋_GB2312" w:cs="Times New Roman"/>
                <w:szCs w:val="21"/>
              </w:rPr>
            </w:pPr>
          </w:p>
        </w:tc>
        <w:tc>
          <w:tcPr>
            <w:tcW w:w="880" w:type="dxa"/>
            <w:shd w:val="clear" w:color="auto" w:fill="auto"/>
            <w:vAlign w:val="center"/>
          </w:tcPr>
          <w:p>
            <w:pPr>
              <w:spacing w:line="584" w:lineRule="exact"/>
              <w:jc w:val="center"/>
              <w:rPr>
                <w:rFonts w:ascii="仿宋_GB2312" w:hAnsi="Times New Roman"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2406" w:type="dxa"/>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办公经费</w:t>
            </w:r>
          </w:p>
        </w:tc>
        <w:tc>
          <w:tcPr>
            <w:tcW w:w="1057" w:type="dxa"/>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0.6</w:t>
            </w:r>
          </w:p>
        </w:tc>
        <w:tc>
          <w:tcPr>
            <w:tcW w:w="932" w:type="dxa"/>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电视</w:t>
            </w:r>
          </w:p>
        </w:tc>
        <w:tc>
          <w:tcPr>
            <w:tcW w:w="1372" w:type="dxa"/>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A02091001</w:t>
            </w:r>
          </w:p>
        </w:tc>
        <w:tc>
          <w:tcPr>
            <w:tcW w:w="720" w:type="dxa"/>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台</w:t>
            </w:r>
          </w:p>
        </w:tc>
        <w:tc>
          <w:tcPr>
            <w:tcW w:w="740" w:type="dxa"/>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2</w:t>
            </w:r>
          </w:p>
        </w:tc>
        <w:tc>
          <w:tcPr>
            <w:tcW w:w="950" w:type="dxa"/>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0.3</w:t>
            </w:r>
          </w:p>
        </w:tc>
        <w:tc>
          <w:tcPr>
            <w:tcW w:w="956" w:type="dxa"/>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0.6</w:t>
            </w:r>
          </w:p>
        </w:tc>
        <w:tc>
          <w:tcPr>
            <w:tcW w:w="956" w:type="dxa"/>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0.6</w:t>
            </w:r>
          </w:p>
        </w:tc>
        <w:tc>
          <w:tcPr>
            <w:tcW w:w="956" w:type="dxa"/>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0.6</w:t>
            </w:r>
          </w:p>
        </w:tc>
        <w:tc>
          <w:tcPr>
            <w:tcW w:w="790" w:type="dxa"/>
            <w:shd w:val="clear" w:color="auto" w:fill="auto"/>
            <w:vAlign w:val="center"/>
          </w:tcPr>
          <w:p>
            <w:pPr>
              <w:spacing w:line="584" w:lineRule="exact"/>
              <w:jc w:val="center"/>
              <w:rPr>
                <w:rFonts w:ascii="仿宋_GB2312" w:hAnsi="Times New Roman" w:eastAsia="仿宋_GB2312" w:cs="Times New Roman"/>
                <w:szCs w:val="21"/>
              </w:rPr>
            </w:pPr>
          </w:p>
        </w:tc>
        <w:tc>
          <w:tcPr>
            <w:tcW w:w="924" w:type="dxa"/>
            <w:shd w:val="clear" w:color="auto" w:fill="auto"/>
            <w:vAlign w:val="center"/>
          </w:tcPr>
          <w:p>
            <w:pPr>
              <w:spacing w:line="584" w:lineRule="exact"/>
              <w:jc w:val="center"/>
              <w:rPr>
                <w:rFonts w:ascii="仿宋_GB2312" w:hAnsi="Times New Roman" w:eastAsia="仿宋_GB2312" w:cs="Times New Roman"/>
                <w:szCs w:val="21"/>
              </w:rPr>
            </w:pPr>
          </w:p>
        </w:tc>
        <w:tc>
          <w:tcPr>
            <w:tcW w:w="929" w:type="dxa"/>
            <w:shd w:val="clear" w:color="auto" w:fill="auto"/>
            <w:vAlign w:val="center"/>
          </w:tcPr>
          <w:p>
            <w:pPr>
              <w:spacing w:line="584" w:lineRule="exact"/>
              <w:jc w:val="center"/>
              <w:rPr>
                <w:rFonts w:ascii="仿宋_GB2312" w:hAnsi="Times New Roman" w:eastAsia="仿宋_GB2312" w:cs="Times New Roman"/>
                <w:szCs w:val="21"/>
              </w:rPr>
            </w:pPr>
          </w:p>
        </w:tc>
        <w:tc>
          <w:tcPr>
            <w:tcW w:w="880" w:type="dxa"/>
            <w:shd w:val="clear" w:color="auto" w:fill="auto"/>
            <w:vAlign w:val="center"/>
          </w:tcPr>
          <w:p>
            <w:pPr>
              <w:spacing w:line="584" w:lineRule="exact"/>
              <w:jc w:val="center"/>
              <w:rPr>
                <w:rFonts w:ascii="仿宋_GB2312" w:hAnsi="Times New Roman"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6" w:type="dxa"/>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办公经费</w:t>
            </w:r>
          </w:p>
        </w:tc>
        <w:tc>
          <w:tcPr>
            <w:tcW w:w="1057" w:type="dxa"/>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1.3</w:t>
            </w:r>
          </w:p>
        </w:tc>
        <w:tc>
          <w:tcPr>
            <w:tcW w:w="932" w:type="dxa"/>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家具</w:t>
            </w:r>
          </w:p>
        </w:tc>
        <w:tc>
          <w:tcPr>
            <w:tcW w:w="1372" w:type="dxa"/>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A06</w:t>
            </w:r>
          </w:p>
        </w:tc>
        <w:tc>
          <w:tcPr>
            <w:tcW w:w="720" w:type="dxa"/>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台</w:t>
            </w:r>
          </w:p>
        </w:tc>
        <w:tc>
          <w:tcPr>
            <w:tcW w:w="740" w:type="dxa"/>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13</w:t>
            </w:r>
          </w:p>
        </w:tc>
        <w:tc>
          <w:tcPr>
            <w:tcW w:w="950" w:type="dxa"/>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0.1</w:t>
            </w:r>
          </w:p>
        </w:tc>
        <w:tc>
          <w:tcPr>
            <w:tcW w:w="956" w:type="dxa"/>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1.3</w:t>
            </w:r>
          </w:p>
        </w:tc>
        <w:tc>
          <w:tcPr>
            <w:tcW w:w="956" w:type="dxa"/>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1.3</w:t>
            </w:r>
          </w:p>
        </w:tc>
        <w:tc>
          <w:tcPr>
            <w:tcW w:w="956" w:type="dxa"/>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1.3</w:t>
            </w:r>
          </w:p>
        </w:tc>
        <w:tc>
          <w:tcPr>
            <w:tcW w:w="790" w:type="dxa"/>
            <w:shd w:val="clear" w:color="auto" w:fill="auto"/>
            <w:vAlign w:val="center"/>
          </w:tcPr>
          <w:p>
            <w:pPr>
              <w:spacing w:line="584" w:lineRule="exact"/>
              <w:jc w:val="center"/>
              <w:rPr>
                <w:rFonts w:ascii="仿宋_GB2312" w:hAnsi="Times New Roman" w:eastAsia="仿宋_GB2312" w:cs="Times New Roman"/>
                <w:szCs w:val="21"/>
              </w:rPr>
            </w:pPr>
          </w:p>
        </w:tc>
        <w:tc>
          <w:tcPr>
            <w:tcW w:w="924" w:type="dxa"/>
            <w:shd w:val="clear" w:color="auto" w:fill="auto"/>
            <w:vAlign w:val="center"/>
          </w:tcPr>
          <w:p>
            <w:pPr>
              <w:spacing w:line="584" w:lineRule="exact"/>
              <w:jc w:val="center"/>
              <w:rPr>
                <w:rFonts w:ascii="仿宋_GB2312" w:hAnsi="Times New Roman" w:eastAsia="仿宋_GB2312" w:cs="Times New Roman"/>
                <w:szCs w:val="21"/>
              </w:rPr>
            </w:pPr>
          </w:p>
        </w:tc>
        <w:tc>
          <w:tcPr>
            <w:tcW w:w="929" w:type="dxa"/>
            <w:shd w:val="clear" w:color="auto" w:fill="auto"/>
            <w:vAlign w:val="center"/>
          </w:tcPr>
          <w:p>
            <w:pPr>
              <w:spacing w:line="584" w:lineRule="exact"/>
              <w:jc w:val="center"/>
              <w:rPr>
                <w:rFonts w:ascii="仿宋_GB2312" w:hAnsi="Times New Roman" w:eastAsia="仿宋_GB2312" w:cs="Times New Roman"/>
                <w:szCs w:val="21"/>
              </w:rPr>
            </w:pPr>
          </w:p>
        </w:tc>
        <w:tc>
          <w:tcPr>
            <w:tcW w:w="880" w:type="dxa"/>
            <w:shd w:val="clear" w:color="auto" w:fill="auto"/>
            <w:vAlign w:val="center"/>
          </w:tcPr>
          <w:p>
            <w:pPr>
              <w:spacing w:line="584" w:lineRule="exact"/>
              <w:jc w:val="center"/>
              <w:rPr>
                <w:rFonts w:ascii="仿宋_GB2312" w:hAnsi="Times New Roman"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406" w:type="dxa"/>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办公经费</w:t>
            </w:r>
          </w:p>
        </w:tc>
        <w:tc>
          <w:tcPr>
            <w:tcW w:w="1057" w:type="dxa"/>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0.1</w:t>
            </w:r>
          </w:p>
        </w:tc>
        <w:tc>
          <w:tcPr>
            <w:tcW w:w="932" w:type="dxa"/>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冰箱</w:t>
            </w:r>
          </w:p>
        </w:tc>
        <w:tc>
          <w:tcPr>
            <w:tcW w:w="1372" w:type="dxa"/>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A0206180101</w:t>
            </w:r>
          </w:p>
        </w:tc>
        <w:tc>
          <w:tcPr>
            <w:tcW w:w="720" w:type="dxa"/>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台</w:t>
            </w:r>
          </w:p>
        </w:tc>
        <w:tc>
          <w:tcPr>
            <w:tcW w:w="740" w:type="dxa"/>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1</w:t>
            </w:r>
          </w:p>
        </w:tc>
        <w:tc>
          <w:tcPr>
            <w:tcW w:w="950" w:type="dxa"/>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0.1</w:t>
            </w:r>
          </w:p>
        </w:tc>
        <w:tc>
          <w:tcPr>
            <w:tcW w:w="956" w:type="dxa"/>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0.1</w:t>
            </w:r>
          </w:p>
        </w:tc>
        <w:tc>
          <w:tcPr>
            <w:tcW w:w="956" w:type="dxa"/>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0.1</w:t>
            </w:r>
          </w:p>
        </w:tc>
        <w:tc>
          <w:tcPr>
            <w:tcW w:w="956" w:type="dxa"/>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0.1</w:t>
            </w:r>
          </w:p>
        </w:tc>
        <w:tc>
          <w:tcPr>
            <w:tcW w:w="790" w:type="dxa"/>
            <w:shd w:val="clear" w:color="auto" w:fill="auto"/>
            <w:vAlign w:val="center"/>
          </w:tcPr>
          <w:p>
            <w:pPr>
              <w:spacing w:line="584" w:lineRule="exact"/>
              <w:jc w:val="center"/>
              <w:rPr>
                <w:rFonts w:ascii="仿宋_GB2312" w:hAnsi="Times New Roman" w:eastAsia="仿宋_GB2312" w:cs="Times New Roman"/>
                <w:szCs w:val="21"/>
              </w:rPr>
            </w:pPr>
          </w:p>
        </w:tc>
        <w:tc>
          <w:tcPr>
            <w:tcW w:w="924" w:type="dxa"/>
            <w:shd w:val="clear" w:color="auto" w:fill="auto"/>
            <w:vAlign w:val="center"/>
          </w:tcPr>
          <w:p>
            <w:pPr>
              <w:spacing w:line="584" w:lineRule="exact"/>
              <w:jc w:val="center"/>
              <w:rPr>
                <w:rFonts w:ascii="仿宋_GB2312" w:hAnsi="Times New Roman" w:eastAsia="仿宋_GB2312" w:cs="Times New Roman"/>
                <w:szCs w:val="21"/>
              </w:rPr>
            </w:pPr>
          </w:p>
        </w:tc>
        <w:tc>
          <w:tcPr>
            <w:tcW w:w="929" w:type="dxa"/>
            <w:shd w:val="clear" w:color="auto" w:fill="auto"/>
            <w:vAlign w:val="center"/>
          </w:tcPr>
          <w:p>
            <w:pPr>
              <w:spacing w:line="584" w:lineRule="exact"/>
              <w:jc w:val="center"/>
              <w:rPr>
                <w:rFonts w:ascii="仿宋_GB2312" w:hAnsi="Times New Roman" w:eastAsia="仿宋_GB2312" w:cs="Times New Roman"/>
                <w:szCs w:val="21"/>
              </w:rPr>
            </w:pPr>
          </w:p>
        </w:tc>
        <w:tc>
          <w:tcPr>
            <w:tcW w:w="880" w:type="dxa"/>
            <w:shd w:val="clear" w:color="auto" w:fill="auto"/>
            <w:vAlign w:val="center"/>
          </w:tcPr>
          <w:p>
            <w:pPr>
              <w:spacing w:line="584" w:lineRule="exact"/>
              <w:jc w:val="center"/>
              <w:rPr>
                <w:rFonts w:ascii="仿宋_GB2312" w:hAnsi="Times New Roman" w:eastAsia="仿宋_GB2312" w:cs="Times New Roman"/>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89" w:hRule="atLeast"/>
          <w:jc w:val="center"/>
        </w:trPr>
        <w:tc>
          <w:tcPr>
            <w:tcW w:w="2406" w:type="dxa"/>
            <w:shd w:val="clear" w:color="auto" w:fill="auto"/>
            <w:vAlign w:val="center"/>
          </w:tcPr>
          <w:p>
            <w:pPr>
              <w:spacing w:line="584" w:lineRule="exact"/>
              <w:jc w:val="left"/>
              <w:rPr>
                <w:rFonts w:ascii="仿宋_GB2312" w:hAnsi="Times New Roman" w:eastAsia="仿宋_GB2312" w:cs="Times New Roman"/>
              </w:rPr>
            </w:pPr>
            <w:r>
              <w:rPr>
                <w:rFonts w:hint="eastAsia" w:ascii="仿宋_GB2312" w:hAnsi="Times New Roman" w:eastAsia="仿宋_GB2312" w:cs="Times New Roman"/>
              </w:rPr>
              <w:t>办公经费</w:t>
            </w:r>
          </w:p>
        </w:tc>
        <w:tc>
          <w:tcPr>
            <w:tcW w:w="1057" w:type="dxa"/>
            <w:shd w:val="clear" w:color="auto" w:fill="auto"/>
            <w:vAlign w:val="center"/>
          </w:tcPr>
          <w:p>
            <w:pPr>
              <w:spacing w:line="584" w:lineRule="exact"/>
              <w:jc w:val="right"/>
              <w:rPr>
                <w:rFonts w:ascii="仿宋_GB2312" w:hAnsi="Times New Roman" w:eastAsia="仿宋_GB2312" w:cs="Times New Roman"/>
              </w:rPr>
            </w:pPr>
            <w:r>
              <w:rPr>
                <w:rFonts w:hint="eastAsia" w:ascii="仿宋_GB2312" w:hAnsi="Times New Roman" w:eastAsia="仿宋_GB2312" w:cs="Times New Roman"/>
              </w:rPr>
              <w:t>1</w:t>
            </w:r>
          </w:p>
          <w:p>
            <w:pPr>
              <w:spacing w:line="584" w:lineRule="exact"/>
              <w:jc w:val="right"/>
              <w:rPr>
                <w:rFonts w:ascii="仿宋_GB2312" w:hAnsi="Times New Roman" w:eastAsia="仿宋_GB2312" w:cs="Times New Roman"/>
              </w:rPr>
            </w:pPr>
          </w:p>
        </w:tc>
        <w:tc>
          <w:tcPr>
            <w:tcW w:w="932" w:type="dxa"/>
            <w:shd w:val="clear" w:color="auto" w:fill="auto"/>
            <w:vAlign w:val="center"/>
          </w:tcPr>
          <w:p>
            <w:pPr>
              <w:spacing w:line="584" w:lineRule="exact"/>
              <w:jc w:val="left"/>
              <w:rPr>
                <w:rFonts w:ascii="仿宋_GB2312" w:hAnsi="Times New Roman" w:eastAsia="仿宋_GB2312" w:cs="Times New Roman"/>
              </w:rPr>
            </w:pPr>
            <w:r>
              <w:rPr>
                <w:rFonts w:hint="eastAsia" w:ascii="仿宋_GB2312" w:hAnsi="Times New Roman" w:eastAsia="仿宋_GB2312" w:cs="Times New Roman"/>
              </w:rPr>
              <w:t>打印机</w:t>
            </w:r>
          </w:p>
        </w:tc>
        <w:tc>
          <w:tcPr>
            <w:tcW w:w="1372" w:type="dxa"/>
            <w:shd w:val="clear" w:color="auto" w:fill="auto"/>
            <w:vAlign w:val="center"/>
          </w:tcPr>
          <w:p>
            <w:pPr>
              <w:spacing w:line="584" w:lineRule="exact"/>
              <w:jc w:val="left"/>
              <w:rPr>
                <w:rFonts w:ascii="仿宋_GB2312" w:hAnsi="Times New Roman" w:eastAsia="仿宋_GB2312" w:cs="Times New Roman"/>
              </w:rPr>
            </w:pPr>
            <w:r>
              <w:rPr>
                <w:rFonts w:hint="eastAsia" w:ascii="仿宋_GB2312" w:hAnsi="Times New Roman" w:eastAsia="仿宋_GB2312" w:cs="Times New Roman"/>
              </w:rPr>
              <w:t>A02010601</w:t>
            </w:r>
          </w:p>
          <w:p>
            <w:pPr>
              <w:spacing w:line="584" w:lineRule="exact"/>
              <w:jc w:val="left"/>
              <w:rPr>
                <w:rFonts w:ascii="仿宋_GB2312" w:hAnsi="Times New Roman" w:eastAsia="仿宋_GB2312" w:cs="Times New Roman"/>
              </w:rPr>
            </w:pPr>
          </w:p>
        </w:tc>
        <w:tc>
          <w:tcPr>
            <w:tcW w:w="720" w:type="dxa"/>
            <w:shd w:val="clear" w:color="auto" w:fill="auto"/>
            <w:vAlign w:val="center"/>
          </w:tcPr>
          <w:p>
            <w:pPr>
              <w:spacing w:line="584" w:lineRule="exact"/>
              <w:jc w:val="left"/>
              <w:rPr>
                <w:rFonts w:ascii="仿宋_GB2312" w:hAnsi="Times New Roman" w:eastAsia="仿宋_GB2312" w:cs="Times New Roman"/>
              </w:rPr>
            </w:pPr>
            <w:r>
              <w:rPr>
                <w:rFonts w:hint="eastAsia" w:ascii="仿宋_GB2312" w:hAnsi="Times New Roman" w:eastAsia="仿宋_GB2312" w:cs="Times New Roman"/>
              </w:rPr>
              <w:t>台</w:t>
            </w:r>
          </w:p>
        </w:tc>
        <w:tc>
          <w:tcPr>
            <w:tcW w:w="740" w:type="dxa"/>
            <w:shd w:val="clear" w:color="auto" w:fill="auto"/>
            <w:vAlign w:val="center"/>
          </w:tcPr>
          <w:p>
            <w:pPr>
              <w:spacing w:line="584" w:lineRule="exact"/>
              <w:jc w:val="right"/>
              <w:rPr>
                <w:rFonts w:ascii="仿宋_GB2312" w:hAnsi="Times New Roman" w:eastAsia="仿宋_GB2312" w:cs="Times New Roman"/>
              </w:rPr>
            </w:pPr>
            <w:r>
              <w:rPr>
                <w:rFonts w:hint="eastAsia" w:ascii="仿宋_GB2312" w:hAnsi="Times New Roman" w:eastAsia="仿宋_GB2312" w:cs="Times New Roman"/>
              </w:rPr>
              <w:t>5</w:t>
            </w:r>
          </w:p>
        </w:tc>
        <w:tc>
          <w:tcPr>
            <w:tcW w:w="950" w:type="dxa"/>
            <w:shd w:val="clear" w:color="auto" w:fill="auto"/>
            <w:vAlign w:val="center"/>
          </w:tcPr>
          <w:p>
            <w:pPr>
              <w:spacing w:line="584" w:lineRule="exact"/>
              <w:jc w:val="right"/>
              <w:rPr>
                <w:rFonts w:ascii="仿宋_GB2312" w:hAnsi="Times New Roman" w:eastAsia="仿宋_GB2312" w:cs="Times New Roman"/>
              </w:rPr>
            </w:pPr>
            <w:r>
              <w:rPr>
                <w:rFonts w:hint="eastAsia" w:ascii="仿宋_GB2312" w:hAnsi="Times New Roman" w:eastAsia="仿宋_GB2312" w:cs="Times New Roman"/>
              </w:rPr>
              <w:t>0.2</w:t>
            </w:r>
          </w:p>
        </w:tc>
        <w:tc>
          <w:tcPr>
            <w:tcW w:w="956" w:type="dxa"/>
            <w:shd w:val="clear" w:color="auto" w:fill="auto"/>
            <w:vAlign w:val="center"/>
          </w:tcPr>
          <w:p>
            <w:pPr>
              <w:spacing w:line="584" w:lineRule="exact"/>
              <w:jc w:val="right"/>
              <w:rPr>
                <w:rFonts w:ascii="仿宋_GB2312" w:hAnsi="Times New Roman" w:eastAsia="仿宋_GB2312" w:cs="Times New Roman"/>
              </w:rPr>
            </w:pPr>
            <w:r>
              <w:rPr>
                <w:rFonts w:hint="eastAsia" w:ascii="仿宋_GB2312" w:hAnsi="Times New Roman" w:eastAsia="仿宋_GB2312" w:cs="Times New Roman"/>
              </w:rPr>
              <w:t>1</w:t>
            </w:r>
          </w:p>
        </w:tc>
        <w:tc>
          <w:tcPr>
            <w:tcW w:w="956" w:type="dxa"/>
            <w:shd w:val="clear" w:color="auto" w:fill="auto"/>
            <w:vAlign w:val="center"/>
          </w:tcPr>
          <w:p>
            <w:pPr>
              <w:spacing w:line="584" w:lineRule="exact"/>
              <w:jc w:val="right"/>
              <w:rPr>
                <w:rFonts w:ascii="仿宋_GB2312" w:hAnsi="Times New Roman" w:eastAsia="仿宋_GB2312" w:cs="Times New Roman"/>
              </w:rPr>
            </w:pPr>
            <w:r>
              <w:rPr>
                <w:rFonts w:hint="eastAsia" w:ascii="仿宋_GB2312" w:hAnsi="Times New Roman" w:eastAsia="仿宋_GB2312" w:cs="Times New Roman"/>
              </w:rPr>
              <w:t>1</w:t>
            </w:r>
          </w:p>
        </w:tc>
        <w:tc>
          <w:tcPr>
            <w:tcW w:w="956" w:type="dxa"/>
            <w:shd w:val="clear" w:color="auto" w:fill="auto"/>
            <w:vAlign w:val="center"/>
          </w:tcPr>
          <w:p>
            <w:pPr>
              <w:spacing w:line="584" w:lineRule="exact"/>
              <w:jc w:val="right"/>
              <w:rPr>
                <w:rFonts w:ascii="仿宋_GB2312" w:hAnsi="Times New Roman" w:eastAsia="仿宋_GB2312" w:cs="Times New Roman"/>
              </w:rPr>
            </w:pPr>
            <w:r>
              <w:rPr>
                <w:rFonts w:hint="eastAsia" w:ascii="仿宋_GB2312" w:hAnsi="Times New Roman" w:eastAsia="仿宋_GB2312" w:cs="Times New Roman"/>
              </w:rPr>
              <w:t>1</w:t>
            </w:r>
          </w:p>
        </w:tc>
        <w:tc>
          <w:tcPr>
            <w:tcW w:w="790" w:type="dxa"/>
            <w:shd w:val="clear" w:color="auto" w:fill="auto"/>
            <w:vAlign w:val="center"/>
          </w:tcPr>
          <w:p>
            <w:pPr>
              <w:spacing w:line="584" w:lineRule="exact"/>
              <w:jc w:val="right"/>
              <w:rPr>
                <w:rFonts w:ascii="仿宋_GB2312" w:hAnsi="Times New Roman" w:eastAsia="仿宋_GB2312" w:cs="Times New Roman"/>
              </w:rPr>
            </w:pPr>
          </w:p>
        </w:tc>
        <w:tc>
          <w:tcPr>
            <w:tcW w:w="924" w:type="dxa"/>
            <w:shd w:val="clear" w:color="auto" w:fill="auto"/>
            <w:vAlign w:val="center"/>
          </w:tcPr>
          <w:p>
            <w:pPr>
              <w:spacing w:line="584" w:lineRule="exact"/>
              <w:jc w:val="right"/>
              <w:rPr>
                <w:rFonts w:ascii="仿宋_GB2312" w:hAnsi="Times New Roman" w:eastAsia="仿宋_GB2312" w:cs="Times New Roman"/>
              </w:rPr>
            </w:pPr>
          </w:p>
        </w:tc>
        <w:tc>
          <w:tcPr>
            <w:tcW w:w="929" w:type="dxa"/>
            <w:shd w:val="clear" w:color="auto" w:fill="auto"/>
            <w:vAlign w:val="center"/>
          </w:tcPr>
          <w:p>
            <w:pPr>
              <w:spacing w:line="584" w:lineRule="exact"/>
              <w:jc w:val="right"/>
              <w:rPr>
                <w:rFonts w:ascii="仿宋_GB2312" w:hAnsi="Times New Roman" w:eastAsia="仿宋_GB2312" w:cs="Times New Roman"/>
              </w:rPr>
            </w:pPr>
          </w:p>
        </w:tc>
        <w:tc>
          <w:tcPr>
            <w:tcW w:w="880" w:type="dxa"/>
            <w:shd w:val="clear" w:color="auto" w:fill="auto"/>
            <w:vAlign w:val="center"/>
          </w:tcPr>
          <w:p>
            <w:pPr>
              <w:spacing w:line="584" w:lineRule="exact"/>
              <w:jc w:val="right"/>
              <w:rPr>
                <w:rFonts w:ascii="仿宋_GB2312" w:hAnsi="Times New Roman" w:eastAsia="仿宋_GB2312" w:cs="Times New Roman"/>
              </w:rPr>
            </w:pPr>
          </w:p>
        </w:tc>
      </w:tr>
    </w:tbl>
    <w:p>
      <w:pPr>
        <w:spacing w:line="584" w:lineRule="exact"/>
        <w:jc w:val="left"/>
        <w:outlineLvl w:val="0"/>
        <w:rPr>
          <w:rFonts w:ascii="Times New Roman" w:hAnsi="Times New Roman" w:eastAsia="仿宋_GB2312" w:cs="Times New Roman"/>
        </w:rPr>
        <w:sectPr>
          <w:pgSz w:w="16839" w:h="11907" w:orient="landscape"/>
          <w:pgMar w:top="1361" w:right="1020" w:bottom="1361" w:left="1020" w:header="851" w:footer="992" w:gutter="0"/>
          <w:cols w:space="425"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广阳区解放道街道办事处</w:t>
      </w:r>
      <w:r>
        <w:rPr>
          <w:rFonts w:ascii="Times New Roman" w:hAnsi="Times New Roman" w:eastAsia="仿宋_GB2312" w:cs="Times New Roman"/>
          <w:sz w:val="32"/>
          <w:szCs w:val="32"/>
        </w:rPr>
        <w:t>（含所属单位）上年末固定资产金额为</w:t>
      </w:r>
      <w:r>
        <w:rPr>
          <w:rFonts w:hint="eastAsia" w:ascii="仿宋_GB2312" w:hAnsi="Times New Roman" w:eastAsia="仿宋_GB2312" w:cs="Times New Roman"/>
          <w:sz w:val="32"/>
          <w:szCs w:val="32"/>
        </w:rPr>
        <w:t>682.251015</w:t>
      </w:r>
      <w:r>
        <w:rPr>
          <w:rFonts w:ascii="Times New Roman" w:hAnsi="Times New Roman" w:eastAsia="仿宋_GB2312" w:cs="Times New Roman"/>
          <w:sz w:val="32"/>
          <w:szCs w:val="32"/>
        </w:rPr>
        <w:t>万元，本年度我部门拟购置固定资产主要为计算机设备、打印设备、空调、办公家具等，已列入政府采购预算。详见下表。</w:t>
      </w:r>
    </w:p>
    <w:tbl>
      <w:tblPr>
        <w:tblStyle w:val="8"/>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w:t>
            </w:r>
            <w:r>
              <w:rPr>
                <w:rFonts w:hint="eastAsia" w:ascii="Times New Roman" w:hAnsi="Times New Roman" w:eastAsia="仿宋_GB2312" w:cs="Times New Roman"/>
                <w:kern w:val="0"/>
                <w:sz w:val="22"/>
              </w:rPr>
              <w:t>919</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rPr>
              <w:t>广阳区解放</w:t>
            </w:r>
            <w:r>
              <w:rPr>
                <w:rFonts w:ascii="Times New Roman" w:hAnsi="Times New Roman" w:eastAsia="仿宋_GB2312" w:cs="Times New Roman"/>
                <w:kern w:val="0"/>
                <w:sz w:val="22"/>
              </w:rPr>
              <w:t>道街道办事处</w:t>
            </w:r>
          </w:p>
        </w:tc>
        <w:tc>
          <w:tcPr>
            <w:tcW w:w="5103" w:type="dxa"/>
            <w:tcBorders>
              <w:top w:val="nil"/>
              <w:left w:val="nil"/>
              <w:bottom w:val="nil"/>
              <w:right w:val="nil"/>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截止时间：201</w:t>
            </w:r>
            <w:r>
              <w:rPr>
                <w:rFonts w:hint="eastAsia" w:ascii="Times New Roman" w:hAnsi="Times New Roman" w:eastAsia="仿宋_GB2312" w:cs="Times New Roman"/>
                <w:kern w:val="0"/>
                <w:sz w:val="22"/>
              </w:rPr>
              <w:t>8</w:t>
            </w:r>
            <w:r>
              <w:rPr>
                <w:rFonts w:ascii="Times New Roman" w:hAnsi="Times New Roman" w:eastAsia="仿宋_GB2312" w:cs="Times New Roman"/>
                <w:kern w:val="0"/>
                <w:sz w:val="22"/>
              </w:rPr>
              <w:t>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仿宋_GB2312" w:hAnsi="Times New Roman" w:eastAsia="仿宋_GB2312" w:cs="Times New Roman"/>
                <w:kern w:val="0"/>
                <w:szCs w:val="21"/>
              </w:rPr>
            </w:pPr>
            <w:r>
              <w:rPr>
                <w:rFonts w:hint="eastAsia" w:ascii="仿宋_GB2312" w:hAnsi="Times New Roman" w:eastAsia="仿宋_GB2312" w:cs="Times New Roman"/>
                <w:kern w:val="0"/>
                <w:szCs w:val="21"/>
              </w:rPr>
              <w:t>资产总额</w:t>
            </w:r>
          </w:p>
        </w:tc>
        <w:tc>
          <w:tcPr>
            <w:tcW w:w="3155"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w:t>
            </w:r>
          </w:p>
        </w:tc>
        <w:tc>
          <w:tcPr>
            <w:tcW w:w="5103"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682.251015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1、房屋（平方米）</w:t>
            </w:r>
          </w:p>
        </w:tc>
        <w:tc>
          <w:tcPr>
            <w:tcW w:w="31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szCs w:val="21"/>
              </w:rPr>
            </w:pPr>
            <w:r>
              <w:rPr>
                <w:rFonts w:hint="eastAsia" w:ascii="仿宋_GB2312" w:eastAsia="仿宋_GB2312" w:cs="宋体"/>
                <w:kern w:val="0"/>
                <w:szCs w:val="21"/>
              </w:rPr>
              <w:t>2862</w:t>
            </w:r>
          </w:p>
        </w:tc>
        <w:tc>
          <w:tcPr>
            <w:tcW w:w="510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szCs w:val="21"/>
              </w:rPr>
            </w:pPr>
            <w:r>
              <w:rPr>
                <w:rFonts w:hint="eastAsia" w:ascii="仿宋_GB2312" w:eastAsia="仿宋_GB2312" w:cs="宋体"/>
                <w:kern w:val="0"/>
                <w:szCs w:val="21"/>
              </w:rPr>
              <w:t>473.892985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其中：办公用房（平方米）</w:t>
            </w:r>
          </w:p>
        </w:tc>
        <w:tc>
          <w:tcPr>
            <w:tcW w:w="31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szCs w:val="21"/>
              </w:rPr>
            </w:pPr>
            <w:r>
              <w:rPr>
                <w:rFonts w:hint="eastAsia" w:ascii="仿宋_GB2312" w:eastAsia="仿宋_GB2312" w:cs="宋体"/>
                <w:kern w:val="0"/>
                <w:szCs w:val="21"/>
              </w:rPr>
              <w:t>1350</w:t>
            </w:r>
          </w:p>
        </w:tc>
        <w:tc>
          <w:tcPr>
            <w:tcW w:w="510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szCs w:val="21"/>
              </w:rPr>
            </w:pPr>
            <w:r>
              <w:rPr>
                <w:rFonts w:hint="eastAsia" w:ascii="仿宋_GB2312" w:eastAsia="仿宋_GB2312" w:cs="宋体"/>
                <w:kern w:val="0"/>
                <w:szCs w:val="21"/>
              </w:rPr>
              <w:t>131</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2、车辆（台、辆）</w:t>
            </w:r>
          </w:p>
        </w:tc>
        <w:tc>
          <w:tcPr>
            <w:tcW w:w="3155"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szCs w:val="21"/>
              </w:rPr>
            </w:pPr>
            <w:r>
              <w:rPr>
                <w:rFonts w:hint="eastAsia" w:ascii="仿宋_GB2312" w:eastAsia="仿宋_GB2312" w:cs="宋体"/>
                <w:kern w:val="0"/>
                <w:szCs w:val="21"/>
              </w:rPr>
              <w:t>2</w:t>
            </w:r>
          </w:p>
        </w:tc>
        <w:tc>
          <w:tcPr>
            <w:tcW w:w="5103"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Times New Roman" w:eastAsia="仿宋_GB2312" w:cs="Times New Roman"/>
                <w:szCs w:val="21"/>
              </w:rPr>
            </w:pPr>
            <w:r>
              <w:rPr>
                <w:rFonts w:hint="eastAsia" w:ascii="仿宋_GB2312" w:eastAsia="仿宋_GB2312" w:cs="宋体"/>
                <w:kern w:val="0"/>
                <w:szCs w:val="21"/>
              </w:rPr>
              <w:t>35.9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3、单价在20万元以上的设备</w:t>
            </w:r>
          </w:p>
        </w:tc>
        <w:tc>
          <w:tcPr>
            <w:tcW w:w="3155"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仿宋_GB2312" w:hAnsi="Times New Roman" w:eastAsia="仿宋_GB2312" w:cs="Times New Roman"/>
                <w:szCs w:val="21"/>
              </w:rPr>
            </w:pPr>
          </w:p>
        </w:tc>
        <w:tc>
          <w:tcPr>
            <w:tcW w:w="5103"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仿宋_GB2312" w:hAnsi="Times New Roman" w:eastAsia="仿宋_GB2312" w:cs="Times New Roman"/>
                <w:szCs w:val="21"/>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仿宋_GB2312" w:hAnsi="Times New Roman" w:eastAsia="仿宋_GB2312" w:cs="Times New Roman"/>
                <w:kern w:val="0"/>
                <w:szCs w:val="21"/>
              </w:rPr>
            </w:pPr>
            <w:r>
              <w:rPr>
                <w:rFonts w:hint="eastAsia" w:ascii="仿宋_GB2312" w:hAnsi="Times New Roman" w:eastAsia="仿宋_GB2312" w:cs="Times New Roman"/>
                <w:kern w:val="0"/>
                <w:szCs w:val="21"/>
              </w:rPr>
              <w:t>4、其他固定资产</w:t>
            </w:r>
          </w:p>
        </w:tc>
        <w:tc>
          <w:tcPr>
            <w:tcW w:w="3155"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仿宋_GB2312" w:hAnsi="Times New Roman" w:eastAsia="仿宋_GB2312" w:cs="Times New Roman"/>
                <w:szCs w:val="21"/>
              </w:rPr>
            </w:pPr>
          </w:p>
        </w:tc>
        <w:tc>
          <w:tcPr>
            <w:tcW w:w="5103" w:type="dxa"/>
            <w:tcBorders>
              <w:top w:val="nil"/>
              <w:left w:val="nil"/>
              <w:bottom w:val="single" w:color="auto" w:sz="4" w:space="0"/>
              <w:right w:val="single" w:color="auto" w:sz="4" w:space="0"/>
            </w:tcBorders>
            <w:shd w:val="clear" w:color="auto" w:fill="auto"/>
            <w:vAlign w:val="center"/>
          </w:tcPr>
          <w:p>
            <w:pPr>
              <w:spacing w:line="584" w:lineRule="exact"/>
              <w:jc w:val="center"/>
              <w:rPr>
                <w:rFonts w:ascii="仿宋_GB2312" w:hAnsi="Times New Roman" w:eastAsia="仿宋_GB2312" w:cs="Times New Roman"/>
                <w:szCs w:val="21"/>
              </w:rPr>
            </w:pPr>
            <w:r>
              <w:rPr>
                <w:rFonts w:hint="eastAsia" w:ascii="仿宋_GB2312" w:hAnsi="Times New Roman" w:eastAsia="仿宋_GB2312" w:cs="Times New Roman"/>
                <w:szCs w:val="21"/>
              </w:rPr>
              <w:t>172.45803</w:t>
            </w:r>
          </w:p>
          <w:p>
            <w:pPr>
              <w:spacing w:line="584" w:lineRule="exact"/>
              <w:jc w:val="center"/>
              <w:rPr>
                <w:rFonts w:ascii="仿宋_GB2312" w:hAnsi="Times New Roman" w:eastAsia="仿宋_GB2312" w:cs="Times New Roman"/>
                <w:szCs w:val="21"/>
              </w:rPr>
            </w:pPr>
          </w:p>
        </w:tc>
      </w:tr>
    </w:tbl>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指省级财政当年拨付的资金。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4349198"/>
    </w:sdtPr>
    <w:sdtContent>
      <w:p>
        <w:pPr>
          <w:pStyle w:val="3"/>
          <w:jc w:val="center"/>
        </w:pPr>
        <w:r>
          <w:rPr>
            <w:rFonts w:hint="eastAsia"/>
          </w:rPr>
          <w:t>-</w:t>
        </w:r>
        <w:r>
          <w:fldChar w:fldCharType="begin"/>
        </w:r>
        <w:r>
          <w:instrText xml:space="preserve">PAGE   \* MERGEFORMAT</w:instrText>
        </w:r>
        <w:r>
          <w:fldChar w:fldCharType="separate"/>
        </w:r>
        <w:r>
          <w:rPr>
            <w:lang w:val="zh-CN"/>
          </w:rPr>
          <w:t>21</w:t>
        </w:r>
        <w:r>
          <w:rPr>
            <w:lang w:val="zh-CN"/>
          </w:rPr>
          <w:fldChar w:fldCharType="end"/>
        </w:r>
        <w:r>
          <w:rPr>
            <w:rFonts w:hint="eastAsia"/>
          </w:rPr>
          <w:t>-</w:t>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4299695"/>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66032"/>
    <w:rsid w:val="000053CC"/>
    <w:rsid w:val="00037AF6"/>
    <w:rsid w:val="000410F2"/>
    <w:rsid w:val="0004565F"/>
    <w:rsid w:val="00072187"/>
    <w:rsid w:val="00075D5F"/>
    <w:rsid w:val="0008180F"/>
    <w:rsid w:val="00093DA3"/>
    <w:rsid w:val="000B529B"/>
    <w:rsid w:val="000C24E6"/>
    <w:rsid w:val="000C3A19"/>
    <w:rsid w:val="000E4305"/>
    <w:rsid w:val="000F0D09"/>
    <w:rsid w:val="001245BB"/>
    <w:rsid w:val="001251A3"/>
    <w:rsid w:val="0015229A"/>
    <w:rsid w:val="00160266"/>
    <w:rsid w:val="001643E8"/>
    <w:rsid w:val="00176C13"/>
    <w:rsid w:val="001919C4"/>
    <w:rsid w:val="0019723B"/>
    <w:rsid w:val="001A0943"/>
    <w:rsid w:val="001B5C1D"/>
    <w:rsid w:val="001D7692"/>
    <w:rsid w:val="001E0757"/>
    <w:rsid w:val="001E6DDC"/>
    <w:rsid w:val="001E70E9"/>
    <w:rsid w:val="001F5C92"/>
    <w:rsid w:val="001F7873"/>
    <w:rsid w:val="00230E48"/>
    <w:rsid w:val="00241FD4"/>
    <w:rsid w:val="00246317"/>
    <w:rsid w:val="00251B12"/>
    <w:rsid w:val="00265318"/>
    <w:rsid w:val="00265F39"/>
    <w:rsid w:val="002835D7"/>
    <w:rsid w:val="00290FD6"/>
    <w:rsid w:val="00292821"/>
    <w:rsid w:val="00296113"/>
    <w:rsid w:val="002A673A"/>
    <w:rsid w:val="002C5E13"/>
    <w:rsid w:val="002C62BC"/>
    <w:rsid w:val="002E0EB8"/>
    <w:rsid w:val="002F3E58"/>
    <w:rsid w:val="0030542C"/>
    <w:rsid w:val="00311B7A"/>
    <w:rsid w:val="003126B6"/>
    <w:rsid w:val="00313D9C"/>
    <w:rsid w:val="00325215"/>
    <w:rsid w:val="0033339C"/>
    <w:rsid w:val="00335660"/>
    <w:rsid w:val="003B6D37"/>
    <w:rsid w:val="00414BD3"/>
    <w:rsid w:val="00424943"/>
    <w:rsid w:val="0042727E"/>
    <w:rsid w:val="0043175C"/>
    <w:rsid w:val="00437296"/>
    <w:rsid w:val="00451590"/>
    <w:rsid w:val="00451871"/>
    <w:rsid w:val="00452028"/>
    <w:rsid w:val="004706DE"/>
    <w:rsid w:val="00472923"/>
    <w:rsid w:val="00486DCD"/>
    <w:rsid w:val="0049120C"/>
    <w:rsid w:val="004A49AE"/>
    <w:rsid w:val="004B0C3A"/>
    <w:rsid w:val="004C49A8"/>
    <w:rsid w:val="004C58D3"/>
    <w:rsid w:val="004D5788"/>
    <w:rsid w:val="004E3066"/>
    <w:rsid w:val="004E419C"/>
    <w:rsid w:val="004E74CD"/>
    <w:rsid w:val="00524EFD"/>
    <w:rsid w:val="00572067"/>
    <w:rsid w:val="00573562"/>
    <w:rsid w:val="00590ECE"/>
    <w:rsid w:val="005C0E90"/>
    <w:rsid w:val="005D0C27"/>
    <w:rsid w:val="005D37CA"/>
    <w:rsid w:val="005F5714"/>
    <w:rsid w:val="005F7AE1"/>
    <w:rsid w:val="00611D03"/>
    <w:rsid w:val="00614A29"/>
    <w:rsid w:val="00651BA2"/>
    <w:rsid w:val="00654FB9"/>
    <w:rsid w:val="00673D76"/>
    <w:rsid w:val="006854F0"/>
    <w:rsid w:val="006B1C4A"/>
    <w:rsid w:val="006B610D"/>
    <w:rsid w:val="006C206A"/>
    <w:rsid w:val="006E49F5"/>
    <w:rsid w:val="007013C8"/>
    <w:rsid w:val="00727C84"/>
    <w:rsid w:val="0074338E"/>
    <w:rsid w:val="00753836"/>
    <w:rsid w:val="0075393C"/>
    <w:rsid w:val="00754592"/>
    <w:rsid w:val="00776C08"/>
    <w:rsid w:val="00780CCC"/>
    <w:rsid w:val="00790ABF"/>
    <w:rsid w:val="007B46A9"/>
    <w:rsid w:val="007B49AA"/>
    <w:rsid w:val="007C219A"/>
    <w:rsid w:val="007E1DA8"/>
    <w:rsid w:val="007E4B05"/>
    <w:rsid w:val="007F1335"/>
    <w:rsid w:val="007F6C26"/>
    <w:rsid w:val="00800F72"/>
    <w:rsid w:val="00811795"/>
    <w:rsid w:val="00813208"/>
    <w:rsid w:val="00815157"/>
    <w:rsid w:val="0083348E"/>
    <w:rsid w:val="008334AE"/>
    <w:rsid w:val="00836FED"/>
    <w:rsid w:val="0083724E"/>
    <w:rsid w:val="00841D53"/>
    <w:rsid w:val="00843DF8"/>
    <w:rsid w:val="00845CD2"/>
    <w:rsid w:val="00852B0D"/>
    <w:rsid w:val="0085425A"/>
    <w:rsid w:val="00862CE4"/>
    <w:rsid w:val="00864B7F"/>
    <w:rsid w:val="00881692"/>
    <w:rsid w:val="00882539"/>
    <w:rsid w:val="008858FF"/>
    <w:rsid w:val="008A6576"/>
    <w:rsid w:val="008B3CC5"/>
    <w:rsid w:val="008B52CD"/>
    <w:rsid w:val="008C7C4D"/>
    <w:rsid w:val="008E4261"/>
    <w:rsid w:val="008E70D4"/>
    <w:rsid w:val="008F4662"/>
    <w:rsid w:val="0090563F"/>
    <w:rsid w:val="00905D08"/>
    <w:rsid w:val="00925753"/>
    <w:rsid w:val="00937F8B"/>
    <w:rsid w:val="009425F4"/>
    <w:rsid w:val="00943BD8"/>
    <w:rsid w:val="00954B2C"/>
    <w:rsid w:val="00966C5C"/>
    <w:rsid w:val="009676A1"/>
    <w:rsid w:val="00973104"/>
    <w:rsid w:val="009842F6"/>
    <w:rsid w:val="00984E9A"/>
    <w:rsid w:val="00995BF0"/>
    <w:rsid w:val="00996540"/>
    <w:rsid w:val="009A16D5"/>
    <w:rsid w:val="009A353D"/>
    <w:rsid w:val="009B0B77"/>
    <w:rsid w:val="009B511E"/>
    <w:rsid w:val="009B5215"/>
    <w:rsid w:val="009C6C86"/>
    <w:rsid w:val="009D37D3"/>
    <w:rsid w:val="009D3807"/>
    <w:rsid w:val="00A16E6C"/>
    <w:rsid w:val="00A40F60"/>
    <w:rsid w:val="00A44E3D"/>
    <w:rsid w:val="00A72D2E"/>
    <w:rsid w:val="00A74447"/>
    <w:rsid w:val="00A74CE5"/>
    <w:rsid w:val="00A77500"/>
    <w:rsid w:val="00A8536F"/>
    <w:rsid w:val="00A911E7"/>
    <w:rsid w:val="00A939D9"/>
    <w:rsid w:val="00AB77AA"/>
    <w:rsid w:val="00AC0E98"/>
    <w:rsid w:val="00AC4748"/>
    <w:rsid w:val="00AD5259"/>
    <w:rsid w:val="00B01D36"/>
    <w:rsid w:val="00B01D95"/>
    <w:rsid w:val="00B078CD"/>
    <w:rsid w:val="00B20712"/>
    <w:rsid w:val="00B40832"/>
    <w:rsid w:val="00B43238"/>
    <w:rsid w:val="00B45DD3"/>
    <w:rsid w:val="00B54B90"/>
    <w:rsid w:val="00B6358B"/>
    <w:rsid w:val="00B64FA8"/>
    <w:rsid w:val="00B73582"/>
    <w:rsid w:val="00B75216"/>
    <w:rsid w:val="00B755A2"/>
    <w:rsid w:val="00B9104C"/>
    <w:rsid w:val="00B91D52"/>
    <w:rsid w:val="00B9490F"/>
    <w:rsid w:val="00BA1ACD"/>
    <w:rsid w:val="00BA796E"/>
    <w:rsid w:val="00BD09F8"/>
    <w:rsid w:val="00BE356A"/>
    <w:rsid w:val="00C005B2"/>
    <w:rsid w:val="00C1565C"/>
    <w:rsid w:val="00C21E0F"/>
    <w:rsid w:val="00C362CA"/>
    <w:rsid w:val="00C37A99"/>
    <w:rsid w:val="00C772C1"/>
    <w:rsid w:val="00C93D22"/>
    <w:rsid w:val="00CA7176"/>
    <w:rsid w:val="00CB51D7"/>
    <w:rsid w:val="00CC75B0"/>
    <w:rsid w:val="00CD2773"/>
    <w:rsid w:val="00CE01BA"/>
    <w:rsid w:val="00CE143B"/>
    <w:rsid w:val="00CE3A91"/>
    <w:rsid w:val="00D07DBA"/>
    <w:rsid w:val="00D1284C"/>
    <w:rsid w:val="00D23C16"/>
    <w:rsid w:val="00D27003"/>
    <w:rsid w:val="00D324AD"/>
    <w:rsid w:val="00D9307A"/>
    <w:rsid w:val="00DB4322"/>
    <w:rsid w:val="00DD1D0C"/>
    <w:rsid w:val="00DD3969"/>
    <w:rsid w:val="00DE186D"/>
    <w:rsid w:val="00E167C7"/>
    <w:rsid w:val="00E440CF"/>
    <w:rsid w:val="00E44872"/>
    <w:rsid w:val="00E55B78"/>
    <w:rsid w:val="00E76361"/>
    <w:rsid w:val="00E84020"/>
    <w:rsid w:val="00EB7A80"/>
    <w:rsid w:val="00EC47F6"/>
    <w:rsid w:val="00EE6D6D"/>
    <w:rsid w:val="00EF08C9"/>
    <w:rsid w:val="00EF535E"/>
    <w:rsid w:val="00F15CF0"/>
    <w:rsid w:val="00F471F7"/>
    <w:rsid w:val="00F66032"/>
    <w:rsid w:val="00F83B96"/>
    <w:rsid w:val="00F8441D"/>
    <w:rsid w:val="00F87C1E"/>
    <w:rsid w:val="00F958C2"/>
    <w:rsid w:val="00FA740E"/>
    <w:rsid w:val="00FC06C7"/>
    <w:rsid w:val="00FD5DB4"/>
    <w:rsid w:val="00FE1724"/>
    <w:rsid w:val="00FE753C"/>
    <w:rsid w:val="00FF2346"/>
    <w:rsid w:val="0AFD7A8F"/>
    <w:rsid w:val="12BB294D"/>
    <w:rsid w:val="2DA96317"/>
    <w:rsid w:val="4A637756"/>
    <w:rsid w:val="6F5E2078"/>
    <w:rsid w:val="7A5A55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qFormat/>
    <w:uiPriority w:val="39"/>
    <w:rPr>
      <w:rFonts w:ascii="Times New Roman" w:hAnsi="Times New Roman" w:eastAsia="宋体" w:cs="Times New Roman"/>
      <w:szCs w:val="24"/>
    </w:rPr>
  </w:style>
  <w:style w:type="paragraph" w:styleId="6">
    <w:name w:val="footnote text"/>
    <w:basedOn w:val="1"/>
    <w:link w:val="15"/>
    <w:semiHidden/>
    <w:unhideWhenUsed/>
    <w:qFormat/>
    <w:uiPriority w:val="99"/>
    <w:pPr>
      <w:snapToGrid w:val="0"/>
      <w:jc w:val="left"/>
    </w:pPr>
    <w:rPr>
      <w:rFonts w:ascii="Calibri" w:hAnsi="Calibri" w:eastAsia="宋体" w:cs="Times New Roman"/>
      <w:sz w:val="18"/>
      <w:szCs w:val="18"/>
    </w:rPr>
  </w:style>
  <w:style w:type="paragraph" w:styleId="7">
    <w:name w:val="toc 2"/>
    <w:basedOn w:val="1"/>
    <w:next w:val="1"/>
    <w:qFormat/>
    <w:uiPriority w:val="39"/>
    <w:pPr>
      <w:ind w:left="420" w:leftChars="200"/>
    </w:pPr>
    <w:rPr>
      <w:rFonts w:ascii="Times New Roman" w:hAnsi="Times New Roman" w:eastAsia="宋体" w:cs="Times New Roman"/>
      <w:szCs w:val="24"/>
    </w:rPr>
  </w:style>
  <w:style w:type="character" w:styleId="10">
    <w:name w:val="footnote reference"/>
    <w:semiHidden/>
    <w:unhideWhenUsed/>
    <w:qFormat/>
    <w:uiPriority w:val="99"/>
    <w:rPr>
      <w:vertAlign w:val="superscript"/>
    </w:rPr>
  </w:style>
  <w:style w:type="character" w:customStyle="1" w:styleId="11">
    <w:name w:val="页眉 Char"/>
    <w:basedOn w:val="9"/>
    <w:link w:val="4"/>
    <w:qFormat/>
    <w:uiPriority w:val="99"/>
    <w:rPr>
      <w:rFonts w:ascii="Times New Roman" w:hAnsi="Times New Roman" w:eastAsia="宋体" w:cs="Times New Roman"/>
      <w:sz w:val="18"/>
      <w:szCs w:val="18"/>
    </w:rPr>
  </w:style>
  <w:style w:type="character" w:customStyle="1" w:styleId="12">
    <w:name w:val="页脚 Char"/>
    <w:basedOn w:val="9"/>
    <w:link w:val="3"/>
    <w:qFormat/>
    <w:uiPriority w:val="99"/>
    <w:rPr>
      <w:rFonts w:ascii="Times New Roman" w:hAnsi="Times New Roman" w:eastAsia="宋体" w:cs="Times New Roman"/>
      <w:sz w:val="18"/>
      <w:szCs w:val="18"/>
    </w:rPr>
  </w:style>
  <w:style w:type="character" w:customStyle="1" w:styleId="13">
    <w:name w:val="批注框文本 Char"/>
    <w:basedOn w:val="9"/>
    <w:link w:val="2"/>
    <w:semiHidden/>
    <w:qFormat/>
    <w:uiPriority w:val="99"/>
    <w:rPr>
      <w:sz w:val="18"/>
      <w:szCs w:val="18"/>
    </w:rPr>
  </w:style>
  <w:style w:type="paragraph" w:customStyle="1" w:styleId="14">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15">
    <w:name w:val="脚注文本 Char"/>
    <w:basedOn w:val="9"/>
    <w:link w:val="6"/>
    <w:semiHidden/>
    <w:qFormat/>
    <w:uiPriority w:val="99"/>
    <w:rPr>
      <w:rFonts w:ascii="Calibri" w:hAnsi="Calibri" w:eastAsia="宋体" w:cs="Times New Roman"/>
      <w:sz w:val="18"/>
      <w:szCs w:val="18"/>
    </w:rPr>
  </w:style>
  <w:style w:type="paragraph" w:customStyle="1" w:styleId="16">
    <w:name w:val="p.MsoNormal"/>
    <w:basedOn w:val="17"/>
    <w:qFormat/>
    <w:uiPriority w:val="4"/>
    <w:pPr>
      <w:jc w:val="both"/>
    </w:pPr>
    <w:rPr>
      <w:rFonts w:ascii="Calibri" w:hAnsi="Calibri" w:eastAsia="Calibri"/>
      <w:sz w:val="21"/>
    </w:rPr>
  </w:style>
  <w:style w:type="paragraph" w:customStyle="1" w:styleId="17">
    <w:name w:val="[Normal]"/>
    <w:qFormat/>
    <w:uiPriority w:val="6"/>
    <w:rPr>
      <w:rFonts w:ascii="宋体" w:hAnsi="宋体" w:eastAsia="宋体" w:cstheme="minorBidi"/>
      <w:sz w:val="24"/>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D51BB-CDEA-47ED-AE9F-E2C4E149275D}">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21</Pages>
  <Words>1572</Words>
  <Characters>8962</Characters>
  <Lines>74</Lines>
  <Paragraphs>21</Paragraphs>
  <TotalTime>50</TotalTime>
  <ScaleCrop>false</ScaleCrop>
  <LinksUpToDate>false</LinksUpToDate>
  <CharactersWithSpaces>10513</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2019-02-13T02:12:00Z</dcterms:created>
  <dc:creator>guest</dc:creator>
  <cp:lastModifiedBy>111</cp:lastModifiedBy>
  <cp:lastPrinted>2019-02-18T02:45:00Z</cp:lastPrinted>
  <dcterms:modified xsi:type="dcterms:W3CDTF">2024-05-15T07:53:46Z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5A883A850142449DBB9D25B420E6B56A</vt:lpwstr>
  </property>
</Properties>
</file>