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廊坊市广阳区银河北路街道办事处2019年部门预算信息公开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广阳区银河北路街道办事处</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40" w:firstLineChars="200"/>
        <w:rPr>
          <w:rFonts w:ascii="仿宋_GB2312" w:eastAsia="仿宋_GB2312"/>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仿宋_GB2312" w:eastAsia="仿宋_GB2312"/>
          <w:sz w:val="32"/>
          <w:szCs w:val="32"/>
        </w:rPr>
        <w:t>银河北路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1、宣传、贯彻、落实党的路线、方针、政策和国家的法律法规，执行上级党委、政府的决定和命令；</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2、制定并组织实施本行政区域内的经济和社会发展规划，促进经济和社会事业的全面发展；</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3、加强街道、社区党的建设，领导和支持群团组织依法独立开展工作；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5、加强街道、社区精神文明建设和文化建设，促进社会文明进步；</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6、加强街道、社区社会治安综合治理工作，维护社会稳定；</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7、兴建社区服务设施，强化服务功能，提供多种形式的公共服务；</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8、加大城市建设与经营管理力度，发展社会公共事业，加快城市建设和发展步伐；</w:t>
      </w:r>
    </w:p>
    <w:p>
      <w:pPr>
        <w:spacing w:line="57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9、完成区委、区政府交办的其它工作任务。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廊坊市广阳区银河北路街道办事处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广阳区银河北路街道办事处</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1703.11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1703.11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广阳区银河北路街道办事处</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1703.11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1597.92</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1486.59</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111.33</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105.19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为社区聘用人员经费</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1703.11</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152.39</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147.89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增加人员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社区聘用人员经费</w:t>
      </w:r>
      <w:r>
        <w:rPr>
          <w:rFonts w:ascii="Times New Roman" w:hAnsi="Times New Roman" w:eastAsia="仿宋_GB2312" w:cs="Times New Roman"/>
          <w:sz w:val="32"/>
          <w:szCs w:val="32"/>
        </w:rPr>
        <w:t>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7.76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银河北路街道办事处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rPr>
        <w:t>减</w:t>
      </w:r>
      <w:r>
        <w:rPr>
          <w:rFonts w:hint="eastAsia" w:ascii="Times New Roman" w:hAnsi="Times New Roman" w:eastAsia="仿宋_GB2312" w:cs="Times New Roman"/>
          <w:color w:val="000000" w:themeColor="text1"/>
          <w:sz w:val="32"/>
          <w:szCs w:val="32"/>
        </w:rPr>
        <w:t>少</w:t>
      </w:r>
      <w:r>
        <w:rPr>
          <w:rFonts w:hint="eastAsia" w:ascii="Times New Roman" w:hAnsi="Times New Roman" w:eastAsia="仿宋_GB2312" w:cs="Times New Roman"/>
          <w:sz w:val="32"/>
          <w:szCs w:val="32"/>
        </w:rPr>
        <w:t>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color w:val="000000" w:themeColor="text1"/>
          <w:sz w:val="32"/>
          <w:szCs w:val="32"/>
        </w:rPr>
        <w:t>0.23</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w:t>
      </w:r>
      <w:r>
        <w:rPr>
          <w:rFonts w:hint="eastAsia" w:ascii="Times New Roman" w:hAnsi="Times New Roman" w:eastAsia="仿宋_GB2312" w:cs="Times New Roman"/>
          <w:color w:val="000000" w:themeColor="text1"/>
          <w:sz w:val="32"/>
          <w:szCs w:val="32"/>
        </w:rPr>
        <w:t>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我部门切实落实勤俭节约各项规定，严格控制公务接待费支出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color w:val="000000" w:themeColor="text1"/>
          <w:sz w:val="32"/>
          <w:szCs w:val="32"/>
        </w:rPr>
        <w:t>与201</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年相比持平，无增减变化</w:t>
      </w:r>
      <w:r>
        <w:rPr>
          <w:rFonts w:ascii="Times New Roman" w:hAnsi="Times New Roman" w:eastAsia="仿宋_GB2312" w:cs="Times New Roman"/>
          <w:color w:val="FF0000"/>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我街道总体发展规划目标是：以习近平新时代中国特色社会主义思想为指导，贯彻落实党的十九大精神，围绕“学习贯彻落实党的十九大精神”一大主题，瞄准“抢擂新时代，率先现代化”两大目标，着力“打造样板街道，打造实力产业，打造惠普民生，打造模范党建”四大重点，坚持“党建为先，项目为王，安全为要，民生为本，作风为基”五大抓手，</w:t>
      </w:r>
      <w:bookmarkStart w:id="4" w:name="_GoBack"/>
      <w:r>
        <w:rPr>
          <w:rFonts w:hint="eastAsia" w:ascii="仿宋_GB2312" w:eastAsia="仿宋_GB2312"/>
          <w:sz w:val="32"/>
          <w:szCs w:val="32"/>
          <w:lang w:eastAsia="zh-CN"/>
        </w:rPr>
        <w:t>不忘初心、牢记使命</w:t>
      </w:r>
      <w:bookmarkEnd w:id="4"/>
      <w:r>
        <w:rPr>
          <w:rFonts w:hint="eastAsia" w:ascii="仿宋_GB2312" w:eastAsia="仿宋_GB2312"/>
          <w:sz w:val="32"/>
          <w:szCs w:val="32"/>
        </w:rPr>
        <w:t>，在建设现代化廊坊的历史机遇中开启银河北路街道办事处加速崛起新征程。</w:t>
      </w:r>
    </w:p>
    <w:p>
      <w:pPr>
        <w:jc w:val="left"/>
        <w:rPr>
          <w:rFonts w:ascii="楷体_GB2312" w:eastAsia="楷体_GB2312"/>
          <w:b/>
          <w:sz w:val="32"/>
          <w:szCs w:val="32"/>
        </w:rPr>
      </w:pPr>
      <w:r>
        <w:rPr>
          <w:rFonts w:hint="eastAsia" w:ascii="仿宋_GB2312" w:eastAsia="仿宋_GB2312"/>
          <w:b/>
          <w:sz w:val="32"/>
          <w:szCs w:val="32"/>
        </w:rPr>
        <w:t xml:space="preserve">   </w:t>
      </w:r>
      <w:r>
        <w:rPr>
          <w:rFonts w:hint="eastAsia" w:ascii="楷体_GB2312" w:eastAsia="楷体_GB2312"/>
          <w:b/>
          <w:sz w:val="32"/>
          <w:szCs w:val="32"/>
        </w:rPr>
        <w:t xml:space="preserve"> 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政务服务职责：负责政务公开、街办处会议管理、督察督办、政务联络、街道办事处日常工作等。</w:t>
      </w:r>
    </w:p>
    <w:p>
      <w:pPr>
        <w:spacing w:line="500" w:lineRule="exact"/>
        <w:ind w:firstLine="560"/>
        <w:rPr>
          <w:rFonts w:ascii="仿宋_GB2312" w:eastAsia="仿宋_GB2312"/>
          <w:sz w:val="32"/>
          <w:szCs w:val="32"/>
        </w:rPr>
      </w:pPr>
      <w:r>
        <w:rPr>
          <w:rFonts w:hint="eastAsia" w:ascii="仿宋_GB2312" w:eastAsia="仿宋_GB2312"/>
          <w:sz w:val="32"/>
          <w:szCs w:val="32"/>
        </w:rPr>
        <w:t>应急管理职责：负责基层政府值班工作，及时报告重要情况，传达和督促落实镇政府领导指示。协助镇政府领导做好需由基层政府组织处理的突发事件应急处置工作。</w:t>
      </w:r>
    </w:p>
    <w:p>
      <w:pPr>
        <w:spacing w:line="500" w:lineRule="exact"/>
        <w:ind w:firstLine="560"/>
        <w:rPr>
          <w:rFonts w:ascii="仿宋_GB2312" w:eastAsia="仿宋_GB2312"/>
          <w:sz w:val="32"/>
          <w:szCs w:val="32"/>
        </w:rPr>
      </w:pPr>
      <w:r>
        <w:rPr>
          <w:rFonts w:hint="eastAsia" w:ascii="仿宋_GB2312" w:eastAsia="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560"/>
        <w:rPr>
          <w:rFonts w:ascii="仿宋_GB2312" w:eastAsia="仿宋_GB2312"/>
          <w:sz w:val="32"/>
          <w:szCs w:val="32"/>
        </w:rPr>
      </w:pPr>
      <w:r>
        <w:rPr>
          <w:rFonts w:hint="eastAsia" w:ascii="仿宋_GB2312" w:eastAsia="仿宋_GB2312"/>
          <w:sz w:val="32"/>
          <w:szCs w:val="32"/>
        </w:rPr>
        <w:t>地方志事务职责：负责全街道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560"/>
        <w:rPr>
          <w:rFonts w:ascii="仿宋_GB2312" w:eastAsia="仿宋_GB2312"/>
          <w:sz w:val="32"/>
          <w:szCs w:val="32"/>
        </w:rPr>
      </w:pPr>
      <w:r>
        <w:rPr>
          <w:rFonts w:hint="eastAsia" w:ascii="仿宋_GB2312" w:eastAsia="仿宋_GB2312"/>
          <w:sz w:val="32"/>
          <w:szCs w:val="32"/>
        </w:rPr>
        <w:t>街道政务管理职责：在区委、区政府的领导下，贯彻执行党路线、方针、政策和国家的各项法律、法规；负责街辖区内的地区性、群众性、公益性、社会性工作。负责精神文明建设工作，积极组织以提高市民质素为目的的活动，树立文明新风。按照职责范围，负责街辖区内的城市建设和管理、市容环境卫生、园林绿化、环境保护、市政、房地产等监督、管理、服务工作。负责街辖区内的维护稳定及社会治安综合治理工作，依照有关规定做好出租屋和外来暂住人员的管理工作；负责民事调解，法律服务工作，维护居民的合法权益。 负责社区建设和管理，积极开展社区服务工作，大力兴办社区福利事业，发动和组织社区成员开展各类社区公益活动；负责拥军优属、优抚安置、社会救济、社会福利、社区文化、科普、体育、教育等工作。发展街道经济，管理街道自有国有资产和集体资产，为街道经济组织提供人才、科技、信息和各种服务，以经济、法律和必要的行政手段推动街道经济发展和维护市场经济秩序。 负责计划生育、劳动就业、安全生产管理、初级卫生保健、民兵、兵役等工作；尊重少数民族的风俗习惯，保障少数民族的权益。指导和帮助居民委员会搞好组织建设和制度建设，发挥居委会的群众自治组织作用。配合有关部门做好防汛、防风、防火、防震、防灾和抢险工作。向区人民政府反映居民群众的意见和要求，办理人民群众来信来访事项。承办区委、区政府和上级部门交办的其他事项。</w:t>
      </w: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917廊坊市广阳区银河北路街道办事处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通过完成街办处政务信息公开工作的指导监督工作，使全街办处信息公开业务队伍素质不断提高，业务水平进一步提升；政府政务信息公开范围不断扩大，公开内容得到进一步细化。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全部符合规定标准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其中一项不符合标准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两项以上不符合标准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负责管理区政府驻外办事处工作。负责区领导、区有关部门公务活动的接待安排；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做好县际间与我区政务往来服务保障工作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重大会议的内容完成情况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部分完成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做好街道会议保障；严格召开的会议审批，控制会议费开支规模。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大型会议执行度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确保街道决定事项及街道领导重要指示得到贯彻落实。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政府值班工作，及时报告重要情况，传达和督促落实办事处领导指示。协助领导做好需由镇政府组织处理的突发事件应急处置工作。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维护好本地政府应急平台，确保街办处应急工作顺利完成；各类突发事件得到及时妥善处置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小于一小时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小于三小时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小于八小时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八小时以上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完全解决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未解决上报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未解决未上报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1、数字化管理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按照规定登录数字化管理终端及时处理，告知物业及时清理，及时结案</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案件及时处理，环境卫生达标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居民对案件处理满意程度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全街道地方志事务管理。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为社会各界方便快捷提供街道情，为经济社会建设服务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真实程度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编印差错率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影响范围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五、街道政务管理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105.19</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1、财政事务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预算编制科学、政策有效、执行规范、决算准确、绩效突出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编制和批复决算及时性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财政体制有效性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财政体制完备，运行顺畅。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财政体制能够较好运行。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财政体制能够基本运行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财政体制不能执行。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政府预算公开情况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政府预算公开时限、公开内容、公开渠道、公开内容细化程度，四项严格符合规定要求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政府预算公开时限、公开内容、公开渠道、公开内容细化程度，四项基本符合规定要求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政府预算公开时限、公开内容、公开渠道、公开内容细化程度，有一项不符合规定要求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政府预算公开时限、公开内容、公开渠道、公开内容细化程度，有一项以上不符合规定要求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总预算会计核算信息准确率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专项检查任务完成及时率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2、信访问题处理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负责正常来信来访、网上信访，非访、突发性及群体性事件的办理；提供相关服务保障；处理全乡群众进京上访；信访事项督查、案件查办、复查复核、听证等工作。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畅通信访渠道，维护群众合法利益，解决群众合理诉求，促进社会和谐稳定。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信访事项受理及时率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信访事项按期结案率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领导干部公开接访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3、残疾人综合业务管理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群众安全感和满意度比例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奖励落实比例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反映实际开展培训数量占年培训计划的比率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4、工会事务管理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研究指导工会自身建设；承担区政府及全国总工会交办的其他事项。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负责工会干部管理制度和培训规划制定以及培训工作；承担区政府及全国总工会交办的其他事项。</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5、计划生育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流动人口计划生育服务管理信息反馈率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免费计划生育基本服务项目覆盖率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免费孕前优生健康检查目标人群覆盖率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6、社会保障事务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解决“4050”人员、“零就业家庭”成员、低保人员、残疾人员等八类就业困难人员就业、保障困难人员基本生活、树立困难人员再就业的信心。鼓励用人单位吸纳就业困难人员就业、支持就业困难人员自谋职业、自主创业和灵活就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实现公共利益和安置就业困难人员为主要目的，为就业困难人员提供社会公共管理类岗位、城市社区公益性岗位、机关事业单位工勤保障和公共服务岗位以及其他岗位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按时按质完成申报率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发放准确率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及时增减人员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政策宣传次数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保险上缴完成率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生存认证完成率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7、宣传事务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以加快文明城市创建为目标，构建和谐街道，深入开展文明城市创建活动，进一步深化省级文明单位申报工作。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围绕文明城市创建这条主线，创建文明单位、文明社区，全面提高文明素质、文明程度，加快建设创新驱动的社会发展环境。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征订完成率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投稿数量、刊发数量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8、社区建设</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105.19</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加强和完善社区治理事关基层和谐稳定，进一步健全城乡社区治理体系，推进治理能力现代化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确保社区建设工作全面提高，营造社区氛围、增强居民满意度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年度文化艺术节演出活动次数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各项工作顺利上报完成率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9、环保工作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做好辖区内散乱污、饭店油烟、VOC企业、汽修企业、工地扬尘治理管控工作。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确保重污染天气应急响应到位。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10、综治工作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责任书签约率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11、食药监工作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食品药品监管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贯彻食品安全和药品各项法律法规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组织开展食品药品安全宣传培训次数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12、民政工作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为本辖区的困难群众办理城镇居民最低生活保障金、医疗救助、临时救助等审批及防灾减灾排查工作；做好优抚双拥工作；为辖区年满80周岁老人办理高龄补贴；完成街道办党委、街道交办的其他各项工作。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按政策要求达到参保率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应享受范围覆盖率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13、妇联工作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在街道党委和上级妇联的领导下，加强政治引领和思想引导。履行组织、宣传、教育妇女职能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按时保质保量完成市、区妇联安排部署的各项工作，同时做好妇女维权、困难群体的帮扶、妇女群众信访及街办处的各项中心工作。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14、社区管理 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街道党工委的要求，做好辖区15个社区干部的教育、培养、考核和监督工作;密切联系群众，反映群众的意见和要求，做好群众工作，搞好各项服务;搞好精神文明建设，教育居民遵纪守法，保证和促进辖区的经济发展和社会稳定。</w:t>
            </w:r>
          </w:p>
        </w:tc>
        <w:tc>
          <w:tcPr>
            <w:tcW w:w="2976" w:type="dxa"/>
            <w:vMerge w:val="restart"/>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党支部工作满意度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社区工作满意度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15、武装部工作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在街道党委和上级武装部门的领导下，加强政治引领和思想引导。履行组织、宣传、教育职能。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按时保质保量完成市、区武装部门安排部署的各项工作。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民兵工作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兵役征集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国防动员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bl>
    <w:p>
      <w:pPr>
        <w:spacing w:line="584" w:lineRule="exact"/>
        <w:jc w:val="center"/>
        <w:outlineLvl w:val="0"/>
        <w:rPr>
          <w:rFonts w:ascii="Times New Roman" w:hAnsi="Times New Roman" w:eastAsia="仿宋_GB2312" w:cs="Times New Roman"/>
          <w:b/>
          <w:sz w:val="32"/>
        </w:rPr>
      </w:pPr>
    </w:p>
    <w:p>
      <w:pPr>
        <w:pStyle w:val="16"/>
        <w:rPr>
          <w:rFonts w:ascii="Times New Roman" w:hAnsi="Times New Roman" w:eastAsia="仿宋_GB2312"/>
          <w:kern w:val="2"/>
          <w:sz w:val="32"/>
          <w:szCs w:val="32"/>
          <w:lang w:eastAsia="zh-CN"/>
        </w:rPr>
      </w:pPr>
    </w:p>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bookmarkEnd w:id="0"/>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32"/>
        </w:rPr>
      </w:pPr>
      <w:bookmarkStart w:id="2" w:name="_Toc471398468"/>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年，我部门安排政府采购预算</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917廊坊市广阳区银河北路街道办事处</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7.6</w:t>
            </w: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7.6</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7.6</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7.6</w:t>
            </w: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办公费（生均公用经费）</w:t>
            </w:r>
          </w:p>
        </w:tc>
        <w:tc>
          <w:tcPr>
            <w:tcW w:w="1057"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7.6</w:t>
            </w:r>
          </w:p>
        </w:tc>
        <w:tc>
          <w:tcPr>
            <w:tcW w:w="932" w:type="dxa"/>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计算机设备</w:t>
            </w: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台</w:t>
            </w:r>
          </w:p>
        </w:tc>
        <w:tc>
          <w:tcPr>
            <w:tcW w:w="740"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20</w:t>
            </w:r>
          </w:p>
        </w:tc>
        <w:tc>
          <w:tcPr>
            <w:tcW w:w="950"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0.38</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7.6</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7.6</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7.6</w:t>
            </w: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left"/>
              <w:rPr>
                <w:rFonts w:ascii="Times New Roman" w:hAnsi="Times New Roman" w:eastAsia="仿宋_GB2312" w:cs="Times New Roman"/>
              </w:rPr>
            </w:pPr>
          </w:p>
        </w:tc>
        <w:tc>
          <w:tcPr>
            <w:tcW w:w="1057" w:type="dxa"/>
            <w:shd w:val="clear" w:color="auto" w:fill="auto"/>
            <w:vAlign w:val="center"/>
          </w:tcPr>
          <w:p>
            <w:pPr>
              <w:spacing w:line="584" w:lineRule="exact"/>
              <w:jc w:val="right"/>
              <w:rPr>
                <w:rFonts w:ascii="Times New Roman" w:hAnsi="Times New Roman" w:eastAsia="仿宋_GB2312" w:cs="Times New Roman"/>
              </w:rPr>
            </w:pPr>
          </w:p>
        </w:tc>
        <w:tc>
          <w:tcPr>
            <w:tcW w:w="932" w:type="dxa"/>
            <w:shd w:val="clear" w:color="auto" w:fill="auto"/>
            <w:vAlign w:val="center"/>
          </w:tcPr>
          <w:p>
            <w:pPr>
              <w:spacing w:line="584" w:lineRule="exact"/>
              <w:jc w:val="left"/>
              <w:rPr>
                <w:rFonts w:ascii="Times New Roman" w:hAnsi="Times New Roman" w:eastAsia="仿宋_GB2312" w:cs="Times New Roman"/>
              </w:rPr>
            </w:pPr>
          </w:p>
        </w:tc>
        <w:tc>
          <w:tcPr>
            <w:tcW w:w="1372" w:type="dxa"/>
            <w:shd w:val="clear" w:color="auto" w:fill="auto"/>
            <w:vAlign w:val="center"/>
          </w:tcPr>
          <w:p>
            <w:pPr>
              <w:spacing w:line="584" w:lineRule="exact"/>
              <w:jc w:val="left"/>
              <w:rPr>
                <w:rFonts w:ascii="Times New Roman" w:hAnsi="Times New Roman" w:eastAsia="仿宋_GB2312" w:cs="Times New Roman"/>
              </w:rPr>
            </w:pPr>
          </w:p>
        </w:tc>
        <w:tc>
          <w:tcPr>
            <w:tcW w:w="720" w:type="dxa"/>
            <w:shd w:val="clear" w:color="auto" w:fill="auto"/>
            <w:vAlign w:val="center"/>
          </w:tcPr>
          <w:p>
            <w:pPr>
              <w:spacing w:line="584" w:lineRule="exact"/>
              <w:jc w:val="left"/>
              <w:rPr>
                <w:rFonts w:ascii="Times New Roman" w:hAnsi="Times New Roman" w:eastAsia="仿宋_GB2312" w:cs="Times New Roman"/>
              </w:rPr>
            </w:pPr>
          </w:p>
        </w:tc>
        <w:tc>
          <w:tcPr>
            <w:tcW w:w="740" w:type="dxa"/>
            <w:shd w:val="clear" w:color="auto" w:fill="auto"/>
            <w:vAlign w:val="center"/>
          </w:tcPr>
          <w:p>
            <w:pPr>
              <w:spacing w:line="584" w:lineRule="exact"/>
              <w:jc w:val="right"/>
              <w:rPr>
                <w:rFonts w:ascii="Times New Roman" w:hAnsi="Times New Roman" w:eastAsia="仿宋_GB2312" w:cs="Times New Roman"/>
              </w:rPr>
            </w:pPr>
          </w:p>
        </w:tc>
        <w:tc>
          <w:tcPr>
            <w:tcW w:w="950"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956" w:type="dxa"/>
            <w:shd w:val="clear" w:color="auto" w:fill="auto"/>
            <w:vAlign w:val="center"/>
          </w:tcPr>
          <w:p>
            <w:pPr>
              <w:spacing w:line="584" w:lineRule="exact"/>
              <w:jc w:val="right"/>
              <w:rPr>
                <w:rFonts w:ascii="Times New Roman" w:hAnsi="Times New Roman" w:eastAsia="仿宋_GB2312" w:cs="Times New Roman"/>
              </w:rPr>
            </w:pPr>
          </w:p>
        </w:tc>
        <w:tc>
          <w:tcPr>
            <w:tcW w:w="790" w:type="dxa"/>
            <w:shd w:val="clear" w:color="auto" w:fill="auto"/>
            <w:vAlign w:val="center"/>
          </w:tcPr>
          <w:p>
            <w:pPr>
              <w:spacing w:line="584" w:lineRule="exact"/>
              <w:jc w:val="right"/>
              <w:rPr>
                <w:rFonts w:ascii="Times New Roman" w:hAnsi="Times New Roman" w:eastAsia="仿宋_GB2312" w:cs="Times New Roman"/>
              </w:rPr>
            </w:pPr>
          </w:p>
        </w:tc>
        <w:tc>
          <w:tcPr>
            <w:tcW w:w="924" w:type="dxa"/>
            <w:shd w:val="clear" w:color="auto" w:fill="auto"/>
            <w:vAlign w:val="center"/>
          </w:tcPr>
          <w:p>
            <w:pPr>
              <w:spacing w:line="584" w:lineRule="exact"/>
              <w:jc w:val="right"/>
              <w:rPr>
                <w:rFonts w:ascii="Times New Roman" w:hAnsi="Times New Roman" w:eastAsia="仿宋_GB2312" w:cs="Times New Roman"/>
              </w:rPr>
            </w:pPr>
          </w:p>
        </w:tc>
        <w:tc>
          <w:tcPr>
            <w:tcW w:w="929" w:type="dxa"/>
            <w:shd w:val="clear" w:color="auto" w:fill="auto"/>
            <w:vAlign w:val="center"/>
          </w:tcPr>
          <w:p>
            <w:pPr>
              <w:spacing w:line="584" w:lineRule="exact"/>
              <w:jc w:val="right"/>
              <w:rPr>
                <w:rFonts w:ascii="Times New Roman" w:hAnsi="Times New Roman" w:eastAsia="仿宋_GB2312" w:cs="Times New Roman"/>
              </w:rPr>
            </w:pPr>
          </w:p>
        </w:tc>
        <w:tc>
          <w:tcPr>
            <w:tcW w:w="880" w:type="dxa"/>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广阳区银河北路街道办事处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143.01</w:t>
      </w:r>
      <w:r>
        <w:rPr>
          <w:rFonts w:ascii="Times New Roman" w:hAnsi="Times New Roman" w:eastAsia="仿宋_GB2312" w:cs="Times New Roman"/>
          <w:sz w:val="32"/>
          <w:szCs w:val="32"/>
        </w:rPr>
        <w:t>万元，本年度我部门拟购置固定资产主要为计算机设备，已列入政府采购预算。详见下表。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917</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广阳区银河北路街道办事处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143.01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96.25</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17</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8180F"/>
    <w:rsid w:val="0009142D"/>
    <w:rsid w:val="00093DA3"/>
    <w:rsid w:val="000B529B"/>
    <w:rsid w:val="000C24E6"/>
    <w:rsid w:val="000C3A19"/>
    <w:rsid w:val="000E4305"/>
    <w:rsid w:val="000F0D09"/>
    <w:rsid w:val="00123A08"/>
    <w:rsid w:val="001245BB"/>
    <w:rsid w:val="001251A3"/>
    <w:rsid w:val="0014070E"/>
    <w:rsid w:val="0015229A"/>
    <w:rsid w:val="001534E7"/>
    <w:rsid w:val="00160266"/>
    <w:rsid w:val="001643E8"/>
    <w:rsid w:val="00176C13"/>
    <w:rsid w:val="00181138"/>
    <w:rsid w:val="001919C4"/>
    <w:rsid w:val="0019723B"/>
    <w:rsid w:val="001A0943"/>
    <w:rsid w:val="001B5C1D"/>
    <w:rsid w:val="001E0757"/>
    <w:rsid w:val="001E6DDC"/>
    <w:rsid w:val="001E70E9"/>
    <w:rsid w:val="001F5C92"/>
    <w:rsid w:val="001F7873"/>
    <w:rsid w:val="00230E48"/>
    <w:rsid w:val="00236E29"/>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15F9"/>
    <w:rsid w:val="00325215"/>
    <w:rsid w:val="0033339C"/>
    <w:rsid w:val="00335660"/>
    <w:rsid w:val="003625D5"/>
    <w:rsid w:val="003A0332"/>
    <w:rsid w:val="003A6C4F"/>
    <w:rsid w:val="003B6D37"/>
    <w:rsid w:val="003D771B"/>
    <w:rsid w:val="0040002C"/>
    <w:rsid w:val="00414BD3"/>
    <w:rsid w:val="00424943"/>
    <w:rsid w:val="0042727E"/>
    <w:rsid w:val="0043175C"/>
    <w:rsid w:val="00437296"/>
    <w:rsid w:val="00451590"/>
    <w:rsid w:val="00451871"/>
    <w:rsid w:val="004577FA"/>
    <w:rsid w:val="004706DE"/>
    <w:rsid w:val="00472923"/>
    <w:rsid w:val="00486DCD"/>
    <w:rsid w:val="0049120C"/>
    <w:rsid w:val="004A485B"/>
    <w:rsid w:val="004B0C3A"/>
    <w:rsid w:val="004C49A8"/>
    <w:rsid w:val="004C58D3"/>
    <w:rsid w:val="004D5788"/>
    <w:rsid w:val="004E3066"/>
    <w:rsid w:val="004E419C"/>
    <w:rsid w:val="004E74CD"/>
    <w:rsid w:val="00524EFD"/>
    <w:rsid w:val="00572067"/>
    <w:rsid w:val="005728BC"/>
    <w:rsid w:val="00573562"/>
    <w:rsid w:val="00590ECE"/>
    <w:rsid w:val="005C0E90"/>
    <w:rsid w:val="005D0C27"/>
    <w:rsid w:val="005D37CA"/>
    <w:rsid w:val="005F13ED"/>
    <w:rsid w:val="005F5714"/>
    <w:rsid w:val="005F7AE1"/>
    <w:rsid w:val="00611D03"/>
    <w:rsid w:val="00614A29"/>
    <w:rsid w:val="00644C72"/>
    <w:rsid w:val="00651BA2"/>
    <w:rsid w:val="00654FB9"/>
    <w:rsid w:val="00673D76"/>
    <w:rsid w:val="006809D4"/>
    <w:rsid w:val="006854F0"/>
    <w:rsid w:val="00693C85"/>
    <w:rsid w:val="0069487B"/>
    <w:rsid w:val="006B1C4A"/>
    <w:rsid w:val="006B610D"/>
    <w:rsid w:val="006C206A"/>
    <w:rsid w:val="006E49F5"/>
    <w:rsid w:val="007013C8"/>
    <w:rsid w:val="007062BB"/>
    <w:rsid w:val="00727C84"/>
    <w:rsid w:val="0074338E"/>
    <w:rsid w:val="00753836"/>
    <w:rsid w:val="0075393C"/>
    <w:rsid w:val="00754592"/>
    <w:rsid w:val="00776C08"/>
    <w:rsid w:val="00790ABF"/>
    <w:rsid w:val="007B49AA"/>
    <w:rsid w:val="007C219A"/>
    <w:rsid w:val="007C5EEF"/>
    <w:rsid w:val="007E1DA8"/>
    <w:rsid w:val="007E4B05"/>
    <w:rsid w:val="007E72B2"/>
    <w:rsid w:val="007F1335"/>
    <w:rsid w:val="007F6C26"/>
    <w:rsid w:val="00800F72"/>
    <w:rsid w:val="00811795"/>
    <w:rsid w:val="00813208"/>
    <w:rsid w:val="00815157"/>
    <w:rsid w:val="00824FD8"/>
    <w:rsid w:val="0083348E"/>
    <w:rsid w:val="008334AE"/>
    <w:rsid w:val="00836FED"/>
    <w:rsid w:val="0083724E"/>
    <w:rsid w:val="00841D53"/>
    <w:rsid w:val="00843DF8"/>
    <w:rsid w:val="00845CD2"/>
    <w:rsid w:val="00852B0D"/>
    <w:rsid w:val="0085425A"/>
    <w:rsid w:val="00862CE4"/>
    <w:rsid w:val="00864B7F"/>
    <w:rsid w:val="00865FE9"/>
    <w:rsid w:val="00881692"/>
    <w:rsid w:val="00882539"/>
    <w:rsid w:val="008858FF"/>
    <w:rsid w:val="008A6576"/>
    <w:rsid w:val="008B3CC5"/>
    <w:rsid w:val="008B52CD"/>
    <w:rsid w:val="008C73FE"/>
    <w:rsid w:val="008C7C4D"/>
    <w:rsid w:val="008E4261"/>
    <w:rsid w:val="008E70D4"/>
    <w:rsid w:val="008F4662"/>
    <w:rsid w:val="0090563F"/>
    <w:rsid w:val="00905D08"/>
    <w:rsid w:val="00925753"/>
    <w:rsid w:val="00937F8B"/>
    <w:rsid w:val="009425F4"/>
    <w:rsid w:val="00943BD8"/>
    <w:rsid w:val="00954B2C"/>
    <w:rsid w:val="0095677C"/>
    <w:rsid w:val="00966C5C"/>
    <w:rsid w:val="009676A1"/>
    <w:rsid w:val="00973104"/>
    <w:rsid w:val="00984065"/>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1ADB"/>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2364"/>
    <w:rsid w:val="00B73582"/>
    <w:rsid w:val="00B75216"/>
    <w:rsid w:val="00B755A2"/>
    <w:rsid w:val="00B9104C"/>
    <w:rsid w:val="00B91D52"/>
    <w:rsid w:val="00B93F6B"/>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CF3A9B"/>
    <w:rsid w:val="00D05B43"/>
    <w:rsid w:val="00D07DBA"/>
    <w:rsid w:val="00D23C16"/>
    <w:rsid w:val="00D27003"/>
    <w:rsid w:val="00D324AD"/>
    <w:rsid w:val="00D9307A"/>
    <w:rsid w:val="00DA45AE"/>
    <w:rsid w:val="00DB4322"/>
    <w:rsid w:val="00DD1D0C"/>
    <w:rsid w:val="00DE186D"/>
    <w:rsid w:val="00E167C7"/>
    <w:rsid w:val="00E440CF"/>
    <w:rsid w:val="00E55B78"/>
    <w:rsid w:val="00E76361"/>
    <w:rsid w:val="00E84020"/>
    <w:rsid w:val="00E86997"/>
    <w:rsid w:val="00EA74C7"/>
    <w:rsid w:val="00EB7A80"/>
    <w:rsid w:val="00EC47F6"/>
    <w:rsid w:val="00EE6D6D"/>
    <w:rsid w:val="00EF08C9"/>
    <w:rsid w:val="00EF535E"/>
    <w:rsid w:val="00F041A9"/>
    <w:rsid w:val="00F15CF0"/>
    <w:rsid w:val="00F20D5E"/>
    <w:rsid w:val="00F471F7"/>
    <w:rsid w:val="00F66032"/>
    <w:rsid w:val="00F83B96"/>
    <w:rsid w:val="00F8441D"/>
    <w:rsid w:val="00F87C1E"/>
    <w:rsid w:val="00F958C2"/>
    <w:rsid w:val="00FA740E"/>
    <w:rsid w:val="00FC06C7"/>
    <w:rsid w:val="00FD5DB4"/>
    <w:rsid w:val="00FE1724"/>
    <w:rsid w:val="00FE753C"/>
    <w:rsid w:val="00FF2346"/>
    <w:rsid w:val="3025598D"/>
    <w:rsid w:val="33FD1717"/>
    <w:rsid w:val="45AA27E9"/>
    <w:rsid w:val="47DF44DC"/>
    <w:rsid w:val="57B16D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uiPriority w:val="0"/>
    <w:rPr>
      <w:rFonts w:ascii="宋体" w:hAnsi="宋体" w:eastAsia="宋体" w:cs="Times New Roman"/>
      <w:sz w:val="24"/>
      <w:lang w:val="en-US" w:eastAsia="en-US" w:bidi="ar-SA"/>
    </w:rPr>
  </w:style>
  <w:style w:type="paragraph" w:customStyle="1" w:styleId="17">
    <w:name w:val="p.MsoNormal"/>
    <w:basedOn w:val="16"/>
    <w:qFormat/>
    <w:uiPriority w:val="0"/>
    <w:pPr>
      <w:jc w:val="both"/>
    </w:pPr>
    <w:rPr>
      <w:rFonts w:ascii="Calibri" w:hAnsi="Calibri" w:eastAsia="Calibri"/>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9E20-3ABD-4C92-9685-9E9D14DE85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1519</Words>
  <Characters>8663</Characters>
  <Lines>72</Lines>
  <Paragraphs>20</Paragraphs>
  <TotalTime>231</TotalTime>
  <ScaleCrop>false</ScaleCrop>
  <LinksUpToDate>false</LinksUpToDate>
  <CharactersWithSpaces>10162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2024-05-14T09:11:44Z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FA15585C4A274D25B1994E0FA18EE2CE</vt:lpwstr>
  </property>
</Properties>
</file>