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廊坊市广阳区工业和信息化局2019年部门预算信息公开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bookmarkStart w:id="4" w:name="_GoBack"/>
      <w:bookmarkEnd w:id="4"/>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广阳区工业经济运行局</w:t>
      </w:r>
      <w:r>
        <w:rPr>
          <w:rFonts w:ascii="Times New Roman" w:hAnsi="Times New Roman" w:eastAsia="仿宋_GB2312" w:cs="Times New Roman"/>
          <w:sz w:val="32"/>
          <w:szCs w:val="32"/>
        </w:rPr>
        <w:t>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部门职责：</w:t>
      </w:r>
    </w:p>
    <w:p>
      <w:pPr>
        <w:rPr>
          <w:rFonts w:ascii="仿宋_GB2312" w:eastAsia="仿宋_GB2312" w:hAnsiTheme="minorEastAsia"/>
          <w:sz w:val="32"/>
          <w:szCs w:val="32"/>
        </w:rPr>
      </w:pPr>
      <w:r>
        <w:rPr>
          <w:rFonts w:hint="eastAsia" w:asciiTheme="minorEastAsia" w:hAnsiTheme="minorEastAsia"/>
          <w:sz w:val="32"/>
          <w:szCs w:val="32"/>
        </w:rPr>
        <w:t xml:space="preserve">   </w:t>
      </w:r>
      <w:r>
        <w:rPr>
          <w:rFonts w:hint="eastAsia" w:ascii="仿宋_GB2312" w:eastAsia="仿宋_GB2312" w:hAnsiTheme="minorEastAsia"/>
          <w:sz w:val="32"/>
          <w:szCs w:val="32"/>
        </w:rPr>
        <w:t>（一）研究拟定全区中小企业发展战略、中长期发展规划及年度发展目标，并组织实施。</w:t>
      </w:r>
    </w:p>
    <w:p>
      <w:pPr>
        <w:rPr>
          <w:rFonts w:ascii="仿宋_GB2312" w:eastAsia="仿宋_GB2312" w:hAnsiTheme="minorEastAsia"/>
          <w:sz w:val="32"/>
          <w:szCs w:val="32"/>
        </w:rPr>
      </w:pPr>
      <w:r>
        <w:rPr>
          <w:rFonts w:hint="eastAsia" w:ascii="仿宋_GB2312" w:eastAsia="仿宋_GB2312" w:hAnsiTheme="minorEastAsia"/>
          <w:sz w:val="32"/>
          <w:szCs w:val="32"/>
        </w:rPr>
        <w:t xml:space="preserve">   （二）指导全区中小企业调整产业和产品结构，引导地区间、企业间经济技术合作，扶持区域特色经济的发展。</w:t>
      </w:r>
    </w:p>
    <w:p>
      <w:pPr>
        <w:rPr>
          <w:rFonts w:ascii="仿宋_GB2312" w:eastAsia="仿宋_GB2312" w:hAnsiTheme="minorEastAsia"/>
          <w:sz w:val="32"/>
          <w:szCs w:val="32"/>
        </w:rPr>
      </w:pPr>
      <w:r>
        <w:rPr>
          <w:rFonts w:hint="eastAsia" w:ascii="仿宋_GB2312" w:eastAsia="仿宋_GB2312" w:hAnsiTheme="minorEastAsia"/>
          <w:sz w:val="32"/>
          <w:szCs w:val="32"/>
        </w:rPr>
        <w:t xml:space="preserve">   （三）指导中小企业宏观经营管理以及资产管理、财务管理和内部审计。</w:t>
      </w:r>
    </w:p>
    <w:p>
      <w:pPr>
        <w:rPr>
          <w:rFonts w:ascii="仿宋_GB2312" w:eastAsia="仿宋_GB2312" w:hAnsiTheme="minorEastAsia"/>
          <w:sz w:val="32"/>
          <w:szCs w:val="32"/>
        </w:rPr>
      </w:pPr>
      <w:r>
        <w:rPr>
          <w:rFonts w:hint="eastAsia" w:ascii="仿宋_GB2312" w:eastAsia="仿宋_GB2312" w:hAnsiTheme="minorEastAsia"/>
          <w:sz w:val="32"/>
          <w:szCs w:val="32"/>
        </w:rPr>
        <w:t xml:space="preserve">   （四）指导中小企业质量标准工作。</w:t>
      </w:r>
    </w:p>
    <w:p>
      <w:pPr>
        <w:rPr>
          <w:rFonts w:ascii="仿宋_GB2312" w:eastAsia="仿宋_GB2312" w:hAnsiTheme="minorEastAsia"/>
          <w:sz w:val="32"/>
          <w:szCs w:val="32"/>
        </w:rPr>
      </w:pPr>
      <w:r>
        <w:rPr>
          <w:rFonts w:hint="eastAsia" w:ascii="仿宋_GB2312" w:eastAsia="仿宋_GB2312" w:hAnsiTheme="minorEastAsia"/>
          <w:sz w:val="32"/>
          <w:szCs w:val="32"/>
        </w:rPr>
        <w:t xml:space="preserve">   （五）依法保护中小企业的合法权益，规范其生产和经营行为。</w:t>
      </w:r>
    </w:p>
    <w:p>
      <w:pPr>
        <w:rPr>
          <w:rFonts w:ascii="仿宋_GB2312" w:eastAsia="仿宋_GB2312" w:hAnsiTheme="minorEastAsia"/>
          <w:sz w:val="32"/>
          <w:szCs w:val="32"/>
        </w:rPr>
      </w:pPr>
      <w:r>
        <w:rPr>
          <w:rFonts w:hint="eastAsia" w:ascii="仿宋_GB2312" w:eastAsia="仿宋_GB2312" w:hAnsiTheme="minorEastAsia"/>
          <w:sz w:val="32"/>
          <w:szCs w:val="32"/>
        </w:rPr>
        <w:t xml:space="preserve">   （六）指导中小企业技术进步、职工教育和培训、人才引进及企业经营管理者的培训。</w:t>
      </w:r>
    </w:p>
    <w:p>
      <w:pPr>
        <w:rPr>
          <w:rFonts w:ascii="仿宋_GB2312" w:eastAsia="仿宋_GB2312" w:hAnsiTheme="minorEastAsia"/>
          <w:sz w:val="32"/>
          <w:szCs w:val="32"/>
        </w:rPr>
      </w:pPr>
      <w:r>
        <w:rPr>
          <w:rFonts w:hint="eastAsia" w:ascii="仿宋_GB2312" w:eastAsia="仿宋_GB2312" w:hAnsiTheme="minorEastAsia"/>
          <w:sz w:val="32"/>
          <w:szCs w:val="32"/>
        </w:rPr>
        <w:t xml:space="preserve">   （七）协同管理中小企业外事、外经、外贸工作，协调和指导中小企业招商引资、出口创汇工作。</w:t>
      </w:r>
    </w:p>
    <w:p>
      <w:pPr>
        <w:rPr>
          <w:rFonts w:ascii="仿宋_GB2312" w:eastAsia="仿宋_GB2312" w:hAnsiTheme="minorEastAsia"/>
          <w:sz w:val="32"/>
          <w:szCs w:val="32"/>
        </w:rPr>
      </w:pPr>
      <w:r>
        <w:rPr>
          <w:rFonts w:hint="eastAsia" w:ascii="仿宋_GB2312" w:eastAsia="仿宋_GB2312" w:hAnsiTheme="minorEastAsia"/>
          <w:sz w:val="32"/>
          <w:szCs w:val="32"/>
        </w:rPr>
        <w:t xml:space="preserve">   （八）综合分析全区工业发展形势，研究新型工业化发展战略和政策。</w:t>
      </w:r>
    </w:p>
    <w:p>
      <w:pPr>
        <w:rPr>
          <w:rFonts w:ascii="仿宋_GB2312" w:eastAsia="仿宋_GB2312" w:hAnsiTheme="minorEastAsia"/>
          <w:sz w:val="32"/>
          <w:szCs w:val="32"/>
        </w:rPr>
      </w:pPr>
      <w:r>
        <w:rPr>
          <w:rFonts w:hint="eastAsia" w:ascii="仿宋_GB2312" w:eastAsia="仿宋_GB2312" w:hAnsiTheme="minorEastAsia"/>
          <w:sz w:val="32"/>
          <w:szCs w:val="32"/>
        </w:rPr>
        <w:t xml:space="preserve">   （九）研究拟定主要工业行业规划，对全区工业现代化实施宏观指导。</w:t>
      </w:r>
    </w:p>
    <w:p>
      <w:pPr>
        <w:rPr>
          <w:rFonts w:ascii="仿宋_GB2312" w:eastAsia="仿宋_GB2312" w:hAnsiTheme="minorEastAsia"/>
          <w:sz w:val="32"/>
          <w:szCs w:val="32"/>
        </w:rPr>
      </w:pPr>
      <w:r>
        <w:rPr>
          <w:rFonts w:hint="eastAsia" w:ascii="仿宋_GB2312" w:eastAsia="仿宋_GB2312" w:hAnsiTheme="minorEastAsia"/>
          <w:sz w:val="32"/>
          <w:szCs w:val="32"/>
        </w:rPr>
        <w:t xml:space="preserve">   （十）培育和促进全区工业产业基地建设，指导和协调工业园区建设和发展。</w:t>
      </w:r>
    </w:p>
    <w:p>
      <w:pPr>
        <w:rPr>
          <w:rFonts w:ascii="仿宋_GB2312" w:eastAsia="仿宋_GB2312" w:hAnsiTheme="minorEastAsia"/>
          <w:sz w:val="32"/>
          <w:szCs w:val="32"/>
        </w:rPr>
      </w:pPr>
      <w:r>
        <w:rPr>
          <w:rFonts w:hint="eastAsia" w:ascii="仿宋_GB2312" w:eastAsia="仿宋_GB2312" w:hAnsiTheme="minorEastAsia"/>
          <w:sz w:val="32"/>
          <w:szCs w:val="32"/>
        </w:rPr>
        <w:t xml:space="preserve">   （十一）指导地方性行业技术法规和行业标准拟定。</w:t>
      </w:r>
    </w:p>
    <w:p>
      <w:pPr>
        <w:rPr>
          <w:rFonts w:ascii="仿宋_GB2312" w:eastAsia="仿宋_GB2312" w:hAnsiTheme="minorEastAsia"/>
          <w:sz w:val="32"/>
          <w:szCs w:val="32"/>
        </w:rPr>
      </w:pPr>
      <w:r>
        <w:rPr>
          <w:rFonts w:hint="eastAsia" w:ascii="仿宋_GB2312" w:eastAsia="仿宋_GB2312" w:hAnsiTheme="minorEastAsia"/>
          <w:sz w:val="32"/>
          <w:szCs w:val="32"/>
        </w:rPr>
        <w:t xml:space="preserve">   （十二）指导引进重大技术改造和重大成套设备的消化创新工作。</w:t>
      </w:r>
    </w:p>
    <w:p>
      <w:pPr>
        <w:rPr>
          <w:rFonts w:ascii="仿宋_GB2312" w:eastAsia="仿宋_GB2312" w:hAnsiTheme="minorEastAsia"/>
          <w:sz w:val="32"/>
          <w:szCs w:val="32"/>
        </w:rPr>
      </w:pPr>
      <w:r>
        <w:rPr>
          <w:rFonts w:hint="eastAsia" w:ascii="仿宋_GB2312" w:eastAsia="仿宋_GB2312" w:hAnsiTheme="minorEastAsia"/>
          <w:sz w:val="32"/>
          <w:szCs w:val="32"/>
        </w:rPr>
        <w:t xml:space="preserve">   （十三）组织工业重点项目前期工作，安排大中型及市管以上工业项目。</w:t>
      </w:r>
    </w:p>
    <w:p>
      <w:pPr>
        <w:rPr>
          <w:rFonts w:ascii="仿宋_GB2312" w:eastAsia="仿宋_GB2312" w:hAnsiTheme="minorEastAsia"/>
          <w:sz w:val="32"/>
          <w:szCs w:val="32"/>
        </w:rPr>
      </w:pPr>
      <w:r>
        <w:rPr>
          <w:rFonts w:hint="eastAsia" w:ascii="仿宋_GB2312" w:eastAsia="仿宋_GB2312" w:hAnsiTheme="minorEastAsia"/>
          <w:sz w:val="32"/>
          <w:szCs w:val="32"/>
        </w:rPr>
        <w:t xml:space="preserve">   （十四）负责日常工业经济运行的检测分析和协调调度，组织解决工业经济运行中的有关重大问题。</w:t>
      </w:r>
    </w:p>
    <w:p>
      <w:pPr>
        <w:rPr>
          <w:rFonts w:ascii="仿宋_GB2312" w:eastAsia="仿宋_GB2312" w:hAnsiTheme="minorEastAsia"/>
          <w:sz w:val="32"/>
          <w:szCs w:val="32"/>
        </w:rPr>
      </w:pPr>
      <w:r>
        <w:rPr>
          <w:rFonts w:hint="eastAsia" w:ascii="仿宋_GB2312" w:eastAsia="仿宋_GB2312" w:hAnsiTheme="minorEastAsia"/>
          <w:sz w:val="32"/>
          <w:szCs w:val="32"/>
        </w:rPr>
        <w:t xml:space="preserve">   （十五）指导全区行业协会工作。</w:t>
      </w:r>
    </w:p>
    <w:p>
      <w:pPr>
        <w:rPr>
          <w:rFonts w:ascii="仿宋_GB2312" w:eastAsia="仿宋_GB2312" w:hAnsiTheme="minorEastAsia"/>
          <w:sz w:val="32"/>
          <w:szCs w:val="32"/>
        </w:rPr>
      </w:pPr>
      <w:r>
        <w:rPr>
          <w:rFonts w:hint="eastAsia" w:ascii="仿宋_GB2312" w:eastAsia="仿宋_GB2312" w:hAnsiTheme="minorEastAsia"/>
          <w:sz w:val="32"/>
          <w:szCs w:val="32"/>
        </w:rPr>
        <w:t xml:space="preserve">   （十六）承办区政府交办的其他事项。</w:t>
      </w:r>
    </w:p>
    <w:p>
      <w:pPr>
        <w:autoSpaceDE w:val="0"/>
        <w:autoSpaceDN w:val="0"/>
        <w:adjustRightInd w:val="0"/>
        <w:spacing w:line="584" w:lineRule="exact"/>
        <w:ind w:firstLine="630" w:firstLineChars="196"/>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5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14"/>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21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21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214" w:type="dxa"/>
            <w:shd w:val="clear" w:color="auto" w:fill="auto"/>
            <w:vAlign w:val="center"/>
          </w:tcPr>
          <w:p>
            <w:pPr>
              <w:spacing w:line="584" w:lineRule="exact"/>
              <w:jc w:val="center"/>
              <w:rPr>
                <w:rFonts w:ascii="Times New Roman" w:hAnsi="Times New Roman" w:eastAsia="仿宋_GB2312" w:cs="Times New Roman"/>
                <w:b/>
                <w:szCs w:val="21"/>
              </w:rPr>
            </w:pPr>
            <w:r>
              <w:rPr>
                <w:rFonts w:hint="eastAsia" w:ascii="Times New Roman" w:hAnsi="Times New Roman" w:eastAsia="仿宋_GB2312" w:cs="Times New Roman"/>
                <w:b/>
              </w:rPr>
              <w:t>廊坊市广阳区工业和信息化局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广阳区工</w:t>
      </w:r>
      <w:r>
        <w:rPr>
          <w:rFonts w:ascii="Times New Roman" w:hAnsi="Times New Roman" w:eastAsia="仿宋_GB2312" w:cs="Times New Roman"/>
          <w:sz w:val="32"/>
          <w:szCs w:val="32"/>
        </w:rPr>
        <w:t>业经济运行局机关及所属事业单位的收支包含在部门预算中。</w:t>
      </w:r>
    </w:p>
    <w:p>
      <w:pPr>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244.51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244.51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廊坊市广阳区工业和信息化局2019</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244.51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244.51</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226.84</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17.67</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万元，其中本级支出</w:t>
      </w:r>
      <w:r>
        <w:rPr>
          <w:rFonts w:hint="eastAsia" w:ascii="Times New Roman" w:hAnsi="Times New Roman" w:eastAsia="仿宋_GB2312" w:cs="Times New Roman"/>
          <w:sz w:val="32"/>
          <w:szCs w:val="32"/>
        </w:rPr>
        <w:t>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244.51</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减少440.03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30.72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减少470.75</w:t>
      </w:r>
      <w:r>
        <w:rPr>
          <w:rFonts w:ascii="Times New Roman" w:hAnsi="Times New Roman" w:eastAsia="仿宋_GB2312" w:cs="Times New Roman"/>
          <w:sz w:val="32"/>
          <w:szCs w:val="32"/>
        </w:rPr>
        <w:t>万元，主要为</w:t>
      </w:r>
      <w:r>
        <w:rPr>
          <w:rFonts w:hint="eastAsia" w:ascii="仿宋_GB2312" w:eastAsia="仿宋_GB2312" w:cs="宋体"/>
          <w:color w:val="000000"/>
          <w:kern w:val="0"/>
          <w:sz w:val="32"/>
          <w:szCs w:val="32"/>
        </w:rPr>
        <w:t>电子政务网络平台和信息化建设</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0.47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相比减少0.11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万元（其中：公务用车运维费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0万元，与2018年相比持平，</w:t>
      </w:r>
      <w:r>
        <w:rPr>
          <w:rFonts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2019年，工信局将积极推进规上工业企业持续高效发展，全面调控各项工业运行指标稳步良性增长。确保规模以上工业增加值同比增长 3.5  %左右，规上高新技术产业增加值2%，新增规模以上工业企业4家。针对广阳区“大智移云”企业制定切实可行的发展规划，充分发掘潜在的产业发展动能，依托北旺“大智移云生态产业集群”项目形成信息化产业“产、学、研一体化”发展合力，依托万庄“科教产业集群”项目打造人工智能产业、信息化人才培育产业、高新科技产业新高地。依托新朝阳“中关村软件园”项目打造广阳区“大智移云”产业筑巢引凤的金字招牌。针对规上工业企业的着力开展“双创双服”活动，抓住关键点、解决关键事、发挥关键作用。全面落实《广阳区2019年度“请进来、走出去”企业人才培育计划》。“走出去”年度目标为50家实体企业100人次参加培训。“请进来”年度目标为2场100家实体企业参加培训，“专家顾问团”入企指导年度目标为3次15家实体企业参加。</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楷体_GB2312" w:eastAsia="楷体_GB2312"/>
          <w:sz w:val="32"/>
          <w:szCs w:val="32"/>
        </w:rPr>
      </w:pPr>
      <w:r>
        <w:rPr>
          <w:rFonts w:hint="eastAsia" w:ascii="仿宋_GB2312" w:eastAsia="仿宋_GB2312"/>
          <w:sz w:val="32"/>
          <w:szCs w:val="32"/>
        </w:rPr>
        <w:t>一、   促进工业转型升级绩效目标：深入推进工业企业稳定发展，切实培育规上工业后备力量；全面调控各项工业指标运行持续良性增长，深化规上高新技术产业持续发展</w:t>
      </w:r>
    </w:p>
    <w:p>
      <w:pPr>
        <w:spacing w:line="500" w:lineRule="exact"/>
        <w:ind w:firstLine="560"/>
        <w:rPr>
          <w:rFonts w:ascii="仿宋_GB2312" w:eastAsia="仿宋_GB2312"/>
          <w:sz w:val="32"/>
          <w:szCs w:val="32"/>
        </w:rPr>
      </w:pPr>
      <w:r>
        <w:rPr>
          <w:rFonts w:hint="eastAsia" w:ascii="仿宋_GB2312" w:eastAsia="仿宋_GB2312"/>
          <w:sz w:val="32"/>
          <w:szCs w:val="32"/>
        </w:rPr>
        <w:t>二、 推进全区信息化建设与应用绩效目标：大力支持“大智移云”产业做大做强，全面落实《广阳区鼓励大智移云产业发展奖励办法实施细则》，推动大智移云产业加速成长为具有较强科技创新力和市场竞争力的领军产业。</w:t>
      </w:r>
    </w:p>
    <w:p>
      <w:pPr>
        <w:spacing w:line="500" w:lineRule="exact"/>
        <w:ind w:firstLine="560"/>
        <w:rPr>
          <w:rFonts w:ascii="仿宋_GB2312" w:eastAsia="仿宋_GB2312"/>
          <w:sz w:val="32"/>
          <w:szCs w:val="32"/>
        </w:rPr>
      </w:pPr>
      <w:r>
        <w:rPr>
          <w:rFonts w:hint="eastAsia" w:ascii="仿宋_GB2312" w:eastAsia="仿宋_GB2312"/>
          <w:sz w:val="32"/>
          <w:szCs w:val="32"/>
        </w:rPr>
        <w:t>三、促进中小和民营经济发展绩效目标：推动中小微企业和民营经济持续、健康发展。全面实施民营中小企业人才培育计划，切实保障广阳区“请进来、走出去”活动方案取得实效。</w:t>
      </w:r>
    </w:p>
    <w:p>
      <w:pPr>
        <w:spacing w:line="500" w:lineRule="exact"/>
        <w:ind w:firstLine="560"/>
        <w:rPr>
          <w:rFonts w:ascii="仿宋_GB2312" w:eastAsia="仿宋_GB2312"/>
          <w:sz w:val="32"/>
          <w:szCs w:val="32"/>
        </w:rPr>
      </w:pPr>
      <w:r>
        <w:rPr>
          <w:rFonts w:hint="eastAsia" w:ascii="仿宋_GB2312" w:eastAsia="仿宋_GB2312"/>
          <w:sz w:val="32"/>
          <w:szCs w:val="32"/>
        </w:rPr>
        <w:t>四、工信政务管理绩效目标：切实把控民营经济关键要素，协调解决企业实际困难，落实好“双创双服”精准服务。</w:t>
      </w:r>
    </w:p>
    <w:p>
      <w:pPr>
        <w:spacing w:line="480" w:lineRule="auto"/>
        <w:jc w:val="left"/>
        <w:rPr>
          <w:rFonts w:ascii="方正楷体_GBK" w:eastAsia="方正楷体_GBK"/>
          <w:sz w:val="28"/>
        </w:rPr>
      </w:pPr>
      <w:r>
        <w:rPr>
          <w:rFonts w:ascii="Times New Roman" w:hAnsi="Times New Roman" w:eastAsia="楷体_GB2312" w:cs="Times New Roman"/>
          <w:b/>
          <w:sz w:val="32"/>
          <w:szCs w:val="32"/>
        </w:rPr>
        <w:t>部门职责及工作活动绩效目标指标：</w:t>
      </w:r>
    </w:p>
    <w:bookmarkEnd w:id="0"/>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740廊坊市广阳区工业和信息化局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一、推进全区信息化建设与应用</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统筹协调推进全区信息化建设与应用；组织拟订相关政策规划；指导协调电子政务发展；推动互联互通和信息资源开发利用、共享。促进三网融合、信息消费；维护网络与信息安全。</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提升全区电子政务信息化建设与应用水平，保障网络与信息安全。</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1、推进电子政务集约化建设与应用</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拟订信息化及电子政务相关政策规划，完善建设区级政务云；推进部门应用系统云上部署； 组织协调规划党政机关网建设；开展对信息化项目建设方案初审；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提高电子政务信息化水平</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信息化项目审核率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云服务质量考核次数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政务云日常服务管理满意率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2、促进信息资源共享</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开展政务信息资源梳理、编目；依托政务云建设区政务信息资源共享平台，推进信息资源交换共享；协调推进三网融合、京津冀信息化协同发展。</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提升信息资源利用水平，促进三网融合，加快与京津信息化协同发展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区政务信息资源共享平台完成率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三网融合进展情况报送数量（个）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区政务信息资源共享平台完成率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区政务信息资源共享平台完成率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三网融合进展情况报送数量（个）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3、协调全区信息安全保障体系建设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指导和协调网络与信息安全管理工作，推进信息安全等级保护等基础性工作，指导监督政府部门、重点行业重要信息系统与基础信息网络的安全保障，负责应急和重大事件协调处理工作。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保障全区网络信息安全，确保不发生重特大网络信息安全事件。</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信息系统测评数量（家）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应急和重大事件有效处理率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安全检查评估数量（家）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网站监测覆盖率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二、促进中小企业和民营经济发展</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加强对中小微企业和民营经济的宏观指导、综合协调，优化发展环境，激活市场主体，破解要素制约，强化公共服务，加强督导、检查和考核，提高民营经济和中小微企业发展质量和水平。</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推动中小微企业和民营经济持续、健康发展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1、促进中小企业和民营经济发展</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动中小和民营企业公共服务平台网络建设，推进为中小企业提供融资担保（包括金融机构风险补偿）、人才引进与培养、诚信评价、法律服务、产业集群、创业辅导、市场开拓等公共服务体系建设，促进县域工业发展。开展中小企业和民营经济运行监测。</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提升公共服务体系建设水平</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数据分析和发布及时性完成数量（个）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公共技术服务平台新增数量（个）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担保机构融资能力增长率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全区中小企业担保机构注册资本金规模增长率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民营经济考核数量（次）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课题研究数量（个）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网上直报平台企业报表率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开展入企帮扶活动次数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监测点上报率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民营经济运行调度会次数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行政许可事项办结率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平台网络服务企业数量（万个）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三、工信政务管理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负责系统（内部）综合业务管理和机关（内部）综合事务管理。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提升工业和信息化综合事务管理水平。</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制定部门发展战略和规划、指导系统业务活动和事业发展；加强行政许可管理；指导行业体制改革；行政复议及行政应诉工作；信访接待、业务宣传、政务信息公开、网上行政服务、依法行政等。着重做好申报、评审和实施国家工业和信息化重大专项项目，工业和信息化专家管理，相关领导小组办公室工作，开展政银合作，职业技能鉴定以及全县履行禁止化学武器公约和专项资金监管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依法做好监控化学品日常监管和行政许可审批，完善工业和信息化政策法规体系建设，培育专业化人才，提升工业和信息化水平。</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培训人员人次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政银企保合作次数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2、综合事务管理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业和信息化管理工作运转保障，包括会议组织、政务督办、档案管理、信访接待、政务信息、行政复议、对外宣传、外事工作、干部培训、课题研究、调研活动等行政事务；开展政府信息公开、行政许可事项受理，信息化建设等管理。</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保障机关正常工作高效运转</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&gt;95%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&gt;80%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&gt;60%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培训人员人次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四、促进工业转型升级</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制定工业和信息化发展战略、规划。组织全市工业技术改造工作，推进企业技术创新体系建设。组织协调推进企业兼并重组、淘汰落后产能和化解过剩产能、工业节能与资源综合利用工作，组织实施重大专项，推进产业结构战略性调整和优化升级，加快现代产业体系建设。监测分析全市工业运行；负责全市钢铁、石化、建材、装备、纺织、医药、轻工食品、电子信息、软件信息服务业等工业行业管理，指导并组织实施行业准入和全市企业品牌建设等。推进信息化和工业化融合，工业物联网发展。推动全市软件业、信息服务业发展。</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加大我市工业转型升级步伐，实施“中国制造2040”，加快制造强市建设，提升工业发展的质量和效益。提升行业管理水平，促进行业健康发展。实施“互联网+”计划，提升全市信息化建设和发展水平</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1、支持工业转型升级</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提出全区新型工业和信息化发展战略和政策，支持工业技术改造，扶持企业技术创新，促进工业节能减排与资源综合利用，推进工业行业化解过剩产能、焦化治理、新能源汽车、刷卡排污总量监控系统建设，推动企业兼并重组，指导工业设计与制造融合发展，协调推进工业强市、制造强市建设，促进装备制造业加快发展，做好工业运行监测分析、预警，组织开展工业企业对标行动，加强工业行业质量管理，实施工业行业准入、规范管理和工业标准管理，指导工业行业安全生产、应急管理，促进物联网、Wifi覆盖、大数据、云计算产业发展。</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推进工业行业化解过剩产能、淘汰落后产能。</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规模以上工业企业新产品销售收入增长率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≥7.7%</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专利拥有量增长率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战略新兴产业增长率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关键工序制造装备数控化率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防止新增过剩、落后产能企业数量（家）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规模以上工业企业全员劳动生产率年均增速率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技改项目实施数量（项）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装备制造业增加值占有率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落实《关于鼓励和支持企业研发人员创新</w:t>
            </w:r>
            <w:r>
              <w:rPr>
                <w:rFonts w:hint="eastAsia" w:ascii="仿宋_GB2312" w:eastAsia="方正书宋_GBK"/>
                <w:szCs w:val="21"/>
              </w:rPr>
              <w:t>旳</w:t>
            </w:r>
            <w:r>
              <w:rPr>
                <w:rFonts w:hint="eastAsia" w:ascii="仿宋_GB2312" w:eastAsia="仿宋_GB2312"/>
                <w:szCs w:val="21"/>
              </w:rPr>
              <w:t>实施细则》数量（家）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规模以上工业企业R&amp;D经费支出占比率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大中型企业建立技术研发机构增加占比（%）</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制造业质量竞争力指数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主营业务收入超百亿元企业个数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大智移云产业及电子信息产业调研及统计次数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通过委托贷款等方式支持全区重点工业企业技术改造项目使用率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方正书宋_GBK"/>
                <w:szCs w:val="21"/>
              </w:rPr>
              <w:t>﹤</w:t>
            </w:r>
            <w:r>
              <w:rPr>
                <w:rFonts w:hint="eastAsia" w:ascii="仿宋_GB2312" w:eastAsia="仿宋_GB2312"/>
                <w:szCs w:val="21"/>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制造业增加值增长率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数字化研发设计工具普及率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智能工厂（车间）数量（个）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引进大智移云企业数（家）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完成淘汰化解过剩（落后）产能任务率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2、工业和信息化对外交流与合作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开展对外经济交流与合作，支持企业“走出去”，指导和推动工业企业参加展洽活动，积极开拓国内、国外市场，促进贸易成交和技术交流，追踪前沿动态。推进京津冀工业和信息化协同发展。</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促进工业企业开展对外经济交流与合作，提升工业对外开放水平</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意向成交额增长率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展洽会次数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企业参加展洽数量（家）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五、开展医药储备工作</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负责全市医药储备工作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切实完成医药储备任务</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1、协调医药储备</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协调相关医药流通企业落实医药储备任务。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落实医药储备任务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医药储备任务完成率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抽查企业数量（家）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抽查覆盖率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六、推进军民融合发展</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执行有关国防科技工业的方针政策，对本辖区军工企业事业单位和民口军品配套企业进行监管、服务，负责本辖区军品科研生产计划的督促检查，负责本辖区民用爆破器材企业生产、销售、存贮环节的监督管理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提升军民融合发展水平，提高行业监管和服务水平。</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1、推进军民融合发展</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宣传有关国防科技工业的方针政策，加强与军工集团和科研院所的对接交流与合作，组织本辖区企业军品科研生产计划的督促检查，鼓励发展军民融合型企业，加强军民融合产业园区和示范基地建设，对辖区民爆企业生产组织监督检查。</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提升军民融合发展水平，扩大军民融合企业规模和数量</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军民融合企业数量、军民结合服务平台建设、军民融合示范基地数量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申报企业数量（家）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抽查企业次数（次）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9"/>
        <w:tblW w:w="13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3"/>
        <w:gridCol w:w="998"/>
        <w:gridCol w:w="880"/>
        <w:gridCol w:w="1295"/>
        <w:gridCol w:w="679"/>
        <w:gridCol w:w="699"/>
        <w:gridCol w:w="897"/>
        <w:gridCol w:w="902"/>
        <w:gridCol w:w="902"/>
        <w:gridCol w:w="902"/>
        <w:gridCol w:w="745"/>
        <w:gridCol w:w="872"/>
        <w:gridCol w:w="877"/>
        <w:gridCol w:w="8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721"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740</w:t>
            </w:r>
            <w:r>
              <w:rPr>
                <w:rFonts w:hint="eastAsia" w:ascii="Times New Roman" w:hAnsi="Times New Roman" w:eastAsia="仿宋_GB2312" w:cs="Times New Roman"/>
                <w:b/>
              </w:rPr>
              <w:t>廊坊市广阳区工业和信息化局</w:t>
            </w:r>
          </w:p>
        </w:tc>
        <w:tc>
          <w:tcPr>
            <w:tcW w:w="6031"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71" w:type="dxa"/>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88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1295"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679"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699"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897"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6031" w:type="dxa"/>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3"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998"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88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295"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679"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699"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897"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0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4298" w:type="dxa"/>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831"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3"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98"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88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295"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679"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699"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897"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0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74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87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87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831"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998"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left"/>
              <w:rPr>
                <w:rFonts w:ascii="Times New Roman" w:hAnsi="Times New Roman" w:eastAsia="仿宋_GB2312" w:cs="Times New Roman"/>
                <w:b/>
              </w:rPr>
            </w:pPr>
          </w:p>
        </w:tc>
        <w:tc>
          <w:tcPr>
            <w:tcW w:w="1295" w:type="dxa"/>
            <w:shd w:val="clear" w:color="auto" w:fill="auto"/>
            <w:vAlign w:val="center"/>
          </w:tcPr>
          <w:p>
            <w:pPr>
              <w:spacing w:line="584" w:lineRule="exact"/>
              <w:jc w:val="left"/>
              <w:rPr>
                <w:rFonts w:ascii="Times New Roman" w:hAnsi="Times New Roman" w:eastAsia="仿宋_GB2312" w:cs="Times New Roman"/>
                <w:b/>
              </w:rPr>
            </w:pPr>
          </w:p>
        </w:tc>
        <w:tc>
          <w:tcPr>
            <w:tcW w:w="679" w:type="dxa"/>
            <w:shd w:val="clear" w:color="auto" w:fill="auto"/>
            <w:vAlign w:val="center"/>
          </w:tcPr>
          <w:p>
            <w:pPr>
              <w:spacing w:line="584" w:lineRule="exact"/>
              <w:jc w:val="left"/>
              <w:rPr>
                <w:rFonts w:ascii="Times New Roman" w:hAnsi="Times New Roman" w:eastAsia="仿宋_GB2312" w:cs="Times New Roman"/>
                <w:b/>
              </w:rPr>
            </w:pPr>
          </w:p>
        </w:tc>
        <w:tc>
          <w:tcPr>
            <w:tcW w:w="699" w:type="dxa"/>
            <w:shd w:val="clear" w:color="auto" w:fill="auto"/>
            <w:vAlign w:val="center"/>
          </w:tcPr>
          <w:p>
            <w:pPr>
              <w:spacing w:line="584" w:lineRule="exact"/>
              <w:jc w:val="right"/>
              <w:rPr>
                <w:rFonts w:ascii="Times New Roman" w:hAnsi="Times New Roman" w:eastAsia="仿宋_GB2312" w:cs="Times New Roman"/>
                <w:b/>
              </w:rPr>
            </w:pPr>
          </w:p>
        </w:tc>
        <w:tc>
          <w:tcPr>
            <w:tcW w:w="897" w:type="dxa"/>
            <w:shd w:val="clear" w:color="auto" w:fill="auto"/>
            <w:vAlign w:val="center"/>
          </w:tcPr>
          <w:p>
            <w:pPr>
              <w:spacing w:line="584" w:lineRule="exact"/>
              <w:jc w:val="right"/>
              <w:rPr>
                <w:rFonts w:ascii="Times New Roman" w:hAnsi="Times New Roman" w:eastAsia="仿宋_GB2312" w:cs="Times New Roman"/>
                <w:b/>
              </w:rPr>
            </w:pPr>
          </w:p>
        </w:tc>
        <w:tc>
          <w:tcPr>
            <w:tcW w:w="902" w:type="dxa"/>
            <w:shd w:val="clear" w:color="auto" w:fill="auto"/>
            <w:vAlign w:val="center"/>
          </w:tcPr>
          <w:p>
            <w:pPr>
              <w:spacing w:line="584" w:lineRule="exact"/>
              <w:jc w:val="right"/>
              <w:rPr>
                <w:rFonts w:ascii="Times New Roman" w:hAnsi="Times New Roman" w:eastAsia="仿宋_GB2312" w:cs="Times New Roman"/>
                <w:b/>
              </w:rPr>
            </w:pPr>
          </w:p>
        </w:tc>
        <w:tc>
          <w:tcPr>
            <w:tcW w:w="902" w:type="dxa"/>
            <w:shd w:val="clear" w:color="auto" w:fill="auto"/>
            <w:vAlign w:val="center"/>
          </w:tcPr>
          <w:p>
            <w:pPr>
              <w:spacing w:line="584" w:lineRule="exact"/>
              <w:jc w:val="right"/>
              <w:rPr>
                <w:rFonts w:ascii="Times New Roman" w:hAnsi="Times New Roman" w:eastAsia="仿宋_GB2312" w:cs="Times New Roman"/>
                <w:b/>
              </w:rPr>
            </w:pPr>
          </w:p>
        </w:tc>
        <w:tc>
          <w:tcPr>
            <w:tcW w:w="902" w:type="dxa"/>
            <w:shd w:val="clear" w:color="auto" w:fill="auto"/>
            <w:vAlign w:val="center"/>
          </w:tcPr>
          <w:p>
            <w:pPr>
              <w:spacing w:line="584" w:lineRule="exact"/>
              <w:jc w:val="right"/>
              <w:rPr>
                <w:rFonts w:ascii="Times New Roman" w:hAnsi="Times New Roman" w:eastAsia="仿宋_GB2312" w:cs="Times New Roman"/>
                <w:b/>
              </w:rPr>
            </w:pPr>
          </w:p>
        </w:tc>
        <w:tc>
          <w:tcPr>
            <w:tcW w:w="745" w:type="dxa"/>
            <w:shd w:val="clear" w:color="auto" w:fill="auto"/>
            <w:vAlign w:val="center"/>
          </w:tcPr>
          <w:p>
            <w:pPr>
              <w:spacing w:line="584" w:lineRule="exact"/>
              <w:jc w:val="right"/>
              <w:rPr>
                <w:rFonts w:ascii="Times New Roman" w:hAnsi="Times New Roman" w:eastAsia="仿宋_GB2312" w:cs="Times New Roman"/>
                <w:b/>
              </w:rPr>
            </w:pPr>
          </w:p>
        </w:tc>
        <w:tc>
          <w:tcPr>
            <w:tcW w:w="872" w:type="dxa"/>
            <w:shd w:val="clear" w:color="auto" w:fill="auto"/>
            <w:vAlign w:val="center"/>
          </w:tcPr>
          <w:p>
            <w:pPr>
              <w:spacing w:line="584" w:lineRule="exact"/>
              <w:jc w:val="right"/>
              <w:rPr>
                <w:rFonts w:ascii="Times New Roman" w:hAnsi="Times New Roman" w:eastAsia="仿宋_GB2312" w:cs="Times New Roman"/>
                <w:b/>
              </w:rPr>
            </w:pPr>
          </w:p>
        </w:tc>
        <w:tc>
          <w:tcPr>
            <w:tcW w:w="877" w:type="dxa"/>
            <w:shd w:val="clear" w:color="auto" w:fill="auto"/>
            <w:vAlign w:val="center"/>
          </w:tcPr>
          <w:p>
            <w:pPr>
              <w:spacing w:line="584" w:lineRule="exact"/>
              <w:jc w:val="right"/>
              <w:rPr>
                <w:rFonts w:ascii="Times New Roman" w:hAnsi="Times New Roman" w:eastAsia="仿宋_GB2312" w:cs="Times New Roman"/>
                <w:b/>
              </w:rPr>
            </w:pPr>
          </w:p>
        </w:tc>
        <w:tc>
          <w:tcPr>
            <w:tcW w:w="831"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3" w:type="dxa"/>
            <w:shd w:val="clear" w:color="auto" w:fill="auto"/>
            <w:vAlign w:val="center"/>
          </w:tcPr>
          <w:p>
            <w:pPr>
              <w:spacing w:line="584" w:lineRule="exact"/>
              <w:jc w:val="center"/>
              <w:rPr>
                <w:rFonts w:ascii="Times New Roman" w:hAnsi="Times New Roman" w:eastAsia="仿宋_GB2312" w:cs="Times New Roman"/>
                <w:b/>
              </w:rPr>
            </w:pPr>
          </w:p>
        </w:tc>
        <w:tc>
          <w:tcPr>
            <w:tcW w:w="998"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left"/>
              <w:rPr>
                <w:rFonts w:ascii="Times New Roman" w:hAnsi="Times New Roman" w:eastAsia="仿宋_GB2312" w:cs="Times New Roman"/>
                <w:b/>
              </w:rPr>
            </w:pPr>
          </w:p>
        </w:tc>
        <w:tc>
          <w:tcPr>
            <w:tcW w:w="1295" w:type="dxa"/>
            <w:shd w:val="clear" w:color="auto" w:fill="auto"/>
            <w:vAlign w:val="center"/>
          </w:tcPr>
          <w:p>
            <w:pPr>
              <w:spacing w:line="584" w:lineRule="exact"/>
              <w:jc w:val="left"/>
              <w:rPr>
                <w:rFonts w:ascii="Times New Roman" w:hAnsi="Times New Roman" w:eastAsia="仿宋_GB2312" w:cs="Times New Roman"/>
                <w:b/>
              </w:rPr>
            </w:pPr>
          </w:p>
        </w:tc>
        <w:tc>
          <w:tcPr>
            <w:tcW w:w="679" w:type="dxa"/>
            <w:shd w:val="clear" w:color="auto" w:fill="auto"/>
            <w:vAlign w:val="center"/>
          </w:tcPr>
          <w:p>
            <w:pPr>
              <w:spacing w:line="584" w:lineRule="exact"/>
              <w:jc w:val="left"/>
              <w:rPr>
                <w:rFonts w:ascii="Times New Roman" w:hAnsi="Times New Roman" w:eastAsia="仿宋_GB2312" w:cs="Times New Roman"/>
                <w:b/>
              </w:rPr>
            </w:pPr>
          </w:p>
        </w:tc>
        <w:tc>
          <w:tcPr>
            <w:tcW w:w="699" w:type="dxa"/>
            <w:shd w:val="clear" w:color="auto" w:fill="auto"/>
            <w:vAlign w:val="center"/>
          </w:tcPr>
          <w:p>
            <w:pPr>
              <w:spacing w:line="584" w:lineRule="exact"/>
              <w:jc w:val="right"/>
              <w:rPr>
                <w:rFonts w:ascii="Times New Roman" w:hAnsi="Times New Roman" w:eastAsia="仿宋_GB2312" w:cs="Times New Roman"/>
                <w:b/>
              </w:rPr>
            </w:pPr>
          </w:p>
        </w:tc>
        <w:tc>
          <w:tcPr>
            <w:tcW w:w="897" w:type="dxa"/>
            <w:shd w:val="clear" w:color="auto" w:fill="auto"/>
            <w:vAlign w:val="center"/>
          </w:tcPr>
          <w:p>
            <w:pPr>
              <w:spacing w:line="584" w:lineRule="exact"/>
              <w:jc w:val="right"/>
              <w:rPr>
                <w:rFonts w:ascii="Times New Roman" w:hAnsi="Times New Roman" w:eastAsia="仿宋_GB2312" w:cs="Times New Roman"/>
                <w:b/>
              </w:rPr>
            </w:pPr>
          </w:p>
        </w:tc>
        <w:tc>
          <w:tcPr>
            <w:tcW w:w="902" w:type="dxa"/>
            <w:shd w:val="clear" w:color="auto" w:fill="auto"/>
            <w:vAlign w:val="center"/>
          </w:tcPr>
          <w:p>
            <w:pPr>
              <w:spacing w:line="584" w:lineRule="exact"/>
              <w:jc w:val="right"/>
              <w:rPr>
                <w:rFonts w:ascii="Times New Roman" w:hAnsi="Times New Roman" w:eastAsia="仿宋_GB2312" w:cs="Times New Roman"/>
                <w:b/>
              </w:rPr>
            </w:pPr>
          </w:p>
        </w:tc>
        <w:tc>
          <w:tcPr>
            <w:tcW w:w="902" w:type="dxa"/>
            <w:shd w:val="clear" w:color="auto" w:fill="auto"/>
            <w:vAlign w:val="center"/>
          </w:tcPr>
          <w:p>
            <w:pPr>
              <w:spacing w:line="584" w:lineRule="exact"/>
              <w:jc w:val="right"/>
              <w:rPr>
                <w:rFonts w:ascii="Times New Roman" w:hAnsi="Times New Roman" w:eastAsia="仿宋_GB2312" w:cs="Times New Roman"/>
                <w:b/>
              </w:rPr>
            </w:pPr>
          </w:p>
        </w:tc>
        <w:tc>
          <w:tcPr>
            <w:tcW w:w="902" w:type="dxa"/>
            <w:shd w:val="clear" w:color="auto" w:fill="auto"/>
            <w:vAlign w:val="center"/>
          </w:tcPr>
          <w:p>
            <w:pPr>
              <w:spacing w:line="584" w:lineRule="exact"/>
              <w:jc w:val="right"/>
              <w:rPr>
                <w:rFonts w:ascii="Times New Roman" w:hAnsi="Times New Roman" w:eastAsia="仿宋_GB2312" w:cs="Times New Roman"/>
                <w:b/>
              </w:rPr>
            </w:pPr>
          </w:p>
        </w:tc>
        <w:tc>
          <w:tcPr>
            <w:tcW w:w="745" w:type="dxa"/>
            <w:shd w:val="clear" w:color="auto" w:fill="auto"/>
            <w:vAlign w:val="center"/>
          </w:tcPr>
          <w:p>
            <w:pPr>
              <w:spacing w:line="584" w:lineRule="exact"/>
              <w:jc w:val="right"/>
              <w:rPr>
                <w:rFonts w:ascii="Times New Roman" w:hAnsi="Times New Roman" w:eastAsia="仿宋_GB2312" w:cs="Times New Roman"/>
                <w:b/>
              </w:rPr>
            </w:pPr>
          </w:p>
        </w:tc>
        <w:tc>
          <w:tcPr>
            <w:tcW w:w="872" w:type="dxa"/>
            <w:shd w:val="clear" w:color="auto" w:fill="auto"/>
            <w:vAlign w:val="center"/>
          </w:tcPr>
          <w:p>
            <w:pPr>
              <w:spacing w:line="584" w:lineRule="exact"/>
              <w:jc w:val="right"/>
              <w:rPr>
                <w:rFonts w:ascii="Times New Roman" w:hAnsi="Times New Roman" w:eastAsia="仿宋_GB2312" w:cs="Times New Roman"/>
                <w:b/>
              </w:rPr>
            </w:pPr>
          </w:p>
        </w:tc>
        <w:tc>
          <w:tcPr>
            <w:tcW w:w="877" w:type="dxa"/>
            <w:shd w:val="clear" w:color="auto" w:fill="auto"/>
            <w:vAlign w:val="center"/>
          </w:tcPr>
          <w:p>
            <w:pPr>
              <w:spacing w:line="584" w:lineRule="exact"/>
              <w:jc w:val="right"/>
              <w:rPr>
                <w:rFonts w:ascii="Times New Roman" w:hAnsi="Times New Roman" w:eastAsia="仿宋_GB2312" w:cs="Times New Roman"/>
                <w:b/>
              </w:rPr>
            </w:pPr>
          </w:p>
        </w:tc>
        <w:tc>
          <w:tcPr>
            <w:tcW w:w="831"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3" w:type="dxa"/>
            <w:shd w:val="clear" w:color="auto" w:fill="auto"/>
            <w:vAlign w:val="center"/>
          </w:tcPr>
          <w:p>
            <w:pPr>
              <w:spacing w:line="584" w:lineRule="exact"/>
              <w:jc w:val="left"/>
              <w:rPr>
                <w:rFonts w:ascii="Times New Roman" w:hAnsi="Times New Roman" w:eastAsia="仿宋_GB2312" w:cs="Times New Roman"/>
              </w:rPr>
            </w:pPr>
          </w:p>
        </w:tc>
        <w:tc>
          <w:tcPr>
            <w:tcW w:w="998"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left"/>
              <w:rPr>
                <w:rFonts w:ascii="Times New Roman" w:hAnsi="Times New Roman" w:eastAsia="仿宋_GB2312" w:cs="Times New Roman"/>
              </w:rPr>
            </w:pPr>
          </w:p>
        </w:tc>
        <w:tc>
          <w:tcPr>
            <w:tcW w:w="1295" w:type="dxa"/>
            <w:shd w:val="clear" w:color="auto" w:fill="auto"/>
            <w:vAlign w:val="center"/>
          </w:tcPr>
          <w:p>
            <w:pPr>
              <w:spacing w:line="584" w:lineRule="exact"/>
              <w:jc w:val="left"/>
              <w:rPr>
                <w:rFonts w:ascii="Times New Roman" w:hAnsi="Times New Roman" w:eastAsia="仿宋_GB2312" w:cs="Times New Roman"/>
              </w:rPr>
            </w:pPr>
          </w:p>
        </w:tc>
        <w:tc>
          <w:tcPr>
            <w:tcW w:w="679" w:type="dxa"/>
            <w:shd w:val="clear" w:color="auto" w:fill="auto"/>
            <w:vAlign w:val="center"/>
          </w:tcPr>
          <w:p>
            <w:pPr>
              <w:spacing w:line="584" w:lineRule="exact"/>
              <w:jc w:val="left"/>
              <w:rPr>
                <w:rFonts w:ascii="Times New Roman" w:hAnsi="Times New Roman" w:eastAsia="仿宋_GB2312" w:cs="Times New Roman"/>
              </w:rPr>
            </w:pPr>
          </w:p>
        </w:tc>
        <w:tc>
          <w:tcPr>
            <w:tcW w:w="699" w:type="dxa"/>
            <w:shd w:val="clear" w:color="auto" w:fill="auto"/>
            <w:vAlign w:val="center"/>
          </w:tcPr>
          <w:p>
            <w:pPr>
              <w:spacing w:line="584" w:lineRule="exact"/>
              <w:jc w:val="right"/>
              <w:rPr>
                <w:rFonts w:ascii="Times New Roman" w:hAnsi="Times New Roman" w:eastAsia="仿宋_GB2312" w:cs="Times New Roman"/>
              </w:rPr>
            </w:pPr>
          </w:p>
        </w:tc>
        <w:tc>
          <w:tcPr>
            <w:tcW w:w="897" w:type="dxa"/>
            <w:shd w:val="clear" w:color="auto" w:fill="auto"/>
            <w:vAlign w:val="center"/>
          </w:tcPr>
          <w:p>
            <w:pPr>
              <w:spacing w:line="584" w:lineRule="exact"/>
              <w:jc w:val="right"/>
              <w:rPr>
                <w:rFonts w:ascii="Times New Roman" w:hAnsi="Times New Roman" w:eastAsia="仿宋_GB2312" w:cs="Times New Roman"/>
              </w:rPr>
            </w:pPr>
          </w:p>
        </w:tc>
        <w:tc>
          <w:tcPr>
            <w:tcW w:w="902" w:type="dxa"/>
            <w:shd w:val="clear" w:color="auto" w:fill="auto"/>
            <w:vAlign w:val="center"/>
          </w:tcPr>
          <w:p>
            <w:pPr>
              <w:spacing w:line="584" w:lineRule="exact"/>
              <w:jc w:val="right"/>
              <w:rPr>
                <w:rFonts w:ascii="Times New Roman" w:hAnsi="Times New Roman" w:eastAsia="仿宋_GB2312" w:cs="Times New Roman"/>
              </w:rPr>
            </w:pPr>
          </w:p>
        </w:tc>
        <w:tc>
          <w:tcPr>
            <w:tcW w:w="902" w:type="dxa"/>
            <w:shd w:val="clear" w:color="auto" w:fill="auto"/>
            <w:vAlign w:val="center"/>
          </w:tcPr>
          <w:p>
            <w:pPr>
              <w:spacing w:line="584" w:lineRule="exact"/>
              <w:jc w:val="right"/>
              <w:rPr>
                <w:rFonts w:ascii="Times New Roman" w:hAnsi="Times New Roman" w:eastAsia="仿宋_GB2312" w:cs="Times New Roman"/>
              </w:rPr>
            </w:pPr>
          </w:p>
        </w:tc>
        <w:tc>
          <w:tcPr>
            <w:tcW w:w="902" w:type="dxa"/>
            <w:shd w:val="clear" w:color="auto" w:fill="auto"/>
            <w:vAlign w:val="center"/>
          </w:tcPr>
          <w:p>
            <w:pPr>
              <w:spacing w:line="584" w:lineRule="exact"/>
              <w:jc w:val="right"/>
              <w:rPr>
                <w:rFonts w:ascii="Times New Roman" w:hAnsi="Times New Roman" w:eastAsia="仿宋_GB2312" w:cs="Times New Roman"/>
              </w:rPr>
            </w:pPr>
          </w:p>
        </w:tc>
        <w:tc>
          <w:tcPr>
            <w:tcW w:w="745" w:type="dxa"/>
            <w:shd w:val="clear" w:color="auto" w:fill="auto"/>
            <w:vAlign w:val="center"/>
          </w:tcPr>
          <w:p>
            <w:pPr>
              <w:spacing w:line="584" w:lineRule="exact"/>
              <w:jc w:val="right"/>
              <w:rPr>
                <w:rFonts w:ascii="Times New Roman" w:hAnsi="Times New Roman" w:eastAsia="仿宋_GB2312" w:cs="Times New Roman"/>
              </w:rPr>
            </w:pPr>
          </w:p>
        </w:tc>
        <w:tc>
          <w:tcPr>
            <w:tcW w:w="872" w:type="dxa"/>
            <w:shd w:val="clear" w:color="auto" w:fill="auto"/>
            <w:vAlign w:val="center"/>
          </w:tcPr>
          <w:p>
            <w:pPr>
              <w:spacing w:line="584" w:lineRule="exact"/>
              <w:jc w:val="right"/>
              <w:rPr>
                <w:rFonts w:ascii="Times New Roman" w:hAnsi="Times New Roman" w:eastAsia="仿宋_GB2312" w:cs="Times New Roman"/>
              </w:rPr>
            </w:pPr>
          </w:p>
        </w:tc>
        <w:tc>
          <w:tcPr>
            <w:tcW w:w="877" w:type="dxa"/>
            <w:shd w:val="clear" w:color="auto" w:fill="auto"/>
            <w:vAlign w:val="center"/>
          </w:tcPr>
          <w:p>
            <w:pPr>
              <w:spacing w:line="584" w:lineRule="exact"/>
              <w:jc w:val="right"/>
              <w:rPr>
                <w:rFonts w:ascii="Times New Roman" w:hAnsi="Times New Roman" w:eastAsia="仿宋_GB2312" w:cs="Times New Roman"/>
              </w:rPr>
            </w:pPr>
          </w:p>
        </w:tc>
        <w:tc>
          <w:tcPr>
            <w:tcW w:w="831"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3" w:type="dxa"/>
            <w:shd w:val="clear" w:color="auto" w:fill="auto"/>
            <w:vAlign w:val="center"/>
          </w:tcPr>
          <w:p>
            <w:pPr>
              <w:spacing w:line="584" w:lineRule="exact"/>
              <w:jc w:val="left"/>
              <w:rPr>
                <w:rFonts w:ascii="Times New Roman" w:hAnsi="Times New Roman" w:eastAsia="仿宋_GB2312" w:cs="Times New Roman"/>
              </w:rPr>
            </w:pPr>
          </w:p>
        </w:tc>
        <w:tc>
          <w:tcPr>
            <w:tcW w:w="998"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left"/>
              <w:rPr>
                <w:rFonts w:ascii="Times New Roman" w:hAnsi="Times New Roman" w:eastAsia="仿宋_GB2312" w:cs="Times New Roman"/>
              </w:rPr>
            </w:pPr>
          </w:p>
        </w:tc>
        <w:tc>
          <w:tcPr>
            <w:tcW w:w="1295" w:type="dxa"/>
            <w:shd w:val="clear" w:color="auto" w:fill="auto"/>
            <w:vAlign w:val="center"/>
          </w:tcPr>
          <w:p>
            <w:pPr>
              <w:spacing w:line="584" w:lineRule="exact"/>
              <w:jc w:val="left"/>
              <w:rPr>
                <w:rFonts w:ascii="Times New Roman" w:hAnsi="Times New Roman" w:eastAsia="仿宋_GB2312" w:cs="Times New Roman"/>
              </w:rPr>
            </w:pPr>
          </w:p>
        </w:tc>
        <w:tc>
          <w:tcPr>
            <w:tcW w:w="679" w:type="dxa"/>
            <w:shd w:val="clear" w:color="auto" w:fill="auto"/>
            <w:vAlign w:val="center"/>
          </w:tcPr>
          <w:p>
            <w:pPr>
              <w:spacing w:line="584" w:lineRule="exact"/>
              <w:jc w:val="left"/>
              <w:rPr>
                <w:rFonts w:ascii="Times New Roman" w:hAnsi="Times New Roman" w:eastAsia="仿宋_GB2312" w:cs="Times New Roman"/>
              </w:rPr>
            </w:pPr>
          </w:p>
        </w:tc>
        <w:tc>
          <w:tcPr>
            <w:tcW w:w="699" w:type="dxa"/>
            <w:shd w:val="clear" w:color="auto" w:fill="auto"/>
            <w:vAlign w:val="center"/>
          </w:tcPr>
          <w:p>
            <w:pPr>
              <w:spacing w:line="584" w:lineRule="exact"/>
              <w:jc w:val="right"/>
              <w:rPr>
                <w:rFonts w:ascii="Times New Roman" w:hAnsi="Times New Roman" w:eastAsia="仿宋_GB2312" w:cs="Times New Roman"/>
              </w:rPr>
            </w:pPr>
          </w:p>
        </w:tc>
        <w:tc>
          <w:tcPr>
            <w:tcW w:w="897" w:type="dxa"/>
            <w:shd w:val="clear" w:color="auto" w:fill="auto"/>
            <w:vAlign w:val="center"/>
          </w:tcPr>
          <w:p>
            <w:pPr>
              <w:spacing w:line="584" w:lineRule="exact"/>
              <w:jc w:val="right"/>
              <w:rPr>
                <w:rFonts w:ascii="Times New Roman" w:hAnsi="Times New Roman" w:eastAsia="仿宋_GB2312" w:cs="Times New Roman"/>
              </w:rPr>
            </w:pPr>
          </w:p>
        </w:tc>
        <w:tc>
          <w:tcPr>
            <w:tcW w:w="902" w:type="dxa"/>
            <w:shd w:val="clear" w:color="auto" w:fill="auto"/>
            <w:vAlign w:val="center"/>
          </w:tcPr>
          <w:p>
            <w:pPr>
              <w:spacing w:line="584" w:lineRule="exact"/>
              <w:jc w:val="right"/>
              <w:rPr>
                <w:rFonts w:ascii="Times New Roman" w:hAnsi="Times New Roman" w:eastAsia="仿宋_GB2312" w:cs="Times New Roman"/>
              </w:rPr>
            </w:pPr>
          </w:p>
        </w:tc>
        <w:tc>
          <w:tcPr>
            <w:tcW w:w="902" w:type="dxa"/>
            <w:shd w:val="clear" w:color="auto" w:fill="auto"/>
            <w:vAlign w:val="center"/>
          </w:tcPr>
          <w:p>
            <w:pPr>
              <w:spacing w:line="584" w:lineRule="exact"/>
              <w:jc w:val="right"/>
              <w:rPr>
                <w:rFonts w:ascii="Times New Roman" w:hAnsi="Times New Roman" w:eastAsia="仿宋_GB2312" w:cs="Times New Roman"/>
              </w:rPr>
            </w:pPr>
          </w:p>
        </w:tc>
        <w:tc>
          <w:tcPr>
            <w:tcW w:w="902" w:type="dxa"/>
            <w:shd w:val="clear" w:color="auto" w:fill="auto"/>
            <w:vAlign w:val="center"/>
          </w:tcPr>
          <w:p>
            <w:pPr>
              <w:spacing w:line="584" w:lineRule="exact"/>
              <w:jc w:val="right"/>
              <w:rPr>
                <w:rFonts w:ascii="Times New Roman" w:hAnsi="Times New Roman" w:eastAsia="仿宋_GB2312" w:cs="Times New Roman"/>
              </w:rPr>
            </w:pPr>
          </w:p>
        </w:tc>
        <w:tc>
          <w:tcPr>
            <w:tcW w:w="745" w:type="dxa"/>
            <w:shd w:val="clear" w:color="auto" w:fill="auto"/>
            <w:vAlign w:val="center"/>
          </w:tcPr>
          <w:p>
            <w:pPr>
              <w:spacing w:line="584" w:lineRule="exact"/>
              <w:jc w:val="right"/>
              <w:rPr>
                <w:rFonts w:ascii="Times New Roman" w:hAnsi="Times New Roman" w:eastAsia="仿宋_GB2312" w:cs="Times New Roman"/>
              </w:rPr>
            </w:pPr>
          </w:p>
        </w:tc>
        <w:tc>
          <w:tcPr>
            <w:tcW w:w="872" w:type="dxa"/>
            <w:shd w:val="clear" w:color="auto" w:fill="auto"/>
            <w:vAlign w:val="center"/>
          </w:tcPr>
          <w:p>
            <w:pPr>
              <w:spacing w:line="584" w:lineRule="exact"/>
              <w:jc w:val="right"/>
              <w:rPr>
                <w:rFonts w:ascii="Times New Roman" w:hAnsi="Times New Roman" w:eastAsia="仿宋_GB2312" w:cs="Times New Roman"/>
              </w:rPr>
            </w:pPr>
          </w:p>
        </w:tc>
        <w:tc>
          <w:tcPr>
            <w:tcW w:w="877" w:type="dxa"/>
            <w:shd w:val="clear" w:color="auto" w:fill="auto"/>
            <w:vAlign w:val="center"/>
          </w:tcPr>
          <w:p>
            <w:pPr>
              <w:spacing w:line="584" w:lineRule="exact"/>
              <w:jc w:val="right"/>
              <w:rPr>
                <w:rFonts w:ascii="Times New Roman" w:hAnsi="Times New Roman" w:eastAsia="仿宋_GB2312" w:cs="Times New Roman"/>
              </w:rPr>
            </w:pPr>
          </w:p>
        </w:tc>
        <w:tc>
          <w:tcPr>
            <w:tcW w:w="831" w:type="dxa"/>
            <w:shd w:val="clear" w:color="auto" w:fill="auto"/>
            <w:vAlign w:val="center"/>
          </w:tcPr>
          <w:p>
            <w:pPr>
              <w:spacing w:line="584" w:lineRule="exact"/>
              <w:jc w:val="right"/>
              <w:rPr>
                <w:rFonts w:ascii="Times New Roman" w:hAnsi="Times New Roman" w:eastAsia="仿宋_GB2312" w:cs="Times New Roman"/>
              </w:rPr>
            </w:pPr>
          </w:p>
        </w:tc>
      </w:tr>
      <w:bookmarkEnd w:id="2"/>
    </w:tbl>
    <w:p>
      <w:pPr>
        <w:spacing w:line="584" w:lineRule="exact"/>
        <w:ind w:firstLine="640" w:firstLineChars="200"/>
        <w:outlineLvl w:val="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廊坊市广阳区工业和信息化局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194.54</w:t>
      </w:r>
      <w:r>
        <w:rPr>
          <w:rFonts w:ascii="Times New Roman" w:hAnsi="Times New Roman" w:eastAsia="仿宋_GB2312" w:cs="Times New Roman"/>
          <w:sz w:val="32"/>
          <w:szCs w:val="32"/>
        </w:rPr>
        <w:t>万元，本年度我部门无拟购置固定资产。详见下表。</w:t>
      </w: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740</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广阳区工业经济运行局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165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194.54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164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176.54</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4"/>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2187"/>
    <w:rsid w:val="00075D5F"/>
    <w:rsid w:val="0008180F"/>
    <w:rsid w:val="00093DA3"/>
    <w:rsid w:val="000B529B"/>
    <w:rsid w:val="000C24E6"/>
    <w:rsid w:val="000C3A19"/>
    <w:rsid w:val="000E4305"/>
    <w:rsid w:val="000F0D09"/>
    <w:rsid w:val="000F20DF"/>
    <w:rsid w:val="001245BB"/>
    <w:rsid w:val="001251A3"/>
    <w:rsid w:val="0015229A"/>
    <w:rsid w:val="00160266"/>
    <w:rsid w:val="001643E8"/>
    <w:rsid w:val="00176C13"/>
    <w:rsid w:val="001919C4"/>
    <w:rsid w:val="0019723B"/>
    <w:rsid w:val="001A0943"/>
    <w:rsid w:val="001A68FF"/>
    <w:rsid w:val="001B5C1D"/>
    <w:rsid w:val="001C736B"/>
    <w:rsid w:val="001D1AE3"/>
    <w:rsid w:val="001E0757"/>
    <w:rsid w:val="001E6DDC"/>
    <w:rsid w:val="001E70E9"/>
    <w:rsid w:val="001F5C92"/>
    <w:rsid w:val="001F7873"/>
    <w:rsid w:val="00230E48"/>
    <w:rsid w:val="00241FD4"/>
    <w:rsid w:val="00246317"/>
    <w:rsid w:val="00251B12"/>
    <w:rsid w:val="00265318"/>
    <w:rsid w:val="00265F39"/>
    <w:rsid w:val="002761DE"/>
    <w:rsid w:val="002835D7"/>
    <w:rsid w:val="00290FD6"/>
    <w:rsid w:val="00292821"/>
    <w:rsid w:val="00296113"/>
    <w:rsid w:val="002A673A"/>
    <w:rsid w:val="002C3BC5"/>
    <w:rsid w:val="002C5E13"/>
    <w:rsid w:val="002C62BC"/>
    <w:rsid w:val="002E0EB8"/>
    <w:rsid w:val="002F3E58"/>
    <w:rsid w:val="0030542C"/>
    <w:rsid w:val="00311B7A"/>
    <w:rsid w:val="003126B6"/>
    <w:rsid w:val="00313D9C"/>
    <w:rsid w:val="00325215"/>
    <w:rsid w:val="0033339C"/>
    <w:rsid w:val="00335660"/>
    <w:rsid w:val="003B6D37"/>
    <w:rsid w:val="00414BD3"/>
    <w:rsid w:val="00424943"/>
    <w:rsid w:val="0042727E"/>
    <w:rsid w:val="0043175C"/>
    <w:rsid w:val="00437296"/>
    <w:rsid w:val="00451590"/>
    <w:rsid w:val="00451871"/>
    <w:rsid w:val="00462B53"/>
    <w:rsid w:val="004706DE"/>
    <w:rsid w:val="00472923"/>
    <w:rsid w:val="00486DCD"/>
    <w:rsid w:val="0049120C"/>
    <w:rsid w:val="00493862"/>
    <w:rsid w:val="004B0C3A"/>
    <w:rsid w:val="004B49D9"/>
    <w:rsid w:val="004C49A8"/>
    <w:rsid w:val="004C58D3"/>
    <w:rsid w:val="004D2B78"/>
    <w:rsid w:val="004D5788"/>
    <w:rsid w:val="004E3066"/>
    <w:rsid w:val="004E419C"/>
    <w:rsid w:val="004E74CD"/>
    <w:rsid w:val="00524EFD"/>
    <w:rsid w:val="00531612"/>
    <w:rsid w:val="00551859"/>
    <w:rsid w:val="00572067"/>
    <w:rsid w:val="00573562"/>
    <w:rsid w:val="00590ECE"/>
    <w:rsid w:val="005A7ACC"/>
    <w:rsid w:val="005C0E90"/>
    <w:rsid w:val="005D0C27"/>
    <w:rsid w:val="005D37CA"/>
    <w:rsid w:val="005F44EC"/>
    <w:rsid w:val="005F5714"/>
    <w:rsid w:val="005F7AE1"/>
    <w:rsid w:val="00611D03"/>
    <w:rsid w:val="00613894"/>
    <w:rsid w:val="00614A29"/>
    <w:rsid w:val="00651BA2"/>
    <w:rsid w:val="006538D5"/>
    <w:rsid w:val="00654FB9"/>
    <w:rsid w:val="00673D76"/>
    <w:rsid w:val="006854F0"/>
    <w:rsid w:val="006B1C4A"/>
    <w:rsid w:val="006B610D"/>
    <w:rsid w:val="006C206A"/>
    <w:rsid w:val="006E49F5"/>
    <w:rsid w:val="006F5008"/>
    <w:rsid w:val="007013C8"/>
    <w:rsid w:val="00727C84"/>
    <w:rsid w:val="00735922"/>
    <w:rsid w:val="0074338E"/>
    <w:rsid w:val="00753836"/>
    <w:rsid w:val="0075393C"/>
    <w:rsid w:val="00754592"/>
    <w:rsid w:val="00776C08"/>
    <w:rsid w:val="00782A24"/>
    <w:rsid w:val="00790ABF"/>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4E7E"/>
    <w:rsid w:val="008A6576"/>
    <w:rsid w:val="008B3CC5"/>
    <w:rsid w:val="008B52CD"/>
    <w:rsid w:val="008C7C4D"/>
    <w:rsid w:val="008E4261"/>
    <w:rsid w:val="008E70D4"/>
    <w:rsid w:val="008F4662"/>
    <w:rsid w:val="0090563F"/>
    <w:rsid w:val="00905D08"/>
    <w:rsid w:val="00925333"/>
    <w:rsid w:val="00925753"/>
    <w:rsid w:val="009269CA"/>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2B48"/>
    <w:rsid w:val="009D37D3"/>
    <w:rsid w:val="009D3807"/>
    <w:rsid w:val="00A16E6C"/>
    <w:rsid w:val="00A40F60"/>
    <w:rsid w:val="00A44E3D"/>
    <w:rsid w:val="00A72D2E"/>
    <w:rsid w:val="00A74447"/>
    <w:rsid w:val="00A74CE5"/>
    <w:rsid w:val="00A77500"/>
    <w:rsid w:val="00A8536F"/>
    <w:rsid w:val="00A86AD9"/>
    <w:rsid w:val="00A911E7"/>
    <w:rsid w:val="00A939D9"/>
    <w:rsid w:val="00AB77AA"/>
    <w:rsid w:val="00AC0E98"/>
    <w:rsid w:val="00AC4748"/>
    <w:rsid w:val="00AD5259"/>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A7363"/>
    <w:rsid w:val="00BD09F8"/>
    <w:rsid w:val="00BE356A"/>
    <w:rsid w:val="00C005B2"/>
    <w:rsid w:val="00C1565C"/>
    <w:rsid w:val="00C21E0F"/>
    <w:rsid w:val="00C362CA"/>
    <w:rsid w:val="00C37A99"/>
    <w:rsid w:val="00C772C1"/>
    <w:rsid w:val="00C93D22"/>
    <w:rsid w:val="00C97867"/>
    <w:rsid w:val="00CA7176"/>
    <w:rsid w:val="00CB51D7"/>
    <w:rsid w:val="00CC6364"/>
    <w:rsid w:val="00CC75B0"/>
    <w:rsid w:val="00CD2773"/>
    <w:rsid w:val="00CE01BA"/>
    <w:rsid w:val="00CE143B"/>
    <w:rsid w:val="00CE3A91"/>
    <w:rsid w:val="00CE7953"/>
    <w:rsid w:val="00D07DBA"/>
    <w:rsid w:val="00D23C16"/>
    <w:rsid w:val="00D27003"/>
    <w:rsid w:val="00D324AD"/>
    <w:rsid w:val="00D45DA6"/>
    <w:rsid w:val="00D7048C"/>
    <w:rsid w:val="00D84614"/>
    <w:rsid w:val="00D9307A"/>
    <w:rsid w:val="00DB4322"/>
    <w:rsid w:val="00DD1D0C"/>
    <w:rsid w:val="00DE186D"/>
    <w:rsid w:val="00E167C7"/>
    <w:rsid w:val="00E23735"/>
    <w:rsid w:val="00E440CF"/>
    <w:rsid w:val="00E55B78"/>
    <w:rsid w:val="00E76361"/>
    <w:rsid w:val="00E84020"/>
    <w:rsid w:val="00EB7A80"/>
    <w:rsid w:val="00EC47F6"/>
    <w:rsid w:val="00EE6D6D"/>
    <w:rsid w:val="00EF08C9"/>
    <w:rsid w:val="00EF535E"/>
    <w:rsid w:val="00F15CF0"/>
    <w:rsid w:val="00F471F7"/>
    <w:rsid w:val="00F66032"/>
    <w:rsid w:val="00F7191D"/>
    <w:rsid w:val="00F83B96"/>
    <w:rsid w:val="00F8441D"/>
    <w:rsid w:val="00F87C1E"/>
    <w:rsid w:val="00F958C2"/>
    <w:rsid w:val="00FA740E"/>
    <w:rsid w:val="00FC06C7"/>
    <w:rsid w:val="00FD5DB4"/>
    <w:rsid w:val="00FE1724"/>
    <w:rsid w:val="00FE753C"/>
    <w:rsid w:val="00FF2346"/>
    <w:rsid w:val="00FF775B"/>
    <w:rsid w:val="1C7D7E1F"/>
    <w:rsid w:val="33F169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7"/>
    <w:qFormat/>
    <w:uiPriority w:val="0"/>
    <w:pPr>
      <w:spacing w:before="100" w:beforeAutospacing="1" w:after="100" w:afterAutospacing="1"/>
      <w:outlineLvl w:val="0"/>
    </w:pPr>
    <w:rPr>
      <w:rFonts w:ascii="宋体" w:hAnsi="Times New Roman" w:eastAsia="宋体" w:cs="宋体"/>
      <w:b/>
      <w:bCs/>
      <w:kern w:val="36"/>
      <w:sz w:val="48"/>
      <w:szCs w:val="48"/>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toc 1"/>
    <w:basedOn w:val="1"/>
    <w:next w:val="1"/>
    <w:qFormat/>
    <w:uiPriority w:val="39"/>
    <w:rPr>
      <w:rFonts w:ascii="Times New Roman" w:hAnsi="Times New Roman" w:eastAsia="宋体" w:cs="Times New Roman"/>
      <w:szCs w:val="24"/>
    </w:rPr>
  </w:style>
  <w:style w:type="paragraph" w:styleId="7">
    <w:name w:val="footnote text"/>
    <w:basedOn w:val="1"/>
    <w:link w:val="16"/>
    <w:semiHidden/>
    <w:unhideWhenUsed/>
    <w:qFormat/>
    <w:uiPriority w:val="99"/>
    <w:pPr>
      <w:snapToGrid w:val="0"/>
      <w:jc w:val="left"/>
    </w:pPr>
    <w:rPr>
      <w:rFonts w:ascii="Calibri" w:hAnsi="Calibri" w:eastAsia="宋体" w:cs="Times New Roman"/>
      <w:sz w:val="18"/>
      <w:szCs w:val="18"/>
    </w:rPr>
  </w:style>
  <w:style w:type="paragraph" w:styleId="8">
    <w:name w:val="toc 2"/>
    <w:basedOn w:val="1"/>
    <w:next w:val="1"/>
    <w:qFormat/>
    <w:uiPriority w:val="39"/>
    <w:pPr>
      <w:ind w:left="420" w:leftChars="200"/>
    </w:pPr>
    <w:rPr>
      <w:rFonts w:ascii="Times New Roman" w:hAnsi="Times New Roman" w:eastAsia="宋体" w:cs="Times New Roman"/>
      <w:szCs w:val="24"/>
    </w:rPr>
  </w:style>
  <w:style w:type="character" w:styleId="11">
    <w:name w:val="footnote reference"/>
    <w:semiHidden/>
    <w:unhideWhenUsed/>
    <w:qFormat/>
    <w:uiPriority w:val="99"/>
    <w:rPr>
      <w:vertAlign w:val="superscript"/>
    </w:rPr>
  </w:style>
  <w:style w:type="character" w:customStyle="1" w:styleId="12">
    <w:name w:val="页眉 Char"/>
    <w:basedOn w:val="10"/>
    <w:link w:val="5"/>
    <w:qFormat/>
    <w:uiPriority w:val="99"/>
    <w:rPr>
      <w:rFonts w:ascii="Times New Roman" w:hAnsi="Times New Roman" w:eastAsia="宋体" w:cs="Times New Roman"/>
      <w:sz w:val="18"/>
      <w:szCs w:val="18"/>
    </w:rPr>
  </w:style>
  <w:style w:type="character" w:customStyle="1" w:styleId="13">
    <w:name w:val="页脚 Char"/>
    <w:basedOn w:val="10"/>
    <w:link w:val="4"/>
    <w:qFormat/>
    <w:uiPriority w:val="99"/>
    <w:rPr>
      <w:rFonts w:ascii="Times New Roman" w:hAnsi="Times New Roman" w:eastAsia="宋体" w:cs="Times New Roman"/>
      <w:sz w:val="18"/>
      <w:szCs w:val="18"/>
    </w:rPr>
  </w:style>
  <w:style w:type="character" w:customStyle="1" w:styleId="14">
    <w:name w:val="批注框文本 Char"/>
    <w:basedOn w:val="10"/>
    <w:link w:val="3"/>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6">
    <w:name w:val="脚注文本 Char"/>
    <w:basedOn w:val="10"/>
    <w:link w:val="7"/>
    <w:semiHidden/>
    <w:qFormat/>
    <w:uiPriority w:val="99"/>
    <w:rPr>
      <w:rFonts w:ascii="Calibri" w:hAnsi="Calibri" w:eastAsia="宋体" w:cs="Times New Roman"/>
      <w:sz w:val="18"/>
      <w:szCs w:val="18"/>
    </w:rPr>
  </w:style>
  <w:style w:type="character" w:customStyle="1" w:styleId="17">
    <w:name w:val="标题 1 Char"/>
    <w:basedOn w:val="10"/>
    <w:link w:val="2"/>
    <w:qFormat/>
    <w:uiPriority w:val="0"/>
    <w:rPr>
      <w:rFonts w:ascii="宋体" w:hAnsi="Times New Roman"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70323-0ED3-4CCD-95C0-26CFAEEE550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1185</Words>
  <Characters>6761</Characters>
  <Lines>56</Lines>
  <Paragraphs>15</Paragraphs>
  <TotalTime>0</TotalTime>
  <ScaleCrop>false</ScaleCrop>
  <LinksUpToDate>false</LinksUpToDate>
  <CharactersWithSpaces>7931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2024-01-17T09:44:21Z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043A3613FCC4417BADC7D5D83A1A26A4</vt:lpwstr>
  </property>
</Properties>
</file>