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sz w:val="44"/>
          <w:szCs w:val="44"/>
        </w:rPr>
      </w:pPr>
    </w:p>
    <w:p>
      <w:pPr>
        <w:spacing w:line="584"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廊坊市广阳区供销合作社联合社2019年部门预算信息公开</w:t>
      </w:r>
    </w:p>
    <w:p>
      <w:pPr>
        <w:spacing w:line="584" w:lineRule="exact"/>
        <w:ind w:firstLine="880" w:firstLineChars="200"/>
        <w:jc w:val="center"/>
        <w:rPr>
          <w:rFonts w:ascii="Times New Roman" w:hAnsi="Times New Roman" w:eastAsia="仿宋_GB2312"/>
          <w:sz w:val="44"/>
          <w:szCs w:val="44"/>
        </w:rPr>
      </w:pP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w:t>
      </w:r>
      <w:r>
        <w:rPr>
          <w:rFonts w:hint="eastAsia" w:ascii="Times New Roman" w:hAnsi="Times New Roman" w:eastAsia="仿宋_GB2312"/>
          <w:sz w:val="32"/>
          <w:szCs w:val="32"/>
          <w:lang w:eastAsia="zh-CN"/>
        </w:rPr>
        <w:t>中华人民共和国</w:t>
      </w:r>
      <w:bookmarkStart w:id="4" w:name="_GoBack"/>
      <w:bookmarkEnd w:id="4"/>
      <w:r>
        <w:rPr>
          <w:rFonts w:hint="eastAsia" w:ascii="Times New Roman" w:hAnsi="Times New Roman" w:eastAsia="仿宋_GB2312"/>
          <w:sz w:val="32"/>
          <w:szCs w:val="32"/>
        </w:rPr>
        <w:t>预算法》、《地方预决算公开操作规程》和《河北省省级预算公开办法》规定，现将廊坊市广阳区供销合作社联合社</w:t>
      </w:r>
      <w:r>
        <w:rPr>
          <w:rFonts w:ascii="Times New Roman" w:hAnsi="Times New Roman" w:eastAsia="仿宋_GB2312"/>
          <w:sz w:val="32"/>
          <w:szCs w:val="32"/>
        </w:rPr>
        <w:t>2019</w:t>
      </w:r>
      <w:r>
        <w:rPr>
          <w:rFonts w:hint="eastAsia" w:ascii="Times New Roman" w:hAnsi="Times New Roman" w:eastAsia="仿宋_GB2312"/>
          <w:sz w:val="32"/>
          <w:szCs w:val="32"/>
        </w:rPr>
        <w:t>年部门预算公开如下：</w:t>
      </w:r>
    </w:p>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一、部门职责及机构设置情况</w:t>
      </w:r>
    </w:p>
    <w:p>
      <w:pPr>
        <w:spacing w:line="584"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部门职责：</w:t>
      </w:r>
    </w:p>
    <w:p>
      <w:pPr>
        <w:spacing w:line="584" w:lineRule="exact"/>
        <w:ind w:firstLine="640" w:firstLineChars="200"/>
        <w:rPr>
          <w:rFonts w:ascii="宋体" w:hAnsi="宋体" w:eastAsia="仿宋_GB2312" w:cs="宋体"/>
          <w:color w:val="000000"/>
          <w:kern w:val="0"/>
          <w:sz w:val="32"/>
          <w:szCs w:val="32"/>
        </w:rPr>
      </w:pPr>
      <w:r>
        <w:rPr>
          <w:rFonts w:hint="eastAsia" w:ascii="仿宋_GB2312" w:eastAsia="仿宋_GB2312" w:cs="宋体"/>
          <w:color w:val="000000"/>
          <w:kern w:val="0"/>
          <w:sz w:val="32"/>
          <w:szCs w:val="32"/>
        </w:rPr>
        <w:t>（一）</w:t>
      </w:r>
      <w:r>
        <w:rPr>
          <w:rFonts w:ascii="仿宋_GB2312" w:eastAsia="仿宋_GB2312" w:cs="宋体"/>
          <w:color w:val="000000"/>
          <w:kern w:val="0"/>
          <w:sz w:val="32"/>
          <w:szCs w:val="32"/>
        </w:rPr>
        <w:t xml:space="preserve"> </w:t>
      </w:r>
      <w:r>
        <w:rPr>
          <w:rFonts w:hint="eastAsia" w:ascii="仿宋_GB2312" w:eastAsia="仿宋_GB2312" w:cs="宋体"/>
          <w:color w:val="000000"/>
          <w:kern w:val="0"/>
          <w:sz w:val="32"/>
          <w:szCs w:val="32"/>
        </w:rPr>
        <w:t>是贯彻区委、区政府有关农村工作和社会发展的方针、政策；</w:t>
      </w:r>
      <w:r>
        <w:rPr>
          <w:rFonts w:ascii="仿宋_GB2312" w:eastAsia="仿宋_GB2312" w:cs="宋体"/>
          <w:color w:val="000000"/>
          <w:kern w:val="0"/>
          <w:sz w:val="32"/>
          <w:szCs w:val="32"/>
        </w:rPr>
        <w:br w:type="textWrapping"/>
      </w:r>
      <w:r>
        <w:rPr>
          <w:rFonts w:ascii="宋体" w:hAnsi="宋体" w:eastAsia="仿宋_GB2312" w:cs="宋体"/>
          <w:color w:val="000000"/>
          <w:kern w:val="0"/>
          <w:sz w:val="32"/>
          <w:szCs w:val="32"/>
        </w:rPr>
        <w:t>  </w:t>
      </w:r>
      <w:r>
        <w:rPr>
          <w:rFonts w:hint="eastAsia" w:ascii="仿宋_GB2312" w:eastAsia="仿宋_GB2312" w:cs="宋体"/>
          <w:color w:val="000000"/>
          <w:kern w:val="0"/>
          <w:sz w:val="32"/>
          <w:szCs w:val="32"/>
        </w:rPr>
        <w:t>（二）是按照区政府授权，对全区农业生产资料、日用消费品、棉花、食盐、烟花爆竹喝废旧再生资源等进行组织、协调和管理；</w:t>
      </w:r>
      <w:r>
        <w:rPr>
          <w:rFonts w:ascii="仿宋_GB2312" w:eastAsia="仿宋_GB2312" w:cs="宋体"/>
          <w:color w:val="000000"/>
          <w:kern w:val="0"/>
          <w:sz w:val="32"/>
          <w:szCs w:val="32"/>
        </w:rPr>
        <w:br w:type="textWrapping"/>
      </w:r>
      <w:r>
        <w:rPr>
          <w:rFonts w:ascii="宋体" w:hAnsi="宋体" w:eastAsia="仿宋_GB2312" w:cs="宋体"/>
          <w:color w:val="000000"/>
          <w:kern w:val="0"/>
          <w:sz w:val="32"/>
          <w:szCs w:val="32"/>
        </w:rPr>
        <w:t>  </w:t>
      </w:r>
      <w:r>
        <w:rPr>
          <w:rFonts w:hint="eastAsia" w:ascii="仿宋_GB2312" w:eastAsia="仿宋_GB2312" w:cs="宋体"/>
          <w:color w:val="000000"/>
          <w:kern w:val="0"/>
          <w:sz w:val="32"/>
          <w:szCs w:val="32"/>
        </w:rPr>
        <w:t>（三）是负责指导全区供销社的业务工作，参与、推动和服务农业产业化经营，发展龙头企业、专业合作社和消费合作社，加快农业社会服务体系和农产品市场体系建设，开拓城乡市场。同时，承办区委、区政府和市供销社交办的其它事项。</w:t>
      </w:r>
    </w:p>
    <w:p>
      <w:pPr>
        <w:autoSpaceDE w:val="0"/>
        <w:autoSpaceDN w:val="0"/>
        <w:adjustRightInd w:val="0"/>
        <w:spacing w:line="584" w:lineRule="exact"/>
        <w:ind w:firstLine="630" w:firstLineChars="196"/>
        <w:jc w:val="left"/>
        <w:rPr>
          <w:rFonts w:ascii="Times New Roman" w:hAnsi="Times New Roman" w:eastAsia="楷体_GB2312"/>
          <w:b/>
          <w:sz w:val="32"/>
          <w:szCs w:val="32"/>
        </w:rPr>
      </w:pPr>
    </w:p>
    <w:p>
      <w:pPr>
        <w:autoSpaceDE w:val="0"/>
        <w:autoSpaceDN w:val="0"/>
        <w:adjustRightInd w:val="0"/>
        <w:spacing w:line="584" w:lineRule="exact"/>
        <w:ind w:firstLine="630" w:firstLineChars="196"/>
        <w:jc w:val="left"/>
        <w:rPr>
          <w:rFonts w:ascii="Times New Roman" w:hAnsi="Times New Roman" w:eastAsia="楷体_GB2312"/>
          <w:b/>
          <w:sz w:val="32"/>
          <w:szCs w:val="32"/>
        </w:rPr>
      </w:pPr>
    </w:p>
    <w:p>
      <w:pPr>
        <w:autoSpaceDE w:val="0"/>
        <w:autoSpaceDN w:val="0"/>
        <w:adjustRightInd w:val="0"/>
        <w:spacing w:line="584" w:lineRule="exact"/>
        <w:ind w:firstLine="630" w:firstLineChars="196"/>
        <w:jc w:val="left"/>
        <w:rPr>
          <w:rFonts w:ascii="Times New Roman" w:hAnsi="Times New Roman" w:eastAsia="楷体_GB2312"/>
          <w:b/>
          <w:sz w:val="32"/>
          <w:szCs w:val="32"/>
        </w:rPr>
      </w:pPr>
    </w:p>
    <w:p>
      <w:pPr>
        <w:autoSpaceDE w:val="0"/>
        <w:autoSpaceDN w:val="0"/>
        <w:adjustRightInd w:val="0"/>
        <w:spacing w:line="584" w:lineRule="exact"/>
        <w:ind w:firstLine="630" w:firstLineChars="196"/>
        <w:jc w:val="left"/>
        <w:rPr>
          <w:rFonts w:ascii="Times New Roman" w:hAnsi="Times New Roman" w:eastAsia="楷体_GB2312"/>
          <w:b/>
          <w:sz w:val="32"/>
          <w:szCs w:val="32"/>
        </w:rPr>
      </w:pPr>
      <w:r>
        <w:rPr>
          <w:rFonts w:hint="eastAsia" w:ascii="Times New Roman" w:hAnsi="Times New Roman" w:eastAsia="楷体_GB2312"/>
          <w:b/>
          <w:sz w:val="32"/>
          <w:szCs w:val="32"/>
        </w:rPr>
        <w:t>机构设置：</w:t>
      </w:r>
    </w:p>
    <w:p>
      <w:pPr>
        <w:spacing w:line="584" w:lineRule="exact"/>
        <w:jc w:val="center"/>
        <w:outlineLvl w:val="0"/>
        <w:rPr>
          <w:rFonts w:ascii="Times New Roman" w:hAnsi="Times New Roman" w:eastAsia="仿宋_GB2312"/>
          <w:b/>
          <w:sz w:val="32"/>
          <w:szCs w:val="24"/>
        </w:rPr>
      </w:pPr>
      <w:r>
        <w:rPr>
          <w:rFonts w:hint="eastAsia" w:ascii="Times New Roman" w:hAnsi="Times New Roman" w:eastAsia="仿宋_GB2312"/>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89"/>
        <w:gridCol w:w="2694"/>
        <w:gridCol w:w="1275"/>
        <w:gridCol w:w="22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489"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单位名称</w:t>
            </w:r>
          </w:p>
        </w:tc>
        <w:tc>
          <w:tcPr>
            <w:tcW w:w="2694"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单位性质</w:t>
            </w:r>
          </w:p>
        </w:tc>
        <w:tc>
          <w:tcPr>
            <w:tcW w:w="1275"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单位规格</w:t>
            </w:r>
          </w:p>
        </w:tc>
        <w:tc>
          <w:tcPr>
            <w:tcW w:w="2297"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489" w:type="dxa"/>
            <w:vMerge w:val="continue"/>
            <w:vAlign w:val="center"/>
          </w:tcPr>
          <w:p>
            <w:pPr>
              <w:spacing w:line="584" w:lineRule="exact"/>
              <w:jc w:val="left"/>
              <w:outlineLvl w:val="0"/>
              <w:rPr>
                <w:rFonts w:ascii="Times New Roman" w:hAnsi="Times New Roman" w:eastAsia="仿宋_GB2312"/>
                <w:szCs w:val="24"/>
              </w:rPr>
            </w:pPr>
          </w:p>
        </w:tc>
        <w:tc>
          <w:tcPr>
            <w:tcW w:w="2694" w:type="dxa"/>
            <w:vMerge w:val="continue"/>
            <w:vAlign w:val="center"/>
          </w:tcPr>
          <w:p>
            <w:pPr>
              <w:spacing w:line="584" w:lineRule="exact"/>
              <w:jc w:val="left"/>
              <w:outlineLvl w:val="0"/>
              <w:rPr>
                <w:rFonts w:ascii="Times New Roman" w:hAnsi="Times New Roman" w:eastAsia="仿宋_GB2312"/>
                <w:szCs w:val="24"/>
              </w:rPr>
            </w:pPr>
          </w:p>
        </w:tc>
        <w:tc>
          <w:tcPr>
            <w:tcW w:w="1275" w:type="dxa"/>
            <w:vMerge w:val="continue"/>
            <w:vAlign w:val="center"/>
          </w:tcPr>
          <w:p>
            <w:pPr>
              <w:spacing w:line="584" w:lineRule="exact"/>
              <w:jc w:val="left"/>
              <w:outlineLvl w:val="0"/>
              <w:rPr>
                <w:rFonts w:ascii="Times New Roman" w:hAnsi="Times New Roman" w:eastAsia="仿宋_GB2312"/>
                <w:szCs w:val="24"/>
              </w:rPr>
            </w:pPr>
          </w:p>
        </w:tc>
        <w:tc>
          <w:tcPr>
            <w:tcW w:w="2297" w:type="dxa"/>
            <w:vMerge w:val="continue"/>
            <w:vAlign w:val="center"/>
          </w:tcPr>
          <w:p>
            <w:pPr>
              <w:spacing w:line="584" w:lineRule="exact"/>
              <w:jc w:val="left"/>
              <w:outlineLvl w:val="0"/>
              <w:rPr>
                <w:rFonts w:ascii="Times New Roman"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489" w:type="dxa"/>
            <w:vAlign w:val="center"/>
          </w:tcPr>
          <w:p>
            <w:pPr>
              <w:spacing w:line="584" w:lineRule="exact"/>
              <w:jc w:val="center"/>
              <w:rPr>
                <w:rFonts w:ascii="仿宋_GB2312" w:hAnsi="Times New Roman" w:eastAsia="仿宋_GB2312"/>
                <w:szCs w:val="21"/>
              </w:rPr>
            </w:pPr>
            <w:r>
              <w:rPr>
                <w:rFonts w:hint="eastAsia" w:ascii="仿宋_GB2312" w:hAnsi="Times New Roman" w:eastAsia="仿宋_GB2312"/>
                <w:szCs w:val="21"/>
              </w:rPr>
              <w:t>廊坊市广阳区供销合作社联合社</w:t>
            </w:r>
          </w:p>
        </w:tc>
        <w:tc>
          <w:tcPr>
            <w:tcW w:w="2694" w:type="dxa"/>
            <w:vAlign w:val="center"/>
          </w:tcPr>
          <w:p>
            <w:pPr>
              <w:spacing w:line="584" w:lineRule="exact"/>
              <w:jc w:val="center"/>
              <w:rPr>
                <w:rFonts w:ascii="仿宋_GB2312" w:hAnsi="Times New Roman" w:eastAsia="仿宋_GB2312"/>
                <w:szCs w:val="21"/>
              </w:rPr>
            </w:pPr>
            <w:r>
              <w:rPr>
                <w:rFonts w:hint="eastAsia" w:ascii="仿宋_GB2312" w:hAnsi="仿宋" w:eastAsia="仿宋_GB2312"/>
                <w:szCs w:val="21"/>
              </w:rPr>
              <w:t>事业单位</w:t>
            </w:r>
          </w:p>
        </w:tc>
        <w:tc>
          <w:tcPr>
            <w:tcW w:w="1275" w:type="dxa"/>
            <w:vAlign w:val="center"/>
          </w:tcPr>
          <w:p>
            <w:pPr>
              <w:spacing w:line="584" w:lineRule="exact"/>
              <w:jc w:val="center"/>
              <w:rPr>
                <w:rFonts w:ascii="仿宋_GB2312" w:hAnsi="Times New Roman" w:eastAsia="仿宋_GB2312"/>
                <w:szCs w:val="21"/>
              </w:rPr>
            </w:pPr>
            <w:r>
              <w:rPr>
                <w:rFonts w:hint="eastAsia" w:ascii="仿宋_GB2312" w:hAnsi="Times New Roman" w:eastAsia="仿宋_GB2312"/>
                <w:szCs w:val="21"/>
              </w:rPr>
              <w:t>正科级</w:t>
            </w:r>
          </w:p>
        </w:tc>
        <w:tc>
          <w:tcPr>
            <w:tcW w:w="2297" w:type="dxa"/>
            <w:vAlign w:val="center"/>
          </w:tcPr>
          <w:p>
            <w:pPr>
              <w:spacing w:line="584" w:lineRule="exact"/>
              <w:jc w:val="center"/>
              <w:rPr>
                <w:rFonts w:ascii="仿宋_GB2312" w:hAnsi="Times New Roman" w:eastAsia="仿宋_GB2312"/>
                <w:szCs w:val="21"/>
              </w:rPr>
            </w:pPr>
            <w:r>
              <w:rPr>
                <w:rFonts w:hint="eastAsia" w:ascii="仿宋_GB2312" w:hAnsi="Times New Roman" w:eastAsia="仿宋_GB2312"/>
                <w:szCs w:val="21"/>
              </w:rPr>
              <w:t>财政性资金基本保证</w:t>
            </w:r>
          </w:p>
        </w:tc>
      </w:tr>
    </w:tbl>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二、部门预算安排的总体情况</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按照预算管理有关规定，目前我区部门预算的编制实行综合预算制度，即全部收入和支出都反映在预算中。廊坊市广阳区供销合作社联合社机关收支包含在部门预算中。</w:t>
      </w:r>
    </w:p>
    <w:p>
      <w:pPr>
        <w:spacing w:line="584" w:lineRule="exact"/>
        <w:ind w:firstLine="640"/>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、收入说明</w:t>
      </w:r>
    </w:p>
    <w:p>
      <w:pPr>
        <w:spacing w:line="584" w:lineRule="exact"/>
        <w:ind w:firstLine="640"/>
        <w:rPr>
          <w:rFonts w:ascii="Times New Roman" w:hAnsi="Times New Roman" w:eastAsia="仿宋_GB2312"/>
          <w:sz w:val="32"/>
          <w:szCs w:val="32"/>
        </w:rPr>
      </w:pPr>
      <w:r>
        <w:rPr>
          <w:rFonts w:hint="eastAsia" w:ascii="Times New Roman" w:hAnsi="Times New Roman" w:eastAsia="仿宋_GB2312"/>
          <w:sz w:val="32"/>
          <w:szCs w:val="32"/>
        </w:rPr>
        <w:t>反映本部门当年全部收入。</w:t>
      </w:r>
      <w:r>
        <w:rPr>
          <w:rFonts w:ascii="Times New Roman" w:hAnsi="Times New Roman" w:eastAsia="仿宋_GB2312"/>
          <w:sz w:val="32"/>
          <w:szCs w:val="32"/>
        </w:rPr>
        <w:t>2019</w:t>
      </w:r>
      <w:r>
        <w:rPr>
          <w:rFonts w:hint="eastAsia" w:ascii="Times New Roman" w:hAnsi="Times New Roman" w:eastAsia="仿宋_GB2312"/>
          <w:sz w:val="32"/>
          <w:szCs w:val="32"/>
        </w:rPr>
        <w:t>年预算收入</w:t>
      </w:r>
      <w:r>
        <w:rPr>
          <w:rFonts w:ascii="Times New Roman" w:hAnsi="Times New Roman" w:eastAsia="仿宋_GB2312"/>
          <w:sz w:val="32"/>
          <w:szCs w:val="32"/>
        </w:rPr>
        <w:t>764.05</w:t>
      </w:r>
      <w:r>
        <w:rPr>
          <w:rFonts w:hint="eastAsia" w:ascii="Times New Roman" w:hAnsi="Times New Roman" w:eastAsia="仿宋_GB2312"/>
          <w:sz w:val="32"/>
          <w:szCs w:val="32"/>
        </w:rPr>
        <w:t>万元，其中：一般公共预算收入</w:t>
      </w:r>
      <w:r>
        <w:rPr>
          <w:rFonts w:ascii="Times New Roman" w:hAnsi="Times New Roman" w:eastAsia="仿宋_GB2312"/>
          <w:sz w:val="32"/>
          <w:szCs w:val="32"/>
        </w:rPr>
        <w:t>764.05</w:t>
      </w:r>
      <w:r>
        <w:rPr>
          <w:rFonts w:hint="eastAsia" w:ascii="Times New Roman" w:hAnsi="Times New Roman" w:eastAsia="仿宋_GB2312"/>
          <w:sz w:val="32"/>
          <w:szCs w:val="32"/>
        </w:rPr>
        <w:t>万元，基金预算收入</w:t>
      </w:r>
      <w:r>
        <w:rPr>
          <w:rFonts w:ascii="Times New Roman" w:hAnsi="Times New Roman" w:eastAsia="仿宋_GB2312"/>
          <w:sz w:val="32"/>
          <w:szCs w:val="32"/>
        </w:rPr>
        <w:t>0</w:t>
      </w:r>
      <w:r>
        <w:rPr>
          <w:rFonts w:hint="eastAsia" w:ascii="Times New Roman" w:hAnsi="Times New Roman" w:eastAsia="仿宋_GB2312"/>
          <w:sz w:val="32"/>
          <w:szCs w:val="32"/>
        </w:rPr>
        <w:t>万元，财政专户核拨收入</w:t>
      </w:r>
      <w:r>
        <w:rPr>
          <w:rFonts w:ascii="Times New Roman" w:hAnsi="Times New Roman" w:eastAsia="仿宋_GB2312"/>
          <w:sz w:val="32"/>
          <w:szCs w:val="32"/>
        </w:rPr>
        <w:t>0</w:t>
      </w:r>
      <w:r>
        <w:rPr>
          <w:rFonts w:hint="eastAsia" w:ascii="Times New Roman" w:hAnsi="Times New Roman" w:eastAsia="仿宋_GB2312"/>
          <w:sz w:val="32"/>
          <w:szCs w:val="32"/>
        </w:rPr>
        <w:t>万元，其他来源收入</w:t>
      </w:r>
      <w:r>
        <w:rPr>
          <w:rFonts w:ascii="Times New Roman" w:hAnsi="Times New Roman" w:eastAsia="仿宋_GB2312"/>
          <w:sz w:val="32"/>
          <w:szCs w:val="32"/>
        </w:rPr>
        <w:t>0</w:t>
      </w:r>
      <w:r>
        <w:rPr>
          <w:rFonts w:hint="eastAsia" w:ascii="Times New Roman" w:hAnsi="Times New Roman" w:eastAsia="仿宋_GB2312"/>
          <w:sz w:val="32"/>
          <w:szCs w:val="32"/>
        </w:rPr>
        <w:t>万元。</w:t>
      </w:r>
    </w:p>
    <w:p>
      <w:pPr>
        <w:spacing w:line="584" w:lineRule="exact"/>
        <w:ind w:firstLine="640"/>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、支出说明</w:t>
      </w:r>
    </w:p>
    <w:p>
      <w:pPr>
        <w:spacing w:line="584" w:lineRule="exact"/>
        <w:ind w:firstLine="640"/>
        <w:rPr>
          <w:rFonts w:ascii="Times New Roman" w:hAnsi="Times New Roman" w:eastAsia="仿宋_GB2312"/>
          <w:sz w:val="32"/>
          <w:szCs w:val="32"/>
        </w:rPr>
      </w:pPr>
      <w:r>
        <w:rPr>
          <w:rFonts w:hint="eastAsia" w:ascii="Times New Roman" w:hAnsi="Times New Roman" w:eastAsia="仿宋_GB2312"/>
          <w:sz w:val="32"/>
          <w:szCs w:val="32"/>
        </w:rPr>
        <w:t>收支预算总表支出栏、基本支出表、项目支出表按经济分类和支出功能分类科目编制，反映廊坊市广阳区供销合作社联合社年度部门预算中支出预算的总体情况。</w:t>
      </w:r>
      <w:r>
        <w:rPr>
          <w:rFonts w:ascii="Times New Roman" w:hAnsi="Times New Roman" w:eastAsia="仿宋_GB2312"/>
          <w:sz w:val="32"/>
          <w:szCs w:val="32"/>
        </w:rPr>
        <w:t>2019</w:t>
      </w:r>
      <w:r>
        <w:rPr>
          <w:rFonts w:hint="eastAsia" w:ascii="Times New Roman" w:hAnsi="Times New Roman" w:eastAsia="仿宋_GB2312"/>
          <w:sz w:val="32"/>
          <w:szCs w:val="32"/>
        </w:rPr>
        <w:t>年支出预算</w:t>
      </w:r>
      <w:r>
        <w:rPr>
          <w:rFonts w:ascii="Times New Roman" w:hAnsi="Times New Roman" w:eastAsia="仿宋_GB2312"/>
          <w:sz w:val="32"/>
          <w:szCs w:val="32"/>
        </w:rPr>
        <w:t>764.05</w:t>
      </w:r>
      <w:r>
        <w:rPr>
          <w:rFonts w:hint="eastAsia" w:ascii="Times New Roman" w:hAnsi="Times New Roman" w:eastAsia="仿宋_GB2312"/>
          <w:sz w:val="32"/>
          <w:szCs w:val="32"/>
        </w:rPr>
        <w:t>万元，其中基本支出</w:t>
      </w:r>
      <w:r>
        <w:rPr>
          <w:rFonts w:ascii="Times New Roman" w:hAnsi="Times New Roman" w:eastAsia="仿宋_GB2312"/>
          <w:sz w:val="32"/>
          <w:szCs w:val="32"/>
        </w:rPr>
        <w:t>764.05</w:t>
      </w:r>
      <w:r>
        <w:rPr>
          <w:rFonts w:hint="eastAsia" w:ascii="Times New Roman" w:hAnsi="Times New Roman" w:eastAsia="仿宋_GB2312"/>
          <w:sz w:val="32"/>
          <w:szCs w:val="32"/>
        </w:rPr>
        <w:t>万元，包括人员经费</w:t>
      </w:r>
      <w:r>
        <w:rPr>
          <w:rFonts w:ascii="Times New Roman" w:hAnsi="Times New Roman" w:eastAsia="仿宋_GB2312"/>
          <w:sz w:val="32"/>
          <w:szCs w:val="32"/>
        </w:rPr>
        <w:t>718.98</w:t>
      </w:r>
      <w:r>
        <w:rPr>
          <w:rFonts w:hint="eastAsia" w:ascii="Times New Roman" w:hAnsi="Times New Roman" w:eastAsia="仿宋_GB2312"/>
          <w:sz w:val="32"/>
          <w:szCs w:val="32"/>
        </w:rPr>
        <w:t>万元和日常公用经费</w:t>
      </w:r>
      <w:r>
        <w:rPr>
          <w:rFonts w:ascii="Times New Roman" w:hAnsi="Times New Roman" w:eastAsia="仿宋_GB2312"/>
          <w:sz w:val="32"/>
          <w:szCs w:val="32"/>
        </w:rPr>
        <w:t>45.07</w:t>
      </w:r>
      <w:r>
        <w:rPr>
          <w:rFonts w:hint="eastAsia" w:ascii="Times New Roman" w:hAnsi="Times New Roman" w:eastAsia="仿宋_GB2312"/>
          <w:sz w:val="32"/>
          <w:szCs w:val="32"/>
        </w:rPr>
        <w:t>万元；项目支出</w:t>
      </w:r>
      <w:r>
        <w:rPr>
          <w:rFonts w:ascii="Times New Roman" w:hAnsi="Times New Roman" w:eastAsia="仿宋_GB2312"/>
          <w:sz w:val="32"/>
          <w:szCs w:val="32"/>
        </w:rPr>
        <w:t>0</w:t>
      </w:r>
      <w:r>
        <w:rPr>
          <w:rFonts w:hint="eastAsia" w:ascii="Times New Roman" w:hAnsi="Times New Roman" w:eastAsia="仿宋_GB2312"/>
          <w:sz w:val="32"/>
          <w:szCs w:val="32"/>
        </w:rPr>
        <w:t>万元，</w:t>
      </w:r>
      <w:r>
        <w:rPr>
          <w:rFonts w:ascii="Times New Roman" w:hAnsi="Times New Roman" w:eastAsia="仿宋_GB2312"/>
          <w:sz w:val="32"/>
          <w:szCs w:val="32"/>
        </w:rPr>
        <w:t>包括本级支出</w:t>
      </w:r>
      <w:r>
        <w:rPr>
          <w:rFonts w:hint="eastAsia" w:ascii="Times New Roman" w:hAnsi="Times New Roman" w:eastAsia="仿宋_GB2312"/>
          <w:sz w:val="32"/>
          <w:szCs w:val="32"/>
        </w:rPr>
        <w:t>0</w:t>
      </w:r>
      <w:r>
        <w:rPr>
          <w:rFonts w:ascii="Times New Roman" w:hAnsi="Times New Roman" w:eastAsia="仿宋_GB2312"/>
          <w:sz w:val="32"/>
          <w:szCs w:val="32"/>
        </w:rPr>
        <w:t>万元</w:t>
      </w:r>
      <w:r>
        <w:rPr>
          <w:rFonts w:hint="eastAsia" w:ascii="Times New Roman" w:hAnsi="Times New Roman" w:eastAsia="仿宋_GB2312"/>
          <w:sz w:val="32"/>
          <w:szCs w:val="32"/>
        </w:rPr>
        <w:t>。</w:t>
      </w:r>
    </w:p>
    <w:p>
      <w:pPr>
        <w:spacing w:line="584" w:lineRule="exact"/>
        <w:ind w:firstLine="64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、比上年增减情况</w:t>
      </w:r>
    </w:p>
    <w:p>
      <w:pPr>
        <w:spacing w:line="584" w:lineRule="exact"/>
        <w:ind w:firstLine="640"/>
        <w:rPr>
          <w:rFonts w:ascii="Times New Roman" w:hAnsi="Times New Roman" w:eastAsia="仿宋_GB2312"/>
          <w:sz w:val="32"/>
          <w:szCs w:val="32"/>
        </w:rPr>
      </w:pPr>
      <w:r>
        <w:rPr>
          <w:rFonts w:ascii="Times New Roman" w:hAnsi="Times New Roman" w:eastAsia="仿宋_GB2312"/>
          <w:sz w:val="32"/>
          <w:szCs w:val="32"/>
        </w:rPr>
        <w:t>2019</w:t>
      </w:r>
      <w:r>
        <w:rPr>
          <w:rFonts w:hint="eastAsia" w:ascii="Times New Roman" w:hAnsi="Times New Roman" w:eastAsia="仿宋_GB2312"/>
          <w:sz w:val="32"/>
          <w:szCs w:val="32"/>
        </w:rPr>
        <w:t>年预算收支安排</w:t>
      </w:r>
      <w:r>
        <w:rPr>
          <w:rFonts w:ascii="Times New Roman" w:hAnsi="Times New Roman" w:eastAsia="仿宋_GB2312"/>
          <w:sz w:val="32"/>
          <w:szCs w:val="32"/>
        </w:rPr>
        <w:t>764.05</w:t>
      </w:r>
      <w:r>
        <w:rPr>
          <w:rFonts w:hint="eastAsia" w:ascii="Times New Roman" w:hAnsi="Times New Roman" w:eastAsia="仿宋_GB2312"/>
          <w:sz w:val="32"/>
          <w:szCs w:val="32"/>
        </w:rPr>
        <w:t>万元，较</w:t>
      </w:r>
      <w:r>
        <w:rPr>
          <w:rFonts w:ascii="Times New Roman" w:hAnsi="Times New Roman" w:eastAsia="仿宋_GB2312"/>
          <w:sz w:val="32"/>
          <w:szCs w:val="32"/>
        </w:rPr>
        <w:t>2018</w:t>
      </w:r>
      <w:r>
        <w:rPr>
          <w:rFonts w:hint="eastAsia" w:ascii="Times New Roman" w:hAnsi="Times New Roman" w:eastAsia="仿宋_GB2312"/>
          <w:sz w:val="32"/>
          <w:szCs w:val="32"/>
        </w:rPr>
        <w:t>年预算增加</w:t>
      </w:r>
      <w:r>
        <w:rPr>
          <w:rFonts w:ascii="Times New Roman" w:hAnsi="Times New Roman" w:eastAsia="仿宋_GB2312"/>
          <w:sz w:val="32"/>
          <w:szCs w:val="32"/>
        </w:rPr>
        <w:t>66.43</w:t>
      </w:r>
      <w:r>
        <w:rPr>
          <w:rFonts w:hint="eastAsia" w:ascii="Times New Roman" w:hAnsi="Times New Roman" w:eastAsia="仿宋_GB2312"/>
          <w:sz w:val="32"/>
          <w:szCs w:val="32"/>
        </w:rPr>
        <w:t>万元，其中：基本支出增加71.43万元，主要为人员经费支出；项目支出减少</w:t>
      </w:r>
      <w:r>
        <w:rPr>
          <w:rFonts w:ascii="Times New Roman" w:hAnsi="Times New Roman" w:eastAsia="仿宋_GB2312"/>
          <w:sz w:val="32"/>
          <w:szCs w:val="32"/>
        </w:rPr>
        <w:t>5</w:t>
      </w:r>
      <w:r>
        <w:rPr>
          <w:rFonts w:hint="eastAsia" w:ascii="Times New Roman" w:hAnsi="Times New Roman" w:eastAsia="仿宋_GB2312"/>
          <w:sz w:val="32"/>
          <w:szCs w:val="32"/>
        </w:rPr>
        <w:t>万元，主要为</w:t>
      </w:r>
      <w:r>
        <w:rPr>
          <w:rFonts w:hint="eastAsia" w:ascii="仿宋_GB2312" w:eastAsia="仿宋_GB2312" w:cs="宋体"/>
          <w:color w:val="000000"/>
          <w:kern w:val="0"/>
          <w:sz w:val="32"/>
          <w:szCs w:val="32"/>
        </w:rPr>
        <w:t>农民专业合作社建设扶持资金</w:t>
      </w:r>
      <w:r>
        <w:rPr>
          <w:rFonts w:hint="eastAsia" w:ascii="Times New Roman" w:hAnsi="Times New Roman" w:eastAsia="仿宋_GB2312"/>
          <w:sz w:val="32"/>
          <w:szCs w:val="32"/>
        </w:rPr>
        <w:t>项目支出。</w:t>
      </w: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2019</w:t>
      </w:r>
      <w:r>
        <w:rPr>
          <w:rFonts w:hint="eastAsia" w:ascii="Times New Roman" w:hAnsi="Times New Roman" w:eastAsia="仿宋_GB2312"/>
          <w:sz w:val="32"/>
          <w:szCs w:val="32"/>
        </w:rPr>
        <w:t>年，我部门机关运行经费共计安排</w:t>
      </w:r>
      <w:r>
        <w:rPr>
          <w:rFonts w:ascii="Times New Roman" w:hAnsi="Times New Roman" w:eastAsia="仿宋_GB2312"/>
          <w:sz w:val="32"/>
          <w:szCs w:val="32"/>
        </w:rPr>
        <w:t>1.59</w:t>
      </w:r>
      <w:r>
        <w:rPr>
          <w:rFonts w:hint="eastAsia" w:ascii="Times New Roman" w:hAnsi="Times New Roman" w:eastAsia="仿宋_GB2312"/>
          <w:sz w:val="32"/>
          <w:szCs w:val="32"/>
        </w:rPr>
        <w:t>万元，主要用于机关办公区的日常维修、办公用房水电费、办公用房取暖费、办公用房物业管理费等日常运行支出。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sz w:val="32"/>
          <w:szCs w:val="32"/>
        </w:rPr>
      </w:pPr>
      <w:r>
        <w:rPr>
          <w:rFonts w:hint="eastAsia" w:ascii="Times New Roman" w:hAnsi="黑体" w:eastAsia="黑体"/>
          <w:sz w:val="32"/>
          <w:szCs w:val="32"/>
        </w:rPr>
        <w:t>四、财政拨款“三公”经费预算情况及增减变化原因</w:t>
      </w:r>
    </w:p>
    <w:p>
      <w:pPr>
        <w:spacing w:line="584" w:lineRule="exact"/>
        <w:ind w:firstLine="640" w:firstLineChars="200"/>
        <w:jc w:val="left"/>
        <w:rPr>
          <w:rFonts w:ascii="Times New Roman" w:hAnsi="Times New Roman" w:eastAsia="仿宋_GB2312"/>
          <w:color w:val="FF0000"/>
          <w:sz w:val="32"/>
          <w:szCs w:val="32"/>
        </w:rPr>
      </w:pPr>
      <w:r>
        <w:rPr>
          <w:rFonts w:ascii="Times New Roman" w:hAnsi="Times New Roman" w:eastAsia="仿宋_GB2312"/>
          <w:sz w:val="32"/>
          <w:szCs w:val="32"/>
        </w:rPr>
        <w:t>2019</w:t>
      </w:r>
      <w:r>
        <w:rPr>
          <w:rFonts w:hint="eastAsia" w:ascii="Times New Roman" w:hAnsi="Times New Roman" w:eastAsia="仿宋_GB2312"/>
          <w:sz w:val="32"/>
          <w:szCs w:val="32"/>
        </w:rPr>
        <w:t>年，我部门财政拨款</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经费预算安排</w:t>
      </w:r>
      <w:r>
        <w:rPr>
          <w:rFonts w:ascii="Times New Roman" w:hAnsi="Times New Roman" w:eastAsia="仿宋_GB2312"/>
          <w:sz w:val="32"/>
          <w:szCs w:val="32"/>
        </w:rPr>
        <w:t>2.19</w:t>
      </w:r>
      <w:r>
        <w:rPr>
          <w:rFonts w:hint="eastAsia" w:ascii="Times New Roman" w:hAnsi="Times New Roman" w:eastAsia="仿宋_GB2312"/>
          <w:sz w:val="32"/>
          <w:szCs w:val="32"/>
        </w:rPr>
        <w:t>万元。其中，因公出国（境）费</w:t>
      </w:r>
      <w:r>
        <w:rPr>
          <w:rFonts w:ascii="Times New Roman" w:hAnsi="Times New Roman" w:eastAsia="仿宋_GB2312"/>
          <w:sz w:val="32"/>
          <w:szCs w:val="32"/>
        </w:rPr>
        <w:t>0</w:t>
      </w:r>
      <w:r>
        <w:rPr>
          <w:rFonts w:hint="eastAsia" w:ascii="Times New Roman" w:hAnsi="Times New Roman" w:eastAsia="仿宋_GB2312"/>
          <w:sz w:val="32"/>
          <w:szCs w:val="32"/>
        </w:rPr>
        <w:t>万元；公务用车购置及运维费</w:t>
      </w:r>
      <w:r>
        <w:rPr>
          <w:rFonts w:ascii="Times New Roman" w:hAnsi="Times New Roman" w:eastAsia="仿宋_GB2312"/>
          <w:sz w:val="32"/>
          <w:szCs w:val="32"/>
        </w:rPr>
        <w:t>2.19</w:t>
      </w:r>
      <w:r>
        <w:rPr>
          <w:rFonts w:hint="eastAsia" w:ascii="Times New Roman" w:hAnsi="Times New Roman" w:eastAsia="仿宋_GB2312"/>
          <w:sz w:val="32"/>
          <w:szCs w:val="32"/>
        </w:rPr>
        <w:t>万元（其中：公务用车购置费为</w:t>
      </w:r>
      <w:r>
        <w:rPr>
          <w:rFonts w:ascii="Times New Roman" w:hAnsi="Times New Roman" w:eastAsia="仿宋_GB2312"/>
          <w:sz w:val="32"/>
          <w:szCs w:val="32"/>
        </w:rPr>
        <w:t>0</w:t>
      </w:r>
      <w:r>
        <w:rPr>
          <w:rFonts w:hint="eastAsia" w:ascii="Times New Roman" w:hAnsi="Times New Roman" w:eastAsia="仿宋_GB2312"/>
          <w:sz w:val="32"/>
          <w:szCs w:val="32"/>
        </w:rPr>
        <w:t>万元，公务用车运维费</w:t>
      </w:r>
      <w:r>
        <w:rPr>
          <w:rFonts w:ascii="Times New Roman" w:hAnsi="Times New Roman" w:eastAsia="仿宋_GB2312"/>
          <w:sz w:val="32"/>
          <w:szCs w:val="32"/>
        </w:rPr>
        <w:t>2.19</w:t>
      </w:r>
      <w:r>
        <w:rPr>
          <w:rFonts w:hint="eastAsia" w:ascii="Times New Roman" w:hAnsi="Times New Roman" w:eastAsia="仿宋_GB2312"/>
          <w:sz w:val="32"/>
          <w:szCs w:val="32"/>
        </w:rPr>
        <w:t>万元</w:t>
      </w:r>
      <w:r>
        <w:rPr>
          <w:rFonts w:ascii="Times New Roman" w:hAnsi="Times New Roman" w:eastAsia="仿宋_GB2312"/>
          <w:sz w:val="32"/>
          <w:szCs w:val="32"/>
        </w:rPr>
        <w:t>)</w:t>
      </w:r>
      <w:r>
        <w:rPr>
          <w:rFonts w:hint="eastAsia" w:ascii="Times New Roman" w:hAnsi="Times New Roman" w:eastAsia="仿宋_GB2312"/>
          <w:sz w:val="32"/>
          <w:szCs w:val="32"/>
        </w:rPr>
        <w:t>；公务接待费</w:t>
      </w:r>
      <w:r>
        <w:rPr>
          <w:rFonts w:ascii="Times New Roman" w:hAnsi="Times New Roman" w:eastAsia="仿宋_GB2312"/>
          <w:sz w:val="32"/>
          <w:szCs w:val="32"/>
        </w:rPr>
        <w:t>0</w:t>
      </w:r>
      <w:r>
        <w:rPr>
          <w:rFonts w:hint="eastAsia" w:ascii="Times New Roman" w:hAnsi="Times New Roman" w:eastAsia="仿宋_GB2312"/>
          <w:sz w:val="32"/>
          <w:szCs w:val="32"/>
        </w:rPr>
        <w:t>万元。与</w:t>
      </w:r>
      <w:r>
        <w:rPr>
          <w:rFonts w:ascii="Times New Roman" w:hAnsi="Times New Roman" w:eastAsia="仿宋_GB2312"/>
          <w:sz w:val="32"/>
          <w:szCs w:val="32"/>
        </w:rPr>
        <w:t>2018</w:t>
      </w:r>
      <w:r>
        <w:rPr>
          <w:rFonts w:hint="eastAsia" w:ascii="Times New Roman" w:hAnsi="Times New Roman" w:eastAsia="仿宋_GB2312"/>
          <w:sz w:val="32"/>
          <w:szCs w:val="32"/>
        </w:rPr>
        <w:t>年相比减少</w:t>
      </w:r>
      <w:r>
        <w:rPr>
          <w:rFonts w:ascii="Times New Roman" w:hAnsi="Times New Roman" w:eastAsia="仿宋_GB2312"/>
          <w:sz w:val="32"/>
          <w:szCs w:val="32"/>
        </w:rPr>
        <w:t>0.11</w:t>
      </w:r>
      <w:r>
        <w:rPr>
          <w:rFonts w:hint="eastAsia" w:ascii="Times New Roman" w:hAnsi="Times New Roman" w:eastAsia="仿宋_GB2312"/>
          <w:sz w:val="32"/>
          <w:szCs w:val="32"/>
        </w:rPr>
        <w:t>万元，其中，公务用车购置及运维费减少</w:t>
      </w:r>
      <w:r>
        <w:rPr>
          <w:rFonts w:ascii="Times New Roman" w:hAnsi="Times New Roman" w:eastAsia="仿宋_GB2312"/>
          <w:sz w:val="32"/>
          <w:szCs w:val="32"/>
        </w:rPr>
        <w:t>0.11</w:t>
      </w:r>
      <w:r>
        <w:rPr>
          <w:rFonts w:hint="eastAsia" w:ascii="Times New Roman" w:hAnsi="Times New Roman" w:eastAsia="仿宋_GB2312"/>
          <w:sz w:val="32"/>
          <w:szCs w:val="32"/>
        </w:rPr>
        <w:t>万元（其中：公务用车购置费</w:t>
      </w:r>
      <w:r>
        <w:rPr>
          <w:rFonts w:ascii="Times New Roman" w:hAnsi="Times New Roman" w:eastAsia="仿宋_GB2312"/>
          <w:sz w:val="32"/>
          <w:szCs w:val="32"/>
        </w:rPr>
        <w:t>0</w:t>
      </w:r>
      <w:r>
        <w:rPr>
          <w:rFonts w:hint="eastAsia" w:ascii="Times New Roman" w:hAnsi="Times New Roman" w:eastAsia="仿宋_GB2312"/>
          <w:sz w:val="32"/>
          <w:szCs w:val="32"/>
        </w:rPr>
        <w:t>万元，公务用车运维费减少</w:t>
      </w:r>
      <w:r>
        <w:rPr>
          <w:rFonts w:ascii="Times New Roman" w:hAnsi="Times New Roman" w:eastAsia="仿宋_GB2312"/>
          <w:sz w:val="32"/>
          <w:szCs w:val="32"/>
        </w:rPr>
        <w:t>0.11</w:t>
      </w:r>
      <w:r>
        <w:rPr>
          <w:rFonts w:hint="eastAsia" w:ascii="Times New Roman" w:hAnsi="Times New Roman" w:eastAsia="仿宋_GB2312"/>
          <w:sz w:val="32"/>
          <w:szCs w:val="32"/>
        </w:rPr>
        <w:t>万元</w:t>
      </w:r>
      <w:r>
        <w:rPr>
          <w:rFonts w:ascii="Times New Roman" w:hAnsi="Times New Roman" w:eastAsia="仿宋_GB2312"/>
          <w:sz w:val="32"/>
          <w:szCs w:val="32"/>
        </w:rPr>
        <w:t>)</w:t>
      </w:r>
      <w:r>
        <w:rPr>
          <w:rFonts w:hint="eastAsia" w:ascii="Times New Roman" w:hAnsi="Times New Roman" w:eastAsia="仿宋_GB2312"/>
          <w:sz w:val="32"/>
          <w:szCs w:val="32"/>
        </w:rPr>
        <w:t>，主要原因是我部门切实落实勤俭节约各项规定，压减公车运行经费支出；公务接待费</w:t>
      </w:r>
      <w:r>
        <w:rPr>
          <w:rFonts w:ascii="Times New Roman" w:hAnsi="Times New Roman" w:eastAsia="仿宋_GB2312"/>
          <w:sz w:val="32"/>
          <w:szCs w:val="32"/>
        </w:rPr>
        <w:t>0</w:t>
      </w:r>
      <w:r>
        <w:rPr>
          <w:rFonts w:hint="eastAsia" w:ascii="Times New Roman" w:hAnsi="Times New Roman" w:eastAsia="仿宋_GB2312"/>
          <w:sz w:val="32"/>
          <w:szCs w:val="32"/>
        </w:rPr>
        <w:t>万元，与</w:t>
      </w:r>
      <w:r>
        <w:rPr>
          <w:rFonts w:ascii="Times New Roman" w:hAnsi="Times New Roman" w:eastAsia="仿宋_GB2312"/>
          <w:sz w:val="32"/>
          <w:szCs w:val="32"/>
        </w:rPr>
        <w:t>2018</w:t>
      </w:r>
      <w:r>
        <w:rPr>
          <w:rFonts w:hint="eastAsia" w:ascii="Times New Roman" w:hAnsi="Times New Roman" w:eastAsia="仿宋_GB2312"/>
          <w:sz w:val="32"/>
          <w:szCs w:val="32"/>
        </w:rPr>
        <w:t>年相比持平，无增减变化。</w:t>
      </w:r>
    </w:p>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五、绩效预算信息</w:t>
      </w:r>
    </w:p>
    <w:p>
      <w:pPr>
        <w:spacing w:line="584" w:lineRule="exact"/>
        <w:ind w:firstLine="643" w:firstLineChars="200"/>
        <w:jc w:val="left"/>
        <w:rPr>
          <w:rFonts w:ascii="Times New Roman" w:hAnsi="Times New Roman" w:eastAsia="楷体_GB2312"/>
          <w:b/>
          <w:sz w:val="32"/>
          <w:szCs w:val="32"/>
        </w:rPr>
      </w:pPr>
      <w:bookmarkStart w:id="0" w:name="_Toc471398463"/>
      <w:r>
        <w:rPr>
          <w:rFonts w:hint="eastAsia" w:ascii="Times New Roman" w:hAnsi="Times New Roman" w:eastAsia="楷体_GB2312"/>
          <w:b/>
          <w:sz w:val="32"/>
          <w:szCs w:val="32"/>
        </w:rPr>
        <w:t>总体绩效目标：</w:t>
      </w:r>
    </w:p>
    <w:p>
      <w:pPr>
        <w:spacing w:line="500" w:lineRule="exact"/>
        <w:ind w:firstLine="560"/>
        <w:rPr>
          <w:rFonts w:ascii="仿宋_GB2312" w:eastAsia="仿宋_GB2312"/>
          <w:sz w:val="32"/>
          <w:szCs w:val="32"/>
        </w:rPr>
      </w:pPr>
      <w:r>
        <w:rPr>
          <w:rFonts w:hint="eastAsia" w:ascii="仿宋_GB2312" w:eastAsia="仿宋_GB2312"/>
          <w:sz w:val="32"/>
          <w:szCs w:val="32"/>
        </w:rPr>
        <w:t>按照省、市总体部署，紧紧围绕全区“三农”工作大局，以推进农业供给侧结构性改革为引领，以优化和创新供销服务供给为重点，整合社会资源，扩大开放办社，努力走新路、上品质、求赶超，努力实现增比进位，开创在全省系统看得见、拿得出、排得上、叫得响的广阳区发展模式。</w:t>
      </w:r>
    </w:p>
    <w:p>
      <w:pPr>
        <w:spacing w:line="500" w:lineRule="exact"/>
        <w:ind w:firstLine="560"/>
        <w:rPr>
          <w:rFonts w:ascii="楷体_GB2312" w:eastAsia="楷体_GB2312"/>
          <w:sz w:val="32"/>
          <w:szCs w:val="32"/>
        </w:rPr>
      </w:pPr>
      <w:r>
        <w:rPr>
          <w:rFonts w:hint="eastAsia" w:ascii="楷体_GB2312" w:eastAsia="楷体_GB2312"/>
          <w:b/>
          <w:sz w:val="32"/>
          <w:szCs w:val="32"/>
        </w:rPr>
        <w:t>职责分类绩效目标：</w:t>
      </w:r>
    </w:p>
    <w:p>
      <w:pPr>
        <w:spacing w:line="500" w:lineRule="exact"/>
        <w:ind w:firstLine="560"/>
        <w:rPr>
          <w:rFonts w:ascii="仿宋_GB2312" w:eastAsia="仿宋_GB2312"/>
          <w:sz w:val="32"/>
          <w:szCs w:val="32"/>
        </w:rPr>
      </w:pPr>
      <w:r>
        <w:rPr>
          <w:rFonts w:hint="eastAsia" w:ascii="仿宋_GB2312" w:eastAsia="仿宋_GB2312"/>
          <w:sz w:val="32"/>
          <w:szCs w:val="32"/>
        </w:rPr>
        <w:t>1：供销流通管理</w:t>
      </w:r>
    </w:p>
    <w:p>
      <w:pPr>
        <w:spacing w:line="500" w:lineRule="exact"/>
        <w:ind w:firstLine="560"/>
        <w:rPr>
          <w:rFonts w:ascii="仿宋_GB2312" w:eastAsia="仿宋_GB2312"/>
          <w:sz w:val="32"/>
          <w:szCs w:val="32"/>
        </w:rPr>
      </w:pPr>
      <w:r>
        <w:rPr>
          <w:rFonts w:hint="eastAsia" w:ascii="仿宋_GB2312" w:eastAsia="仿宋_GB2312"/>
          <w:sz w:val="32"/>
          <w:szCs w:val="32"/>
        </w:rPr>
        <w:t>紧紧围绕“三农”工作大局，以密切与农民利益联结为核心，以提升为农服务能力为根本，以强化基层社和创新联合社治理机制为重点，努力开创特色供销合作事业新局面。按照“改造自我，服务农民”的总体要求，朝着办成农民合作经济组织的方向，大力推行经营创新、组织创新、服务创新，推动综合改革顺利进行。</w:t>
      </w:r>
    </w:p>
    <w:p>
      <w:pPr>
        <w:spacing w:line="500" w:lineRule="exact"/>
        <w:ind w:firstLine="560"/>
        <w:rPr>
          <w:rFonts w:ascii="仿宋_GB2312" w:eastAsia="仿宋_GB2312"/>
          <w:sz w:val="32"/>
          <w:szCs w:val="32"/>
        </w:rPr>
      </w:pPr>
      <w:r>
        <w:rPr>
          <w:rFonts w:hint="eastAsia" w:ascii="仿宋_GB2312" w:eastAsia="仿宋_GB2312"/>
          <w:sz w:val="32"/>
          <w:szCs w:val="32"/>
        </w:rPr>
        <w:t xml:space="preserve">2：服务三农事务管理                          </w:t>
      </w:r>
    </w:p>
    <w:p>
      <w:pPr>
        <w:spacing w:line="500" w:lineRule="exact"/>
        <w:ind w:firstLine="560"/>
        <w:rPr>
          <w:rFonts w:ascii="仿宋_GB2312" w:eastAsia="仿宋_GB2312"/>
          <w:sz w:val="32"/>
          <w:szCs w:val="32"/>
        </w:rPr>
      </w:pPr>
      <w:r>
        <w:rPr>
          <w:rFonts w:hint="eastAsia" w:ascii="仿宋_GB2312" w:eastAsia="仿宋_GB2312"/>
          <w:sz w:val="32"/>
          <w:szCs w:val="32"/>
        </w:rPr>
        <w:t>1.以改革创新为动力、以物流配送为支撑，坚持供销社主办、合作式发展、市场化运作，在乡镇政府所在地和行政村重点建设以日用消费品、农业生产资料为主营业务的供销社农村超市；在县城重点建设日用消费品、农业生产资料中心超市并具备配送功能。2.健全农村市场体系，大力发展农业生产资料现代经营服务网络、日用消费品现代经营网络、烟花爆竹零售网络和再生资源回收利用网络，推进适应现代农业要求的流通产业发展，促进全区农村经济快速健康发展。加快全区供销社系统农资、日用消费品、烟花爆竹和再生资源四大网络建设，增强企业发展实力.3.紧紧围绕“三农”工作大局，以密切与农民利益联结为核心，以提升为农服务能力为根本，把供销合作社系统打造成为与农民联结更紧密、为农服务功能更完备、市场化运行更高效的合作经济组织体系，成为服务农民生产生活的生力军和综合平台，成为党和政府密切联系农民群众的桥梁纽带，切实在农业现代化建设中更好地发挥作用。适应新型城镇化和新农村建设要求，加快建设农村综合服务社和城乡社区服务中心（站），为城乡居民提供日用消费品、文体娱乐、养老幼教、就业培训等多样化服务。</w:t>
      </w:r>
    </w:p>
    <w:p>
      <w:pPr>
        <w:spacing w:line="500" w:lineRule="exact"/>
        <w:ind w:firstLine="560"/>
        <w:rPr>
          <w:rFonts w:ascii="仿宋_GB2312" w:eastAsia="仿宋_GB2312"/>
          <w:sz w:val="32"/>
          <w:szCs w:val="32"/>
        </w:rPr>
      </w:pPr>
      <w:r>
        <w:rPr>
          <w:rFonts w:hint="eastAsia" w:ascii="仿宋_GB2312" w:eastAsia="仿宋_GB2312"/>
          <w:sz w:val="32"/>
          <w:szCs w:val="32"/>
        </w:rPr>
        <w:t>3：供销合作政务管理</w:t>
      </w:r>
    </w:p>
    <w:p>
      <w:pPr>
        <w:spacing w:line="500" w:lineRule="exact"/>
        <w:ind w:firstLine="560"/>
        <w:rPr>
          <w:rFonts w:ascii="仿宋_GB2312" w:eastAsia="仿宋_GB2312"/>
          <w:sz w:val="32"/>
          <w:szCs w:val="32"/>
        </w:rPr>
      </w:pPr>
      <w:r>
        <w:rPr>
          <w:rFonts w:hint="eastAsia" w:ascii="仿宋_GB2312" w:eastAsia="仿宋_GB2312"/>
          <w:sz w:val="32"/>
          <w:szCs w:val="32"/>
        </w:rPr>
        <w:t>负责管理运营本级社有资产，对直属企业行使出资人职能，依法享有所有者的资产收益、重大问题决策和选择管理者的权利，决定资产收益办法和支配方式。负责机关及直属单位党建、精神文明建设和政治思想工作，按照干部管理权限考察任免干部。以供销社综合改革为契机，盘活现有资产、推进社属企业改革，维护区直和谐稳定局面。</w:t>
      </w:r>
    </w:p>
    <w:p>
      <w:pPr>
        <w:spacing w:line="500" w:lineRule="exact"/>
        <w:ind w:firstLine="560"/>
        <w:rPr>
          <w:rFonts w:ascii="仿宋_GB2312" w:eastAsia="仿宋_GB2312"/>
          <w:sz w:val="32"/>
          <w:szCs w:val="32"/>
        </w:rPr>
      </w:pPr>
      <w:r>
        <w:rPr>
          <w:rFonts w:hint="eastAsia" w:ascii="仿宋_GB2312" w:eastAsia="仿宋_GB2312"/>
          <w:sz w:val="32"/>
          <w:szCs w:val="32"/>
        </w:rPr>
        <w:t>4：农村产权交易管理</w:t>
      </w:r>
    </w:p>
    <w:p>
      <w:pPr>
        <w:spacing w:line="500" w:lineRule="exact"/>
        <w:ind w:firstLine="560"/>
        <w:rPr>
          <w:rFonts w:ascii="仿宋_GB2312" w:eastAsia="仿宋_GB2312"/>
          <w:sz w:val="32"/>
          <w:szCs w:val="32"/>
        </w:rPr>
      </w:pPr>
      <w:r>
        <w:rPr>
          <w:rFonts w:hint="eastAsia" w:ascii="仿宋_GB2312" w:eastAsia="仿宋_GB2312"/>
          <w:sz w:val="32"/>
          <w:szCs w:val="32"/>
        </w:rPr>
        <w:t>借助供销社现有组织体系，经营网点，资产设施，农村金融业务等为农服务资源，逐步发展成为集信息发布汇总，产权交易、法律咨询、资产平复、抵押融资等为一体的区级为农服务平台</w:t>
      </w:r>
    </w:p>
    <w:p>
      <w:pPr>
        <w:spacing w:line="584" w:lineRule="exact"/>
        <w:ind w:firstLine="560"/>
        <w:rPr>
          <w:rFonts w:ascii="Times New Roman" w:hAnsi="Times New Roman" w:eastAsia="楷体_GB2312"/>
          <w:b/>
          <w:sz w:val="32"/>
          <w:szCs w:val="24"/>
        </w:rPr>
      </w:pPr>
      <w:r>
        <w:rPr>
          <w:rFonts w:ascii="Times New Roman" w:hAnsi="Times New Roman" w:eastAsia="楷体_GB2312"/>
          <w:b/>
          <w:sz w:val="32"/>
          <w:szCs w:val="32"/>
        </w:rPr>
        <w:t>部门职责及工作活动绩效目标指标：</w:t>
      </w:r>
    </w:p>
    <w:p>
      <w:pPr>
        <w:spacing w:line="584" w:lineRule="exact"/>
        <w:jc w:val="center"/>
        <w:outlineLvl w:val="0"/>
        <w:rPr>
          <w:rFonts w:ascii="Times New Roman" w:hAnsi="Times New Roman" w:eastAsia="仿宋_GB2312"/>
          <w:b/>
          <w:sz w:val="32"/>
        </w:rPr>
      </w:pPr>
      <w:r>
        <w:rPr>
          <w:rFonts w:ascii="Times New Roman" w:hAnsi="Times New Roman" w:eastAsia="仿宋_GB2312"/>
          <w:b/>
          <w:sz w:val="32"/>
        </w:rPr>
        <w:t>部门职责-工作活动绩效目标</w:t>
      </w:r>
    </w:p>
    <w:bookmarkEnd w:id="0"/>
    <w:p>
      <w:pPr>
        <w:spacing w:line="300" w:lineRule="exact"/>
        <w:jc w:val="left"/>
        <w:outlineLvl w:val="0"/>
        <w:rPr>
          <w:rFonts w:ascii="Times New Roman" w:hAnsi="Times New Roman" w:eastAsiaTheme="minorEastAsia"/>
          <w:kern w:val="0"/>
          <w:sz w:val="32"/>
          <w:szCs w:val="20"/>
        </w:rPr>
      </w:pPr>
      <w:bookmarkStart w:id="1" w:name="_Toc504489147"/>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639廊坊市广阳区供销合作社联合社</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一、供销流通管理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贯彻区委和区政府有关农村工作和社会发展的方针、政策，制定全区供销社的发展战略和规划，指导全区供销社的改革和发展。</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紧紧围绕“三农”工作大局，以密切与农民利益联结为核心，以提升为农服务能力为根本，以强化基层社和创新联合社治理机制为重点，努力开创特色供销合作事业新局面。按照“改造自我，服务农民”的总体要求，朝着办成农民合作经济组织的方向，大力推行经营创新、组织创新、服务创新，推动综合改革顺利进行。</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1、发展现代流通网络建设及管理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指导全市供销社系统现代流通网络建设，加快服务创新、经营创新和业态创新，优化网络布局，完善网络体系，发挥一网多用、双向流通的作用，在农资供应、农产品流通、农村服务等重点领域和环节为农民提供便利实惠、安全优质的服务。</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健全农资、农副产品、日用消费品、再生资源回收利用四大网络，加快形成连锁化、规模化、品牌化经营服务新格局；发展农村电子务，形成网上交易、仓储物流、终端配送一体化经营，推动线上线下融合发展。</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农产品批发市场交易额增长率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连锁经营销售额增长率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供销社企业电子商务销售额增长率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2、社属企业运营管理及建设</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指导社属企业经营管理，对社属企业进行监督检查，完善企业运营管理制度并监督执行，行使出资人职能、确保社有资产的安全和增值。</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深化社有企业改革，规范治理结构，供销社体制机制明显优化，营业收入、利润总额和净资产均有不同程度增长。</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社有资产增值比率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营业收入增长率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利润总额增长率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1、防汛物资储备</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汛期确保防汛物资储备数量充足，能够及时调运，确保安全度汛。</w:t>
            </w:r>
          </w:p>
        </w:tc>
        <w:tc>
          <w:tcPr>
            <w:tcW w:w="2976" w:type="dxa"/>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二、服务三农事务管理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负责指导全区供销社的业务活动，参与、推动和服务农业产业化经营，发展龙头企业、专业合作社和消费合作社，加快农业社会化服务体系和农产品市场体系建设、开拓城乡市场。2.指导系统实施“科教兴社”战略，指导系统技术创新和技术推广，组织开展对社员和职工教育与培训，为全区供销社提供科技服务和信息服务。3.负责全区供销社所属企业改革，建立现代企业制度，指导系统党风廉政建设。4.承办区委、区政府和市供销社交办的其他事项。</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以改革创新为动力、以物流配送为支撑，坚持供销社主办、合作式发展、市场化运作，在乡镇政府所在地和行政村重点建设以日用消费品、农业生产资料为主营业务的供销社农村超市；在县城重点建设日用消费品、农业生产资料中心超市并具备配送功能。2.健全农村市场体系，大力发展农业生产资料现代经营服务网络、日用消费品现代经营网络、烟花爆竹零售网络和再生资源回收利用网络，推进适应现代农业要求的流通产业发展，促进全区农村经济快速健康发展。加快全区供销社系统农资、日用消费品、烟花爆竹和再生资源四大网络建设，增强企业发展实力。3.主</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1、服务体系建设</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该项目由省供销社所属供销商贸有限公司牵头，与全国供销合作总社新合作商贸连锁集团有限公司合作，联合供销系统连锁经营区域龙头，以资本、技术和品牌为纽带，市场化运作、合作式发展，以县及县以下农村为重点，打造县有日用消费品购物中心、配送中心，乡镇有中心超市，村有连锁便民店的供销合作社县域流通网络新格局。</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将“民得利”日用消费品农家店逐步改造成为供销社超市，与村民中心配套建设，具备日用消费品、农产品销售等经营性服务，打造县有配送中心、乡镇有连锁超市、村街有便利店的农村日用消费品现代流通网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利润总额增长率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营业收入增长率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超市数量增长率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2、组织体系建设</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充分发挥区“农合联”和区农民专业合作社建设领导小组办公室职能作用，壮大以农民专业合作社、各类专业协会、种植养殖大户等为成员的农民合作经济组织体系，形成组织架构完整、规模较大、功能较完善的为农服务平台。</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发展各类专业为农服务组织，深入开展为农服务、助农增收，推进全区农业现代级进程。</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带动区域主导产业数量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带动农户数量增长率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年助农增收金额增长率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3、服务体系建设</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用于支持供销社系统推进农业生产资料、烟花爆竹、日用消费品、再生资源回收利用等四大网络建设，将有利于健全农村市场体系，发展适应现代农业要求的流通产业，帮助农民增产增收，便民惠农，拉动农村消费。重点用于支持区供销社系统在建、新建和改扩建项目。</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加快全区供销社系统农资、烟花爆竹、日用消费品和再生资源四大网络建设，增强企业发展实力。</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再生资源网络建设完善率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农资网络建设完善率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日用消费品及烟花爆竹网点建设覆盖率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4、农村金融体系建设</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面向涉农企业、专业合作经济组织、农业大户以及中小企业等，提供专业、便捷、高效的信贷支持及投资担保服务。</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解决“三农”企业的融资难问题，促进全区新农村流通和投融资体系建设。</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专业合作社经济组织建设进度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涉农企业改革进度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农业大户及中小企业改革进度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5、服务体系建设</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为充分发挥基层党组织的战斗堡垒作用，引导广大党员为深化供销社综合改革作出积极贡献，省委组织部、省供销社党组研究决定，在全省供销社系统组织实施“旗帜供销”工程，积极探索基层服务型党组织。</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在全区供销系统符合条件的单位建起基层党组织；党组织工作制度健全完善，工作运行规范；党员全部亮明身份，做到配牌上岗，发挥表率作用。</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工作制度完善率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发挥党员表率作用完成率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基层党组织建设完成度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三、供销合作政务管理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管理运营本级社有资产，对直属企业行使出资人职能，依法享有所有者的资产收益、重大问题决策和选择管理者的权利，决定资产收益办法和支配方式。负责机关及直属单位党建、精神文明建设和政治思想工作，按照干部管理权限考察任免干部。</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以供销社综合改革为契机，盘活现有资产、推进社属企业改革，维护区直和谐稳定局面。</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制订区供销系统发展战略和规划、指导区直系统业务活动、确保社有资产保值增值，确保职工队伍稳定。</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确保各项业务工作谋划到位、顺利开展，保障机关工作正常高效运转。</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区社系统综合业务完成率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系统业务活动完成率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综合行政事务办结率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四、农村产权交易管理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按照廊坊市广阳区人民政府办公室关于印发《广阳区农村产权交易中心组建方案的通知》（廊广政办【2017】4号）要求，负责发布区域内农村产权交易信息，受理交易咨询和申请，协助产权查询，组织交易，依法出具产权流转交易鉴定书，协助办理产权交易变更登记和资金结算手续等基本服务。2.可以根据自身条件，开展资金评估、法律服务、产权经纪、项目推介、抵押融资等配套服务。3.还可以引入财会、法律、资产评估等中介服务组织以及银行、保险等金融机构和担保公司，为农村产权流转交易提供专业化服务。</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借助供销社现有组织体系，经营网点，资产设施，农村金融业务等为农服务资源，逐步发展成为集信息发布汇总，产权交易、法律咨询、资产平复、抵押融资等为一体的区级为农服务平台</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1、农村产权交易建设及管理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按照市、区两级政府工作要求，制定《广阳区农村产权交易管理办法和发展计划》，并逐一开展业务，促进区域农村产权交易正规化管理，逐步建成规范有序的农村产权流转交易体系。</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开展交易签证活动</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工作制度完善率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农村产权交易体系完成情况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综合行政事务办结率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综合行政事务办结率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bl>
    <w:p>
      <w:pPr>
        <w:spacing w:line="300" w:lineRule="exact"/>
        <w:jc w:val="left"/>
        <w:outlineLvl w:val="0"/>
        <w:rPr>
          <w:rFonts w:eastAsiaTheme="minorEastAsia"/>
        </w:rPr>
        <w:sectPr>
          <w:pgSz w:w="16839" w:h="11907" w:orient="landscape"/>
          <w:pgMar w:top="1020" w:right="1361" w:bottom="1020" w:left="1361" w:header="851" w:footer="992" w:gutter="0"/>
          <w:cols w:space="720" w:num="1"/>
          <w:docGrid w:type="lines" w:linePitch="312" w:charSpace="0"/>
        </w:sectPr>
      </w:pPr>
    </w:p>
    <w:bookmarkEnd w:id="1"/>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六、政府采购预算情况</w:t>
      </w:r>
    </w:p>
    <w:p>
      <w:pPr>
        <w:spacing w:line="584" w:lineRule="exact"/>
        <w:ind w:firstLine="640" w:firstLineChars="200"/>
        <w:outlineLvl w:val="0"/>
        <w:rPr>
          <w:rFonts w:ascii="Times New Roman" w:hAnsi="Times New Roman" w:eastAsia="仿宋_GB2312"/>
          <w:sz w:val="32"/>
          <w:szCs w:val="24"/>
        </w:rPr>
      </w:pPr>
      <w:bookmarkStart w:id="2" w:name="_Toc471398468"/>
      <w:r>
        <w:rPr>
          <w:rFonts w:ascii="Times New Roman" w:hAnsi="Times New Roman" w:eastAsia="仿宋_GB2312"/>
          <w:sz w:val="32"/>
          <w:szCs w:val="24"/>
        </w:rPr>
        <w:t>2019</w:t>
      </w:r>
      <w:r>
        <w:rPr>
          <w:rFonts w:hint="eastAsia" w:ascii="Times New Roman" w:hAnsi="Times New Roman" w:eastAsia="仿宋_GB2312"/>
          <w:sz w:val="32"/>
          <w:szCs w:val="24"/>
        </w:rPr>
        <w:t>年，我部门安排政府采购预算</w:t>
      </w:r>
      <w:r>
        <w:rPr>
          <w:rFonts w:ascii="Times New Roman" w:hAnsi="Times New Roman" w:eastAsia="仿宋_GB2312"/>
          <w:sz w:val="32"/>
          <w:szCs w:val="24"/>
        </w:rPr>
        <w:t>0</w:t>
      </w:r>
      <w:r>
        <w:rPr>
          <w:rFonts w:hint="eastAsia" w:ascii="Times New Roman" w:hAnsi="Times New Roman" w:eastAsia="仿宋_GB2312"/>
          <w:sz w:val="32"/>
          <w:szCs w:val="24"/>
        </w:rPr>
        <w:t>万元。具体内容见下表。</w:t>
      </w:r>
    </w:p>
    <w:bookmarkEnd w:id="2"/>
    <w:p>
      <w:pPr>
        <w:spacing w:line="584" w:lineRule="exact"/>
        <w:jc w:val="center"/>
        <w:outlineLvl w:val="0"/>
        <w:rPr>
          <w:rFonts w:ascii="Times New Roman" w:hAnsi="Times New Roman" w:eastAsia="仿宋_GB2312"/>
          <w:sz w:val="32"/>
        </w:rPr>
      </w:pPr>
      <w:bookmarkStart w:id="3" w:name="_Toc504489153"/>
      <w:r>
        <w:rPr>
          <w:rFonts w:hint="eastAsia" w:ascii="Times New Roman" w:hAnsi="Times New Roman" w:eastAsia="仿宋_GB2312"/>
          <w:sz w:val="32"/>
        </w:rPr>
        <w:t>部门政府采购预算</w:t>
      </w:r>
      <w:bookmarkEnd w:id="3"/>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6" w:type="pct"/>
            <w:gridSpan w:val="7"/>
            <w:tcBorders>
              <w:top w:val="single" w:color="FFFFFF" w:sz="6" w:space="0"/>
              <w:left w:val="single" w:color="FFFFFF" w:sz="6" w:space="0"/>
              <w:right w:val="single" w:color="FFFFFF" w:sz="6" w:space="0"/>
            </w:tcBorders>
            <w:vAlign w:val="center"/>
          </w:tcPr>
          <w:p>
            <w:pPr>
              <w:spacing w:line="584" w:lineRule="exact"/>
              <w:jc w:val="left"/>
              <w:rPr>
                <w:rFonts w:ascii="Times New Roman" w:hAnsi="Times New Roman" w:eastAsia="仿宋_GB2312"/>
                <w:sz w:val="24"/>
              </w:rPr>
            </w:pPr>
            <w:r>
              <w:rPr>
                <w:rFonts w:hint="eastAsia" w:ascii="Times New Roman" w:hAnsi="Times New Roman" w:eastAsia="仿宋_GB2312"/>
                <w:sz w:val="24"/>
              </w:rPr>
              <w:t>639廊坊市广阳区供销合作社联合社</w:t>
            </w:r>
          </w:p>
        </w:tc>
        <w:tc>
          <w:tcPr>
            <w:tcW w:w="2194" w:type="pct"/>
            <w:gridSpan w:val="7"/>
            <w:tcBorders>
              <w:top w:val="single" w:color="FFFFFF" w:sz="6" w:space="0"/>
              <w:left w:val="single" w:color="FFFFFF" w:sz="6" w:space="0"/>
              <w:right w:val="single" w:color="FFFFFF" w:sz="6" w:space="0"/>
            </w:tcBorders>
            <w:vAlign w:val="center"/>
          </w:tcPr>
          <w:p>
            <w:pPr>
              <w:spacing w:line="584" w:lineRule="exact"/>
              <w:jc w:val="right"/>
              <w:rPr>
                <w:rFonts w:ascii="Times New Roman" w:hAnsi="Times New Roman" w:eastAsia="仿宋_GB2312"/>
                <w:sz w:val="24"/>
              </w:rPr>
            </w:pPr>
            <w:r>
              <w:rPr>
                <w:rFonts w:hint="eastAsia" w:ascii="Times New Roman" w:hAnsi="Times New Roman"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89" w:type="pct"/>
            <w:gridSpan w:val="2"/>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政府采购项目来源</w:t>
            </w:r>
          </w:p>
        </w:tc>
        <w:tc>
          <w:tcPr>
            <w:tcW w:w="320"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采购物品名称</w:t>
            </w:r>
          </w:p>
        </w:tc>
        <w:tc>
          <w:tcPr>
            <w:tcW w:w="471"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政府采购目录序号</w:t>
            </w:r>
          </w:p>
        </w:tc>
        <w:tc>
          <w:tcPr>
            <w:tcW w:w="247"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数量单位</w:t>
            </w:r>
          </w:p>
        </w:tc>
        <w:tc>
          <w:tcPr>
            <w:tcW w:w="254"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数量</w:t>
            </w:r>
          </w:p>
        </w:tc>
        <w:tc>
          <w:tcPr>
            <w:tcW w:w="326"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单价</w:t>
            </w:r>
          </w:p>
        </w:tc>
        <w:tc>
          <w:tcPr>
            <w:tcW w:w="2194" w:type="pct"/>
            <w:gridSpan w:val="7"/>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项目名称</w:t>
            </w:r>
          </w:p>
        </w:tc>
        <w:tc>
          <w:tcPr>
            <w:tcW w:w="363"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预算资金</w:t>
            </w:r>
          </w:p>
        </w:tc>
        <w:tc>
          <w:tcPr>
            <w:tcW w:w="320" w:type="pct"/>
            <w:vMerge w:val="continue"/>
            <w:vAlign w:val="center"/>
          </w:tcPr>
          <w:p>
            <w:pPr>
              <w:spacing w:line="584" w:lineRule="exact"/>
              <w:jc w:val="left"/>
              <w:outlineLvl w:val="0"/>
              <w:rPr>
                <w:rFonts w:ascii="Times New Roman" w:hAnsi="Times New Roman" w:eastAsia="仿宋_GB2312"/>
              </w:rPr>
            </w:pPr>
          </w:p>
        </w:tc>
        <w:tc>
          <w:tcPr>
            <w:tcW w:w="471" w:type="pct"/>
            <w:vMerge w:val="continue"/>
            <w:vAlign w:val="center"/>
          </w:tcPr>
          <w:p>
            <w:pPr>
              <w:spacing w:line="584" w:lineRule="exact"/>
              <w:jc w:val="left"/>
              <w:outlineLvl w:val="0"/>
              <w:rPr>
                <w:rFonts w:ascii="Times New Roman" w:hAnsi="Times New Roman" w:eastAsia="仿宋_GB2312"/>
              </w:rPr>
            </w:pPr>
          </w:p>
        </w:tc>
        <w:tc>
          <w:tcPr>
            <w:tcW w:w="247" w:type="pct"/>
            <w:vMerge w:val="continue"/>
            <w:vAlign w:val="center"/>
          </w:tcPr>
          <w:p>
            <w:pPr>
              <w:spacing w:line="584" w:lineRule="exact"/>
              <w:jc w:val="left"/>
              <w:outlineLvl w:val="0"/>
              <w:rPr>
                <w:rFonts w:ascii="Times New Roman" w:hAnsi="Times New Roman" w:eastAsia="仿宋_GB2312"/>
              </w:rPr>
            </w:pPr>
          </w:p>
        </w:tc>
        <w:tc>
          <w:tcPr>
            <w:tcW w:w="254" w:type="pct"/>
            <w:vMerge w:val="continue"/>
            <w:vAlign w:val="center"/>
          </w:tcPr>
          <w:p>
            <w:pPr>
              <w:spacing w:line="584" w:lineRule="exact"/>
              <w:jc w:val="left"/>
              <w:outlineLvl w:val="0"/>
              <w:rPr>
                <w:rFonts w:ascii="Times New Roman" w:hAnsi="Times New Roman" w:eastAsia="仿宋_GB2312"/>
              </w:rPr>
            </w:pPr>
          </w:p>
        </w:tc>
        <w:tc>
          <w:tcPr>
            <w:tcW w:w="326" w:type="pct"/>
            <w:vMerge w:val="continue"/>
            <w:vAlign w:val="center"/>
          </w:tcPr>
          <w:p>
            <w:pPr>
              <w:spacing w:line="584" w:lineRule="exact"/>
              <w:jc w:val="left"/>
              <w:outlineLvl w:val="0"/>
              <w:rPr>
                <w:rFonts w:ascii="Times New Roman" w:hAnsi="Times New Roman" w:eastAsia="仿宋_GB2312"/>
              </w:rPr>
            </w:pPr>
          </w:p>
        </w:tc>
        <w:tc>
          <w:tcPr>
            <w:tcW w:w="328"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总计</w:t>
            </w:r>
          </w:p>
        </w:tc>
        <w:tc>
          <w:tcPr>
            <w:tcW w:w="1563" w:type="pct"/>
            <w:gridSpan w:val="5"/>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当年部门预算安排资金</w:t>
            </w:r>
          </w:p>
        </w:tc>
        <w:tc>
          <w:tcPr>
            <w:tcW w:w="302"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continue"/>
            <w:vAlign w:val="center"/>
          </w:tcPr>
          <w:p>
            <w:pPr>
              <w:spacing w:line="584" w:lineRule="exact"/>
              <w:jc w:val="left"/>
              <w:outlineLvl w:val="0"/>
              <w:rPr>
                <w:rFonts w:ascii="Times New Roman" w:hAnsi="Times New Roman" w:eastAsia="仿宋_GB2312"/>
              </w:rPr>
            </w:pPr>
          </w:p>
        </w:tc>
        <w:tc>
          <w:tcPr>
            <w:tcW w:w="363" w:type="pct"/>
            <w:vMerge w:val="continue"/>
            <w:vAlign w:val="center"/>
          </w:tcPr>
          <w:p>
            <w:pPr>
              <w:spacing w:line="584" w:lineRule="exact"/>
              <w:jc w:val="left"/>
              <w:outlineLvl w:val="0"/>
              <w:rPr>
                <w:rFonts w:ascii="Times New Roman" w:hAnsi="Times New Roman" w:eastAsia="仿宋_GB2312"/>
              </w:rPr>
            </w:pPr>
          </w:p>
        </w:tc>
        <w:tc>
          <w:tcPr>
            <w:tcW w:w="320" w:type="pct"/>
            <w:vMerge w:val="continue"/>
            <w:vAlign w:val="center"/>
          </w:tcPr>
          <w:p>
            <w:pPr>
              <w:spacing w:line="584" w:lineRule="exact"/>
              <w:jc w:val="left"/>
              <w:outlineLvl w:val="0"/>
              <w:rPr>
                <w:rFonts w:ascii="Times New Roman" w:hAnsi="Times New Roman" w:eastAsia="仿宋_GB2312"/>
              </w:rPr>
            </w:pPr>
          </w:p>
        </w:tc>
        <w:tc>
          <w:tcPr>
            <w:tcW w:w="471" w:type="pct"/>
            <w:vMerge w:val="continue"/>
            <w:vAlign w:val="center"/>
          </w:tcPr>
          <w:p>
            <w:pPr>
              <w:spacing w:line="584" w:lineRule="exact"/>
              <w:jc w:val="left"/>
              <w:outlineLvl w:val="0"/>
              <w:rPr>
                <w:rFonts w:ascii="Times New Roman" w:hAnsi="Times New Roman" w:eastAsia="仿宋_GB2312"/>
              </w:rPr>
            </w:pPr>
          </w:p>
        </w:tc>
        <w:tc>
          <w:tcPr>
            <w:tcW w:w="247" w:type="pct"/>
            <w:vMerge w:val="continue"/>
            <w:vAlign w:val="center"/>
          </w:tcPr>
          <w:p>
            <w:pPr>
              <w:spacing w:line="584" w:lineRule="exact"/>
              <w:jc w:val="left"/>
              <w:outlineLvl w:val="0"/>
              <w:rPr>
                <w:rFonts w:ascii="Times New Roman" w:hAnsi="Times New Roman" w:eastAsia="仿宋_GB2312"/>
              </w:rPr>
            </w:pPr>
          </w:p>
        </w:tc>
        <w:tc>
          <w:tcPr>
            <w:tcW w:w="254" w:type="pct"/>
            <w:vMerge w:val="continue"/>
            <w:vAlign w:val="center"/>
          </w:tcPr>
          <w:p>
            <w:pPr>
              <w:spacing w:line="584" w:lineRule="exact"/>
              <w:jc w:val="left"/>
              <w:outlineLvl w:val="0"/>
              <w:rPr>
                <w:rFonts w:ascii="Times New Roman" w:hAnsi="Times New Roman" w:eastAsia="仿宋_GB2312"/>
              </w:rPr>
            </w:pPr>
          </w:p>
        </w:tc>
        <w:tc>
          <w:tcPr>
            <w:tcW w:w="326" w:type="pct"/>
            <w:vMerge w:val="continue"/>
            <w:vAlign w:val="center"/>
          </w:tcPr>
          <w:p>
            <w:pPr>
              <w:spacing w:line="584" w:lineRule="exact"/>
              <w:jc w:val="left"/>
              <w:outlineLvl w:val="0"/>
              <w:rPr>
                <w:rFonts w:ascii="Times New Roman" w:hAnsi="Times New Roman" w:eastAsia="仿宋_GB2312"/>
              </w:rPr>
            </w:pPr>
          </w:p>
        </w:tc>
        <w:tc>
          <w:tcPr>
            <w:tcW w:w="328" w:type="pct"/>
            <w:vMerge w:val="continue"/>
            <w:vAlign w:val="center"/>
          </w:tcPr>
          <w:p>
            <w:pPr>
              <w:spacing w:line="584" w:lineRule="exact"/>
              <w:jc w:val="left"/>
              <w:outlineLvl w:val="0"/>
              <w:rPr>
                <w:rFonts w:ascii="Times New Roman" w:hAnsi="Times New Roman" w:eastAsia="仿宋_GB2312"/>
              </w:rPr>
            </w:pPr>
          </w:p>
        </w:tc>
        <w:tc>
          <w:tcPr>
            <w:tcW w:w="328" w:type="pc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合计</w:t>
            </w:r>
          </w:p>
        </w:tc>
        <w:tc>
          <w:tcPr>
            <w:tcW w:w="328" w:type="pc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一般公共预算拨款</w:t>
            </w:r>
          </w:p>
        </w:tc>
        <w:tc>
          <w:tcPr>
            <w:tcW w:w="271" w:type="pc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基金预算拨款</w:t>
            </w:r>
          </w:p>
        </w:tc>
        <w:tc>
          <w:tcPr>
            <w:tcW w:w="317" w:type="pc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财政专户核拨</w:t>
            </w:r>
          </w:p>
        </w:tc>
        <w:tc>
          <w:tcPr>
            <w:tcW w:w="319" w:type="pc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其他来源收入</w:t>
            </w:r>
          </w:p>
        </w:tc>
        <w:tc>
          <w:tcPr>
            <w:tcW w:w="302" w:type="pct"/>
            <w:vMerge w:val="continue"/>
            <w:vAlign w:val="center"/>
          </w:tcPr>
          <w:p>
            <w:pPr>
              <w:spacing w:line="584" w:lineRule="exact"/>
              <w:jc w:val="left"/>
              <w:outlineLvl w:val="0"/>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合　计</w:t>
            </w:r>
          </w:p>
        </w:tc>
        <w:tc>
          <w:tcPr>
            <w:tcW w:w="363" w:type="pct"/>
            <w:vAlign w:val="center"/>
          </w:tcPr>
          <w:p>
            <w:pPr>
              <w:spacing w:line="584" w:lineRule="exact"/>
              <w:jc w:val="right"/>
              <w:rPr>
                <w:rFonts w:ascii="Times New Roman" w:hAnsi="Times New Roman" w:eastAsia="仿宋_GB2312"/>
                <w:b/>
              </w:rPr>
            </w:pPr>
          </w:p>
        </w:tc>
        <w:tc>
          <w:tcPr>
            <w:tcW w:w="320" w:type="pct"/>
            <w:vAlign w:val="center"/>
          </w:tcPr>
          <w:p>
            <w:pPr>
              <w:spacing w:line="584" w:lineRule="exact"/>
              <w:jc w:val="left"/>
              <w:rPr>
                <w:rFonts w:ascii="Times New Roman" w:hAnsi="Times New Roman" w:eastAsia="仿宋_GB2312"/>
                <w:b/>
              </w:rPr>
            </w:pPr>
          </w:p>
        </w:tc>
        <w:tc>
          <w:tcPr>
            <w:tcW w:w="471" w:type="pct"/>
            <w:vAlign w:val="center"/>
          </w:tcPr>
          <w:p>
            <w:pPr>
              <w:spacing w:line="584" w:lineRule="exact"/>
              <w:jc w:val="left"/>
              <w:rPr>
                <w:rFonts w:ascii="Times New Roman" w:hAnsi="Times New Roman" w:eastAsia="仿宋_GB2312"/>
                <w:b/>
              </w:rPr>
            </w:pPr>
          </w:p>
        </w:tc>
        <w:tc>
          <w:tcPr>
            <w:tcW w:w="247" w:type="pct"/>
            <w:vAlign w:val="center"/>
          </w:tcPr>
          <w:p>
            <w:pPr>
              <w:spacing w:line="584" w:lineRule="exact"/>
              <w:jc w:val="left"/>
              <w:rPr>
                <w:rFonts w:ascii="Times New Roman" w:hAnsi="Times New Roman" w:eastAsia="仿宋_GB2312"/>
                <w:b/>
              </w:rPr>
            </w:pPr>
          </w:p>
        </w:tc>
        <w:tc>
          <w:tcPr>
            <w:tcW w:w="254" w:type="pct"/>
            <w:vAlign w:val="center"/>
          </w:tcPr>
          <w:p>
            <w:pPr>
              <w:spacing w:line="584" w:lineRule="exact"/>
              <w:jc w:val="right"/>
              <w:rPr>
                <w:rFonts w:ascii="Times New Roman" w:hAnsi="Times New Roman" w:eastAsia="仿宋_GB2312"/>
                <w:b/>
              </w:rPr>
            </w:pPr>
          </w:p>
        </w:tc>
        <w:tc>
          <w:tcPr>
            <w:tcW w:w="326" w:type="pct"/>
            <w:vAlign w:val="center"/>
          </w:tcPr>
          <w:p>
            <w:pPr>
              <w:spacing w:line="584" w:lineRule="exact"/>
              <w:jc w:val="right"/>
              <w:rPr>
                <w:rFonts w:ascii="Times New Roman" w:hAnsi="Times New Roman" w:eastAsia="仿宋_GB2312"/>
                <w:b/>
              </w:rPr>
            </w:pPr>
          </w:p>
        </w:tc>
        <w:tc>
          <w:tcPr>
            <w:tcW w:w="328" w:type="pct"/>
            <w:vAlign w:val="center"/>
          </w:tcPr>
          <w:p>
            <w:pPr>
              <w:spacing w:line="584" w:lineRule="exact"/>
              <w:jc w:val="right"/>
              <w:rPr>
                <w:rFonts w:ascii="Times New Roman" w:hAnsi="Times New Roman" w:eastAsia="仿宋_GB2312"/>
                <w:b/>
              </w:rPr>
            </w:pPr>
          </w:p>
        </w:tc>
        <w:tc>
          <w:tcPr>
            <w:tcW w:w="328" w:type="pct"/>
            <w:vAlign w:val="center"/>
          </w:tcPr>
          <w:p>
            <w:pPr>
              <w:spacing w:line="584" w:lineRule="exact"/>
              <w:jc w:val="right"/>
              <w:rPr>
                <w:rFonts w:ascii="Times New Roman" w:hAnsi="Times New Roman" w:eastAsia="仿宋_GB2312"/>
                <w:b/>
              </w:rPr>
            </w:pPr>
          </w:p>
        </w:tc>
        <w:tc>
          <w:tcPr>
            <w:tcW w:w="328" w:type="pct"/>
            <w:vAlign w:val="center"/>
          </w:tcPr>
          <w:p>
            <w:pPr>
              <w:spacing w:line="584" w:lineRule="exact"/>
              <w:jc w:val="right"/>
              <w:rPr>
                <w:rFonts w:ascii="Times New Roman" w:hAnsi="Times New Roman" w:eastAsia="仿宋_GB2312"/>
                <w:b/>
              </w:rPr>
            </w:pPr>
          </w:p>
        </w:tc>
        <w:tc>
          <w:tcPr>
            <w:tcW w:w="271" w:type="pct"/>
            <w:vAlign w:val="center"/>
          </w:tcPr>
          <w:p>
            <w:pPr>
              <w:spacing w:line="584" w:lineRule="exact"/>
              <w:jc w:val="right"/>
              <w:rPr>
                <w:rFonts w:ascii="Times New Roman" w:hAnsi="Times New Roman" w:eastAsia="仿宋_GB2312"/>
                <w:b/>
              </w:rPr>
            </w:pPr>
          </w:p>
        </w:tc>
        <w:tc>
          <w:tcPr>
            <w:tcW w:w="317" w:type="pct"/>
            <w:vAlign w:val="center"/>
          </w:tcPr>
          <w:p>
            <w:pPr>
              <w:spacing w:line="584" w:lineRule="exact"/>
              <w:jc w:val="right"/>
              <w:rPr>
                <w:rFonts w:ascii="Times New Roman" w:hAnsi="Times New Roman" w:eastAsia="仿宋_GB2312"/>
                <w:b/>
              </w:rPr>
            </w:pPr>
          </w:p>
        </w:tc>
        <w:tc>
          <w:tcPr>
            <w:tcW w:w="319" w:type="pct"/>
            <w:vAlign w:val="center"/>
          </w:tcPr>
          <w:p>
            <w:pPr>
              <w:spacing w:line="584" w:lineRule="exact"/>
              <w:jc w:val="right"/>
              <w:rPr>
                <w:rFonts w:ascii="Times New Roman" w:hAnsi="Times New Roman" w:eastAsia="仿宋_GB2312"/>
                <w:b/>
              </w:rPr>
            </w:pPr>
          </w:p>
        </w:tc>
        <w:tc>
          <w:tcPr>
            <w:tcW w:w="302" w:type="pct"/>
            <w:vAlign w:val="center"/>
          </w:tcPr>
          <w:p>
            <w:pPr>
              <w:spacing w:line="584" w:lineRule="exact"/>
              <w:jc w:val="right"/>
              <w:rPr>
                <w:rFonts w:ascii="Times New Roman" w:hAnsi="Times New Roman" w:eastAsia="仿宋_GB2312"/>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vAlign w:val="center"/>
          </w:tcPr>
          <w:p>
            <w:pPr>
              <w:spacing w:line="584" w:lineRule="exact"/>
              <w:jc w:val="center"/>
              <w:rPr>
                <w:rFonts w:ascii="Times New Roman" w:hAnsi="Times New Roman" w:eastAsia="仿宋_GB2312"/>
                <w:b/>
              </w:rPr>
            </w:pPr>
          </w:p>
        </w:tc>
        <w:tc>
          <w:tcPr>
            <w:tcW w:w="363" w:type="pct"/>
            <w:vAlign w:val="center"/>
          </w:tcPr>
          <w:p>
            <w:pPr>
              <w:spacing w:line="584" w:lineRule="exact"/>
              <w:jc w:val="right"/>
              <w:rPr>
                <w:rFonts w:ascii="Times New Roman" w:hAnsi="Times New Roman" w:eastAsia="仿宋_GB2312"/>
                <w:b/>
              </w:rPr>
            </w:pPr>
          </w:p>
        </w:tc>
        <w:tc>
          <w:tcPr>
            <w:tcW w:w="320" w:type="pct"/>
            <w:vAlign w:val="center"/>
          </w:tcPr>
          <w:p>
            <w:pPr>
              <w:spacing w:line="584" w:lineRule="exact"/>
              <w:jc w:val="left"/>
              <w:rPr>
                <w:rFonts w:ascii="Times New Roman" w:hAnsi="Times New Roman" w:eastAsia="仿宋_GB2312"/>
                <w:b/>
              </w:rPr>
            </w:pPr>
          </w:p>
        </w:tc>
        <w:tc>
          <w:tcPr>
            <w:tcW w:w="471" w:type="pct"/>
            <w:vAlign w:val="center"/>
          </w:tcPr>
          <w:p>
            <w:pPr>
              <w:spacing w:line="584" w:lineRule="exact"/>
              <w:jc w:val="left"/>
              <w:rPr>
                <w:rFonts w:ascii="Times New Roman" w:hAnsi="Times New Roman" w:eastAsia="仿宋_GB2312"/>
                <w:b/>
              </w:rPr>
            </w:pPr>
          </w:p>
        </w:tc>
        <w:tc>
          <w:tcPr>
            <w:tcW w:w="247" w:type="pct"/>
            <w:vAlign w:val="center"/>
          </w:tcPr>
          <w:p>
            <w:pPr>
              <w:spacing w:line="584" w:lineRule="exact"/>
              <w:jc w:val="left"/>
              <w:rPr>
                <w:rFonts w:ascii="Times New Roman" w:hAnsi="Times New Roman" w:eastAsia="仿宋_GB2312"/>
                <w:b/>
              </w:rPr>
            </w:pPr>
          </w:p>
        </w:tc>
        <w:tc>
          <w:tcPr>
            <w:tcW w:w="254" w:type="pct"/>
            <w:vAlign w:val="center"/>
          </w:tcPr>
          <w:p>
            <w:pPr>
              <w:spacing w:line="584" w:lineRule="exact"/>
              <w:jc w:val="right"/>
              <w:rPr>
                <w:rFonts w:ascii="Times New Roman" w:hAnsi="Times New Roman" w:eastAsia="仿宋_GB2312"/>
                <w:b/>
              </w:rPr>
            </w:pPr>
          </w:p>
        </w:tc>
        <w:tc>
          <w:tcPr>
            <w:tcW w:w="326" w:type="pct"/>
            <w:vAlign w:val="center"/>
          </w:tcPr>
          <w:p>
            <w:pPr>
              <w:spacing w:line="584" w:lineRule="exact"/>
              <w:jc w:val="right"/>
              <w:rPr>
                <w:rFonts w:ascii="Times New Roman" w:hAnsi="Times New Roman" w:eastAsia="仿宋_GB2312"/>
                <w:b/>
              </w:rPr>
            </w:pPr>
          </w:p>
        </w:tc>
        <w:tc>
          <w:tcPr>
            <w:tcW w:w="328" w:type="pct"/>
            <w:vAlign w:val="center"/>
          </w:tcPr>
          <w:p>
            <w:pPr>
              <w:spacing w:line="584" w:lineRule="exact"/>
              <w:jc w:val="right"/>
              <w:rPr>
                <w:rFonts w:ascii="Times New Roman" w:hAnsi="Times New Roman" w:eastAsia="仿宋_GB2312"/>
                <w:b/>
              </w:rPr>
            </w:pPr>
          </w:p>
        </w:tc>
        <w:tc>
          <w:tcPr>
            <w:tcW w:w="328" w:type="pct"/>
            <w:vAlign w:val="center"/>
          </w:tcPr>
          <w:p>
            <w:pPr>
              <w:spacing w:line="584" w:lineRule="exact"/>
              <w:jc w:val="right"/>
              <w:rPr>
                <w:rFonts w:ascii="Times New Roman" w:hAnsi="Times New Roman" w:eastAsia="仿宋_GB2312"/>
                <w:b/>
              </w:rPr>
            </w:pPr>
          </w:p>
        </w:tc>
        <w:tc>
          <w:tcPr>
            <w:tcW w:w="328" w:type="pct"/>
            <w:vAlign w:val="center"/>
          </w:tcPr>
          <w:p>
            <w:pPr>
              <w:spacing w:line="584" w:lineRule="exact"/>
              <w:jc w:val="right"/>
              <w:rPr>
                <w:rFonts w:ascii="Times New Roman" w:hAnsi="Times New Roman" w:eastAsia="仿宋_GB2312"/>
                <w:b/>
              </w:rPr>
            </w:pPr>
          </w:p>
        </w:tc>
        <w:tc>
          <w:tcPr>
            <w:tcW w:w="271" w:type="pct"/>
            <w:vAlign w:val="center"/>
          </w:tcPr>
          <w:p>
            <w:pPr>
              <w:spacing w:line="584" w:lineRule="exact"/>
              <w:jc w:val="right"/>
              <w:rPr>
                <w:rFonts w:ascii="Times New Roman" w:hAnsi="Times New Roman" w:eastAsia="仿宋_GB2312"/>
                <w:b/>
              </w:rPr>
            </w:pPr>
          </w:p>
        </w:tc>
        <w:tc>
          <w:tcPr>
            <w:tcW w:w="317" w:type="pct"/>
            <w:vAlign w:val="center"/>
          </w:tcPr>
          <w:p>
            <w:pPr>
              <w:spacing w:line="584" w:lineRule="exact"/>
              <w:jc w:val="right"/>
              <w:rPr>
                <w:rFonts w:ascii="Times New Roman" w:hAnsi="Times New Roman" w:eastAsia="仿宋_GB2312"/>
                <w:b/>
              </w:rPr>
            </w:pPr>
          </w:p>
        </w:tc>
        <w:tc>
          <w:tcPr>
            <w:tcW w:w="319" w:type="pct"/>
            <w:vAlign w:val="center"/>
          </w:tcPr>
          <w:p>
            <w:pPr>
              <w:spacing w:line="584" w:lineRule="exact"/>
              <w:jc w:val="right"/>
              <w:rPr>
                <w:rFonts w:ascii="Times New Roman" w:hAnsi="Times New Roman" w:eastAsia="仿宋_GB2312"/>
                <w:b/>
              </w:rPr>
            </w:pPr>
          </w:p>
        </w:tc>
        <w:tc>
          <w:tcPr>
            <w:tcW w:w="302" w:type="pct"/>
            <w:vAlign w:val="center"/>
          </w:tcPr>
          <w:p>
            <w:pPr>
              <w:spacing w:line="584" w:lineRule="exact"/>
              <w:jc w:val="right"/>
              <w:rPr>
                <w:rFonts w:ascii="Times New Roman" w:hAnsi="Times New Roman" w:eastAsia="仿宋_GB2312"/>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vAlign w:val="center"/>
          </w:tcPr>
          <w:p>
            <w:pPr>
              <w:spacing w:line="584" w:lineRule="exact"/>
              <w:jc w:val="left"/>
              <w:rPr>
                <w:rFonts w:ascii="Times New Roman" w:hAnsi="Times New Roman" w:eastAsia="仿宋_GB2312"/>
              </w:rPr>
            </w:pPr>
          </w:p>
        </w:tc>
        <w:tc>
          <w:tcPr>
            <w:tcW w:w="363" w:type="pct"/>
            <w:vAlign w:val="center"/>
          </w:tcPr>
          <w:p>
            <w:pPr>
              <w:spacing w:line="584" w:lineRule="exact"/>
              <w:jc w:val="right"/>
              <w:rPr>
                <w:rFonts w:ascii="Times New Roman" w:hAnsi="Times New Roman" w:eastAsia="仿宋_GB2312"/>
              </w:rPr>
            </w:pPr>
          </w:p>
        </w:tc>
        <w:tc>
          <w:tcPr>
            <w:tcW w:w="320" w:type="pct"/>
            <w:vAlign w:val="center"/>
          </w:tcPr>
          <w:p>
            <w:pPr>
              <w:spacing w:line="584" w:lineRule="exact"/>
              <w:jc w:val="left"/>
              <w:rPr>
                <w:rFonts w:ascii="Times New Roman" w:hAnsi="Times New Roman" w:eastAsia="仿宋_GB2312"/>
              </w:rPr>
            </w:pPr>
          </w:p>
        </w:tc>
        <w:tc>
          <w:tcPr>
            <w:tcW w:w="471" w:type="pct"/>
            <w:vAlign w:val="center"/>
          </w:tcPr>
          <w:p>
            <w:pPr>
              <w:spacing w:line="584" w:lineRule="exact"/>
              <w:jc w:val="left"/>
              <w:rPr>
                <w:rFonts w:ascii="Times New Roman" w:hAnsi="Times New Roman" w:eastAsia="仿宋_GB2312"/>
              </w:rPr>
            </w:pPr>
          </w:p>
        </w:tc>
        <w:tc>
          <w:tcPr>
            <w:tcW w:w="247" w:type="pct"/>
            <w:vAlign w:val="center"/>
          </w:tcPr>
          <w:p>
            <w:pPr>
              <w:spacing w:line="584" w:lineRule="exact"/>
              <w:jc w:val="left"/>
              <w:rPr>
                <w:rFonts w:ascii="Times New Roman" w:hAnsi="Times New Roman" w:eastAsia="仿宋_GB2312"/>
              </w:rPr>
            </w:pPr>
          </w:p>
        </w:tc>
        <w:tc>
          <w:tcPr>
            <w:tcW w:w="254" w:type="pct"/>
            <w:vAlign w:val="center"/>
          </w:tcPr>
          <w:p>
            <w:pPr>
              <w:spacing w:line="584" w:lineRule="exact"/>
              <w:jc w:val="right"/>
              <w:rPr>
                <w:rFonts w:ascii="Times New Roman" w:hAnsi="Times New Roman" w:eastAsia="仿宋_GB2312"/>
              </w:rPr>
            </w:pPr>
          </w:p>
        </w:tc>
        <w:tc>
          <w:tcPr>
            <w:tcW w:w="326" w:type="pct"/>
            <w:vAlign w:val="center"/>
          </w:tcPr>
          <w:p>
            <w:pPr>
              <w:spacing w:line="584" w:lineRule="exact"/>
              <w:jc w:val="right"/>
              <w:rPr>
                <w:rFonts w:ascii="Times New Roman" w:hAnsi="Times New Roman" w:eastAsia="仿宋_GB2312"/>
              </w:rPr>
            </w:pPr>
          </w:p>
        </w:tc>
        <w:tc>
          <w:tcPr>
            <w:tcW w:w="328" w:type="pct"/>
            <w:vAlign w:val="center"/>
          </w:tcPr>
          <w:p>
            <w:pPr>
              <w:spacing w:line="584" w:lineRule="exact"/>
              <w:jc w:val="right"/>
              <w:rPr>
                <w:rFonts w:ascii="Times New Roman" w:hAnsi="Times New Roman" w:eastAsia="仿宋_GB2312"/>
              </w:rPr>
            </w:pPr>
          </w:p>
        </w:tc>
        <w:tc>
          <w:tcPr>
            <w:tcW w:w="328" w:type="pct"/>
            <w:vAlign w:val="center"/>
          </w:tcPr>
          <w:p>
            <w:pPr>
              <w:spacing w:line="584" w:lineRule="exact"/>
              <w:jc w:val="right"/>
              <w:rPr>
                <w:rFonts w:ascii="Times New Roman" w:hAnsi="Times New Roman" w:eastAsia="仿宋_GB2312"/>
              </w:rPr>
            </w:pPr>
          </w:p>
        </w:tc>
        <w:tc>
          <w:tcPr>
            <w:tcW w:w="328" w:type="pct"/>
            <w:vAlign w:val="center"/>
          </w:tcPr>
          <w:p>
            <w:pPr>
              <w:spacing w:line="584" w:lineRule="exact"/>
              <w:jc w:val="right"/>
              <w:rPr>
                <w:rFonts w:ascii="Times New Roman" w:hAnsi="Times New Roman" w:eastAsia="仿宋_GB2312"/>
              </w:rPr>
            </w:pPr>
          </w:p>
        </w:tc>
        <w:tc>
          <w:tcPr>
            <w:tcW w:w="271" w:type="pct"/>
            <w:vAlign w:val="center"/>
          </w:tcPr>
          <w:p>
            <w:pPr>
              <w:spacing w:line="584" w:lineRule="exact"/>
              <w:jc w:val="right"/>
              <w:rPr>
                <w:rFonts w:ascii="Times New Roman" w:hAnsi="Times New Roman" w:eastAsia="仿宋_GB2312"/>
              </w:rPr>
            </w:pPr>
          </w:p>
        </w:tc>
        <w:tc>
          <w:tcPr>
            <w:tcW w:w="317" w:type="pct"/>
            <w:vAlign w:val="center"/>
          </w:tcPr>
          <w:p>
            <w:pPr>
              <w:spacing w:line="584" w:lineRule="exact"/>
              <w:jc w:val="right"/>
              <w:rPr>
                <w:rFonts w:ascii="Times New Roman" w:hAnsi="Times New Roman" w:eastAsia="仿宋_GB2312"/>
              </w:rPr>
            </w:pPr>
          </w:p>
        </w:tc>
        <w:tc>
          <w:tcPr>
            <w:tcW w:w="319" w:type="pct"/>
            <w:vAlign w:val="center"/>
          </w:tcPr>
          <w:p>
            <w:pPr>
              <w:spacing w:line="584" w:lineRule="exact"/>
              <w:jc w:val="right"/>
              <w:rPr>
                <w:rFonts w:ascii="Times New Roman" w:hAnsi="Times New Roman" w:eastAsia="仿宋_GB2312"/>
              </w:rPr>
            </w:pPr>
          </w:p>
        </w:tc>
        <w:tc>
          <w:tcPr>
            <w:tcW w:w="302" w:type="pct"/>
            <w:vAlign w:val="center"/>
          </w:tcPr>
          <w:p>
            <w:pPr>
              <w:spacing w:line="584" w:lineRule="exact"/>
              <w:jc w:val="right"/>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vAlign w:val="center"/>
          </w:tcPr>
          <w:p>
            <w:pPr>
              <w:spacing w:line="584" w:lineRule="exact"/>
              <w:jc w:val="left"/>
              <w:rPr>
                <w:rFonts w:ascii="Times New Roman" w:hAnsi="Times New Roman" w:eastAsia="仿宋_GB2312"/>
              </w:rPr>
            </w:pPr>
          </w:p>
        </w:tc>
        <w:tc>
          <w:tcPr>
            <w:tcW w:w="363" w:type="pct"/>
            <w:vAlign w:val="center"/>
          </w:tcPr>
          <w:p>
            <w:pPr>
              <w:spacing w:line="584" w:lineRule="exact"/>
              <w:jc w:val="right"/>
              <w:rPr>
                <w:rFonts w:ascii="Times New Roman" w:hAnsi="Times New Roman" w:eastAsia="仿宋_GB2312"/>
              </w:rPr>
            </w:pPr>
          </w:p>
        </w:tc>
        <w:tc>
          <w:tcPr>
            <w:tcW w:w="320" w:type="pct"/>
            <w:vAlign w:val="center"/>
          </w:tcPr>
          <w:p>
            <w:pPr>
              <w:spacing w:line="584" w:lineRule="exact"/>
              <w:jc w:val="left"/>
              <w:rPr>
                <w:rFonts w:ascii="Times New Roman" w:hAnsi="Times New Roman" w:eastAsia="仿宋_GB2312"/>
              </w:rPr>
            </w:pPr>
          </w:p>
        </w:tc>
        <w:tc>
          <w:tcPr>
            <w:tcW w:w="471" w:type="pct"/>
            <w:vAlign w:val="center"/>
          </w:tcPr>
          <w:p>
            <w:pPr>
              <w:spacing w:line="584" w:lineRule="exact"/>
              <w:jc w:val="left"/>
              <w:rPr>
                <w:rFonts w:ascii="Times New Roman" w:hAnsi="Times New Roman" w:eastAsia="仿宋_GB2312"/>
              </w:rPr>
            </w:pPr>
          </w:p>
        </w:tc>
        <w:tc>
          <w:tcPr>
            <w:tcW w:w="247" w:type="pct"/>
            <w:vAlign w:val="center"/>
          </w:tcPr>
          <w:p>
            <w:pPr>
              <w:spacing w:line="584" w:lineRule="exact"/>
              <w:jc w:val="left"/>
              <w:rPr>
                <w:rFonts w:ascii="Times New Roman" w:hAnsi="Times New Roman" w:eastAsia="仿宋_GB2312"/>
              </w:rPr>
            </w:pPr>
          </w:p>
        </w:tc>
        <w:tc>
          <w:tcPr>
            <w:tcW w:w="254" w:type="pct"/>
            <w:vAlign w:val="center"/>
          </w:tcPr>
          <w:p>
            <w:pPr>
              <w:spacing w:line="584" w:lineRule="exact"/>
              <w:jc w:val="right"/>
              <w:rPr>
                <w:rFonts w:ascii="Times New Roman" w:hAnsi="Times New Roman" w:eastAsia="仿宋_GB2312"/>
              </w:rPr>
            </w:pPr>
          </w:p>
        </w:tc>
        <w:tc>
          <w:tcPr>
            <w:tcW w:w="326" w:type="pct"/>
            <w:vAlign w:val="center"/>
          </w:tcPr>
          <w:p>
            <w:pPr>
              <w:spacing w:line="584" w:lineRule="exact"/>
              <w:jc w:val="right"/>
              <w:rPr>
                <w:rFonts w:ascii="Times New Roman" w:hAnsi="Times New Roman" w:eastAsia="仿宋_GB2312"/>
              </w:rPr>
            </w:pPr>
          </w:p>
        </w:tc>
        <w:tc>
          <w:tcPr>
            <w:tcW w:w="328" w:type="pct"/>
            <w:vAlign w:val="center"/>
          </w:tcPr>
          <w:p>
            <w:pPr>
              <w:spacing w:line="584" w:lineRule="exact"/>
              <w:jc w:val="right"/>
              <w:rPr>
                <w:rFonts w:ascii="Times New Roman" w:hAnsi="Times New Roman" w:eastAsia="仿宋_GB2312"/>
              </w:rPr>
            </w:pPr>
          </w:p>
        </w:tc>
        <w:tc>
          <w:tcPr>
            <w:tcW w:w="328" w:type="pct"/>
            <w:vAlign w:val="center"/>
          </w:tcPr>
          <w:p>
            <w:pPr>
              <w:spacing w:line="584" w:lineRule="exact"/>
              <w:jc w:val="right"/>
              <w:rPr>
                <w:rFonts w:ascii="Times New Roman" w:hAnsi="Times New Roman" w:eastAsia="仿宋_GB2312"/>
              </w:rPr>
            </w:pPr>
          </w:p>
        </w:tc>
        <w:tc>
          <w:tcPr>
            <w:tcW w:w="328" w:type="pct"/>
            <w:vAlign w:val="center"/>
          </w:tcPr>
          <w:p>
            <w:pPr>
              <w:spacing w:line="584" w:lineRule="exact"/>
              <w:jc w:val="right"/>
              <w:rPr>
                <w:rFonts w:ascii="Times New Roman" w:hAnsi="Times New Roman" w:eastAsia="仿宋_GB2312"/>
              </w:rPr>
            </w:pPr>
          </w:p>
        </w:tc>
        <w:tc>
          <w:tcPr>
            <w:tcW w:w="271" w:type="pct"/>
            <w:vAlign w:val="center"/>
          </w:tcPr>
          <w:p>
            <w:pPr>
              <w:spacing w:line="584" w:lineRule="exact"/>
              <w:jc w:val="right"/>
              <w:rPr>
                <w:rFonts w:ascii="Times New Roman" w:hAnsi="Times New Roman" w:eastAsia="仿宋_GB2312"/>
              </w:rPr>
            </w:pPr>
          </w:p>
        </w:tc>
        <w:tc>
          <w:tcPr>
            <w:tcW w:w="317" w:type="pct"/>
            <w:vAlign w:val="center"/>
          </w:tcPr>
          <w:p>
            <w:pPr>
              <w:spacing w:line="584" w:lineRule="exact"/>
              <w:jc w:val="right"/>
              <w:rPr>
                <w:rFonts w:ascii="Times New Roman" w:hAnsi="Times New Roman" w:eastAsia="仿宋_GB2312"/>
              </w:rPr>
            </w:pPr>
          </w:p>
        </w:tc>
        <w:tc>
          <w:tcPr>
            <w:tcW w:w="319" w:type="pct"/>
            <w:vAlign w:val="center"/>
          </w:tcPr>
          <w:p>
            <w:pPr>
              <w:spacing w:line="584" w:lineRule="exact"/>
              <w:jc w:val="right"/>
              <w:rPr>
                <w:rFonts w:ascii="Times New Roman" w:hAnsi="Times New Roman" w:eastAsia="仿宋_GB2312"/>
              </w:rPr>
            </w:pPr>
          </w:p>
        </w:tc>
        <w:tc>
          <w:tcPr>
            <w:tcW w:w="302" w:type="pct"/>
            <w:vAlign w:val="center"/>
          </w:tcPr>
          <w:p>
            <w:pPr>
              <w:spacing w:line="584" w:lineRule="exact"/>
              <w:jc w:val="right"/>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vAlign w:val="center"/>
          </w:tcPr>
          <w:p>
            <w:pPr>
              <w:spacing w:line="584" w:lineRule="exact"/>
              <w:jc w:val="left"/>
              <w:rPr>
                <w:rFonts w:ascii="Times New Roman" w:hAnsi="Times New Roman" w:eastAsia="仿宋_GB2312"/>
              </w:rPr>
            </w:pPr>
          </w:p>
        </w:tc>
        <w:tc>
          <w:tcPr>
            <w:tcW w:w="363" w:type="pct"/>
            <w:vAlign w:val="center"/>
          </w:tcPr>
          <w:p>
            <w:pPr>
              <w:spacing w:line="584" w:lineRule="exact"/>
              <w:jc w:val="right"/>
              <w:rPr>
                <w:rFonts w:ascii="Times New Roman" w:hAnsi="Times New Roman" w:eastAsia="仿宋_GB2312"/>
              </w:rPr>
            </w:pPr>
          </w:p>
        </w:tc>
        <w:tc>
          <w:tcPr>
            <w:tcW w:w="320" w:type="pct"/>
            <w:vAlign w:val="center"/>
          </w:tcPr>
          <w:p>
            <w:pPr>
              <w:spacing w:line="584" w:lineRule="exact"/>
              <w:jc w:val="left"/>
              <w:rPr>
                <w:rFonts w:ascii="Times New Roman" w:hAnsi="Times New Roman" w:eastAsia="仿宋_GB2312"/>
              </w:rPr>
            </w:pPr>
          </w:p>
        </w:tc>
        <w:tc>
          <w:tcPr>
            <w:tcW w:w="471" w:type="pct"/>
            <w:vAlign w:val="center"/>
          </w:tcPr>
          <w:p>
            <w:pPr>
              <w:spacing w:line="584" w:lineRule="exact"/>
              <w:jc w:val="left"/>
              <w:rPr>
                <w:rFonts w:ascii="Times New Roman" w:hAnsi="Times New Roman" w:eastAsia="仿宋_GB2312"/>
              </w:rPr>
            </w:pPr>
          </w:p>
        </w:tc>
        <w:tc>
          <w:tcPr>
            <w:tcW w:w="247" w:type="pct"/>
            <w:vAlign w:val="center"/>
          </w:tcPr>
          <w:p>
            <w:pPr>
              <w:spacing w:line="584" w:lineRule="exact"/>
              <w:jc w:val="left"/>
              <w:rPr>
                <w:rFonts w:ascii="Times New Roman" w:hAnsi="Times New Roman" w:eastAsia="仿宋_GB2312"/>
              </w:rPr>
            </w:pPr>
          </w:p>
        </w:tc>
        <w:tc>
          <w:tcPr>
            <w:tcW w:w="254" w:type="pct"/>
            <w:vAlign w:val="center"/>
          </w:tcPr>
          <w:p>
            <w:pPr>
              <w:spacing w:line="584" w:lineRule="exact"/>
              <w:jc w:val="right"/>
              <w:rPr>
                <w:rFonts w:ascii="Times New Roman" w:hAnsi="Times New Roman" w:eastAsia="仿宋_GB2312"/>
              </w:rPr>
            </w:pPr>
          </w:p>
        </w:tc>
        <w:tc>
          <w:tcPr>
            <w:tcW w:w="326" w:type="pct"/>
            <w:vAlign w:val="center"/>
          </w:tcPr>
          <w:p>
            <w:pPr>
              <w:spacing w:line="584" w:lineRule="exact"/>
              <w:jc w:val="right"/>
              <w:rPr>
                <w:rFonts w:ascii="Times New Roman" w:hAnsi="Times New Roman" w:eastAsia="仿宋_GB2312"/>
              </w:rPr>
            </w:pPr>
          </w:p>
        </w:tc>
        <w:tc>
          <w:tcPr>
            <w:tcW w:w="328" w:type="pct"/>
            <w:vAlign w:val="center"/>
          </w:tcPr>
          <w:p>
            <w:pPr>
              <w:spacing w:line="584" w:lineRule="exact"/>
              <w:jc w:val="right"/>
              <w:rPr>
                <w:rFonts w:ascii="Times New Roman" w:hAnsi="Times New Roman" w:eastAsia="仿宋_GB2312"/>
              </w:rPr>
            </w:pPr>
          </w:p>
        </w:tc>
        <w:tc>
          <w:tcPr>
            <w:tcW w:w="328" w:type="pct"/>
            <w:vAlign w:val="center"/>
          </w:tcPr>
          <w:p>
            <w:pPr>
              <w:spacing w:line="584" w:lineRule="exact"/>
              <w:jc w:val="right"/>
              <w:rPr>
                <w:rFonts w:ascii="Times New Roman" w:hAnsi="Times New Roman" w:eastAsia="仿宋_GB2312"/>
              </w:rPr>
            </w:pPr>
          </w:p>
        </w:tc>
        <w:tc>
          <w:tcPr>
            <w:tcW w:w="328" w:type="pct"/>
            <w:vAlign w:val="center"/>
          </w:tcPr>
          <w:p>
            <w:pPr>
              <w:spacing w:line="584" w:lineRule="exact"/>
              <w:jc w:val="right"/>
              <w:rPr>
                <w:rFonts w:ascii="Times New Roman" w:hAnsi="Times New Roman" w:eastAsia="仿宋_GB2312"/>
              </w:rPr>
            </w:pPr>
          </w:p>
        </w:tc>
        <w:tc>
          <w:tcPr>
            <w:tcW w:w="271" w:type="pct"/>
            <w:vAlign w:val="center"/>
          </w:tcPr>
          <w:p>
            <w:pPr>
              <w:spacing w:line="584" w:lineRule="exact"/>
              <w:jc w:val="right"/>
              <w:rPr>
                <w:rFonts w:ascii="Times New Roman" w:hAnsi="Times New Roman" w:eastAsia="仿宋_GB2312"/>
              </w:rPr>
            </w:pPr>
          </w:p>
        </w:tc>
        <w:tc>
          <w:tcPr>
            <w:tcW w:w="317" w:type="pct"/>
            <w:vAlign w:val="center"/>
          </w:tcPr>
          <w:p>
            <w:pPr>
              <w:spacing w:line="584" w:lineRule="exact"/>
              <w:jc w:val="right"/>
              <w:rPr>
                <w:rFonts w:ascii="Times New Roman" w:hAnsi="Times New Roman" w:eastAsia="仿宋_GB2312"/>
              </w:rPr>
            </w:pPr>
          </w:p>
        </w:tc>
        <w:tc>
          <w:tcPr>
            <w:tcW w:w="319" w:type="pct"/>
            <w:vAlign w:val="center"/>
          </w:tcPr>
          <w:p>
            <w:pPr>
              <w:spacing w:line="584" w:lineRule="exact"/>
              <w:jc w:val="right"/>
              <w:rPr>
                <w:rFonts w:ascii="Times New Roman" w:hAnsi="Times New Roman" w:eastAsia="仿宋_GB2312"/>
              </w:rPr>
            </w:pPr>
          </w:p>
        </w:tc>
        <w:tc>
          <w:tcPr>
            <w:tcW w:w="302" w:type="pct"/>
            <w:vAlign w:val="center"/>
          </w:tcPr>
          <w:p>
            <w:pPr>
              <w:spacing w:line="584" w:lineRule="exact"/>
              <w:jc w:val="right"/>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vAlign w:val="center"/>
          </w:tcPr>
          <w:p>
            <w:pPr>
              <w:spacing w:line="584" w:lineRule="exact"/>
              <w:jc w:val="left"/>
              <w:rPr>
                <w:rFonts w:ascii="Times New Roman" w:hAnsi="Times New Roman" w:eastAsia="仿宋_GB2312"/>
              </w:rPr>
            </w:pPr>
          </w:p>
        </w:tc>
        <w:tc>
          <w:tcPr>
            <w:tcW w:w="363" w:type="pct"/>
            <w:vAlign w:val="center"/>
          </w:tcPr>
          <w:p>
            <w:pPr>
              <w:spacing w:line="584" w:lineRule="exact"/>
              <w:jc w:val="right"/>
              <w:rPr>
                <w:rFonts w:ascii="Times New Roman" w:hAnsi="Times New Roman" w:eastAsia="仿宋_GB2312"/>
              </w:rPr>
            </w:pPr>
          </w:p>
        </w:tc>
        <w:tc>
          <w:tcPr>
            <w:tcW w:w="320" w:type="pct"/>
            <w:vAlign w:val="center"/>
          </w:tcPr>
          <w:p>
            <w:pPr>
              <w:spacing w:line="584" w:lineRule="exact"/>
              <w:jc w:val="left"/>
              <w:rPr>
                <w:rFonts w:ascii="Times New Roman" w:hAnsi="Times New Roman" w:eastAsia="仿宋_GB2312"/>
              </w:rPr>
            </w:pPr>
          </w:p>
        </w:tc>
        <w:tc>
          <w:tcPr>
            <w:tcW w:w="471" w:type="pct"/>
            <w:vAlign w:val="center"/>
          </w:tcPr>
          <w:p>
            <w:pPr>
              <w:spacing w:line="584" w:lineRule="exact"/>
              <w:jc w:val="left"/>
              <w:rPr>
                <w:rFonts w:ascii="Times New Roman" w:hAnsi="Times New Roman" w:eastAsia="仿宋_GB2312"/>
              </w:rPr>
            </w:pPr>
          </w:p>
        </w:tc>
        <w:tc>
          <w:tcPr>
            <w:tcW w:w="247" w:type="pct"/>
            <w:vAlign w:val="center"/>
          </w:tcPr>
          <w:p>
            <w:pPr>
              <w:spacing w:line="584" w:lineRule="exact"/>
              <w:jc w:val="left"/>
              <w:rPr>
                <w:rFonts w:ascii="Times New Roman" w:hAnsi="Times New Roman" w:eastAsia="仿宋_GB2312"/>
              </w:rPr>
            </w:pPr>
          </w:p>
        </w:tc>
        <w:tc>
          <w:tcPr>
            <w:tcW w:w="254" w:type="pct"/>
            <w:vAlign w:val="center"/>
          </w:tcPr>
          <w:p>
            <w:pPr>
              <w:spacing w:line="584" w:lineRule="exact"/>
              <w:jc w:val="right"/>
              <w:rPr>
                <w:rFonts w:ascii="Times New Roman" w:hAnsi="Times New Roman" w:eastAsia="仿宋_GB2312"/>
              </w:rPr>
            </w:pPr>
          </w:p>
        </w:tc>
        <w:tc>
          <w:tcPr>
            <w:tcW w:w="326" w:type="pct"/>
            <w:vAlign w:val="center"/>
          </w:tcPr>
          <w:p>
            <w:pPr>
              <w:spacing w:line="584" w:lineRule="exact"/>
              <w:jc w:val="right"/>
              <w:rPr>
                <w:rFonts w:ascii="Times New Roman" w:hAnsi="Times New Roman" w:eastAsia="仿宋_GB2312"/>
              </w:rPr>
            </w:pPr>
          </w:p>
        </w:tc>
        <w:tc>
          <w:tcPr>
            <w:tcW w:w="328" w:type="pct"/>
            <w:vAlign w:val="center"/>
          </w:tcPr>
          <w:p>
            <w:pPr>
              <w:spacing w:line="584" w:lineRule="exact"/>
              <w:jc w:val="right"/>
              <w:rPr>
                <w:rFonts w:ascii="Times New Roman" w:hAnsi="Times New Roman" w:eastAsia="仿宋_GB2312"/>
              </w:rPr>
            </w:pPr>
          </w:p>
        </w:tc>
        <w:tc>
          <w:tcPr>
            <w:tcW w:w="328" w:type="pct"/>
            <w:vAlign w:val="center"/>
          </w:tcPr>
          <w:p>
            <w:pPr>
              <w:spacing w:line="584" w:lineRule="exact"/>
              <w:jc w:val="right"/>
              <w:rPr>
                <w:rFonts w:ascii="Times New Roman" w:hAnsi="Times New Roman" w:eastAsia="仿宋_GB2312"/>
              </w:rPr>
            </w:pPr>
          </w:p>
        </w:tc>
        <w:tc>
          <w:tcPr>
            <w:tcW w:w="328" w:type="pct"/>
            <w:vAlign w:val="center"/>
          </w:tcPr>
          <w:p>
            <w:pPr>
              <w:spacing w:line="584" w:lineRule="exact"/>
              <w:jc w:val="right"/>
              <w:rPr>
                <w:rFonts w:ascii="Times New Roman" w:hAnsi="Times New Roman" w:eastAsia="仿宋_GB2312"/>
              </w:rPr>
            </w:pPr>
          </w:p>
        </w:tc>
        <w:tc>
          <w:tcPr>
            <w:tcW w:w="271" w:type="pct"/>
            <w:vAlign w:val="center"/>
          </w:tcPr>
          <w:p>
            <w:pPr>
              <w:spacing w:line="584" w:lineRule="exact"/>
              <w:jc w:val="right"/>
              <w:rPr>
                <w:rFonts w:ascii="Times New Roman" w:hAnsi="Times New Roman" w:eastAsia="仿宋_GB2312"/>
              </w:rPr>
            </w:pPr>
          </w:p>
        </w:tc>
        <w:tc>
          <w:tcPr>
            <w:tcW w:w="317" w:type="pct"/>
            <w:vAlign w:val="center"/>
          </w:tcPr>
          <w:p>
            <w:pPr>
              <w:spacing w:line="584" w:lineRule="exact"/>
              <w:jc w:val="right"/>
              <w:rPr>
                <w:rFonts w:ascii="Times New Roman" w:hAnsi="Times New Roman" w:eastAsia="仿宋_GB2312"/>
              </w:rPr>
            </w:pPr>
          </w:p>
        </w:tc>
        <w:tc>
          <w:tcPr>
            <w:tcW w:w="319" w:type="pct"/>
            <w:vAlign w:val="center"/>
          </w:tcPr>
          <w:p>
            <w:pPr>
              <w:spacing w:line="584" w:lineRule="exact"/>
              <w:jc w:val="right"/>
              <w:rPr>
                <w:rFonts w:ascii="Times New Roman" w:hAnsi="Times New Roman" w:eastAsia="仿宋_GB2312"/>
              </w:rPr>
            </w:pPr>
          </w:p>
        </w:tc>
        <w:tc>
          <w:tcPr>
            <w:tcW w:w="302" w:type="pct"/>
            <w:vAlign w:val="center"/>
          </w:tcPr>
          <w:p>
            <w:pPr>
              <w:spacing w:line="584" w:lineRule="exact"/>
              <w:jc w:val="right"/>
              <w:rPr>
                <w:rFonts w:ascii="Times New Roman" w:hAnsi="Times New Roman" w:eastAsia="仿宋_GB2312"/>
              </w:rPr>
            </w:pPr>
          </w:p>
        </w:tc>
      </w:tr>
    </w:tbl>
    <w:p>
      <w:pPr>
        <w:spacing w:line="584" w:lineRule="exact"/>
        <w:jc w:val="left"/>
        <w:outlineLvl w:val="0"/>
        <w:rPr>
          <w:rFonts w:ascii="Times New Roman" w:hAnsi="Times New Roman" w:eastAsia="仿宋_GB2312"/>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七、国有资产信息</w:t>
      </w:r>
    </w:p>
    <w:p>
      <w:pPr>
        <w:spacing w:line="584" w:lineRule="exact"/>
        <w:ind w:firstLine="640"/>
        <w:rPr>
          <w:rFonts w:ascii="Times New Roman" w:hAnsi="Times New Roman" w:eastAsia="仿宋_GB2312"/>
          <w:sz w:val="32"/>
          <w:szCs w:val="32"/>
        </w:rPr>
      </w:pPr>
      <w:r>
        <w:rPr>
          <w:rFonts w:hint="eastAsia" w:ascii="Times New Roman" w:hAnsi="Times New Roman" w:eastAsia="仿宋_GB2312"/>
          <w:sz w:val="32"/>
          <w:szCs w:val="32"/>
        </w:rPr>
        <w:t>廊坊市广阳区供销合作社联合社（含所属单位）上年末固定资产金额为</w:t>
      </w:r>
      <w:r>
        <w:rPr>
          <w:rFonts w:ascii="Times New Roman" w:hAnsi="Times New Roman" w:eastAsia="仿宋_GB2312"/>
          <w:sz w:val="32"/>
          <w:szCs w:val="32"/>
        </w:rPr>
        <w:t>0</w:t>
      </w:r>
      <w:r>
        <w:rPr>
          <w:rFonts w:hint="eastAsia" w:ascii="Times New Roman" w:hAnsi="Times New Roman" w:eastAsia="仿宋_GB2312"/>
          <w:sz w:val="32"/>
          <w:szCs w:val="32"/>
        </w:rPr>
        <w:t>万元，本年度我部门无拟购置固定资产。详见下表。</w:t>
      </w:r>
    </w:p>
    <w:p>
      <w:pPr>
        <w:spacing w:line="584" w:lineRule="exact"/>
        <w:ind w:firstLine="640"/>
        <w:rPr>
          <w:rFonts w:ascii="Times New Roman" w:hAnsi="Times New Roman" w:eastAsia="仿宋_GB2312"/>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spacing w:line="584" w:lineRule="exact"/>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廊坊市区直部门固定资产占用情况表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spacing w:line="584" w:lineRule="exact"/>
              <w:jc w:val="left"/>
              <w:rPr>
                <w:rFonts w:ascii="Times New Roman" w:hAnsi="Times New Roman" w:eastAsia="仿宋_GB2312"/>
                <w:kern w:val="0"/>
                <w:sz w:val="22"/>
              </w:rPr>
            </w:pPr>
            <w:r>
              <w:rPr>
                <w:rFonts w:hint="eastAsia" w:ascii="Times New Roman" w:hAnsi="Times New Roman" w:eastAsia="仿宋_GB2312"/>
                <w:kern w:val="0"/>
                <w:sz w:val="22"/>
              </w:rPr>
              <w:t>编制部门：639廊坊市广阳区供销合作社联合社</w:t>
            </w:r>
          </w:p>
        </w:tc>
        <w:tc>
          <w:tcPr>
            <w:tcW w:w="5103" w:type="dxa"/>
            <w:tcBorders>
              <w:top w:val="nil"/>
              <w:left w:val="nil"/>
              <w:bottom w:val="nil"/>
              <w:right w:val="nil"/>
            </w:tcBorders>
            <w:noWrap/>
            <w:vAlign w:val="center"/>
          </w:tcPr>
          <w:p>
            <w:pPr>
              <w:widowControl/>
              <w:spacing w:line="584" w:lineRule="exact"/>
              <w:jc w:val="left"/>
              <w:rPr>
                <w:rFonts w:ascii="Times New Roman" w:hAnsi="Times New Roman" w:eastAsia="仿宋_GB2312"/>
                <w:kern w:val="0"/>
                <w:sz w:val="22"/>
              </w:rPr>
            </w:pPr>
            <w:r>
              <w:rPr>
                <w:rFonts w:hint="eastAsia" w:ascii="Times New Roman" w:hAnsi="Times New Roman" w:eastAsia="仿宋_GB2312"/>
                <w:kern w:val="0"/>
                <w:sz w:val="22"/>
              </w:rPr>
              <w:t>截止时间：</w:t>
            </w:r>
            <w:r>
              <w:rPr>
                <w:rFonts w:ascii="Times New Roman" w:hAnsi="Times New Roman" w:eastAsia="仿宋_GB2312"/>
                <w:kern w:val="0"/>
                <w:sz w:val="22"/>
              </w:rPr>
              <w:t>2018</w:t>
            </w:r>
            <w:r>
              <w:rPr>
                <w:rFonts w:hint="eastAsia" w:ascii="Times New Roman" w:hAnsi="Times New Roman" w:eastAsia="仿宋_GB2312"/>
                <w:kern w:val="0"/>
                <w:sz w:val="22"/>
              </w:rPr>
              <w:t>年</w:t>
            </w:r>
            <w:r>
              <w:rPr>
                <w:rFonts w:ascii="Times New Roman" w:hAnsi="Times New Roman" w:eastAsia="仿宋_GB2312"/>
                <w:kern w:val="0"/>
                <w:sz w:val="22"/>
              </w:rPr>
              <w:t>12</w:t>
            </w:r>
            <w:r>
              <w:rPr>
                <w:rFonts w:hint="eastAsia" w:ascii="Times New Roman" w:hAnsi="Times New Roman" w:eastAsia="仿宋_GB2312"/>
                <w:kern w:val="0"/>
                <w:sz w:val="22"/>
              </w:rPr>
              <w:t>月</w:t>
            </w:r>
            <w:r>
              <w:rPr>
                <w:rFonts w:ascii="Times New Roman" w:hAnsi="Times New Roman" w:eastAsia="仿宋_GB2312"/>
                <w:kern w:val="0"/>
                <w:sz w:val="22"/>
              </w:rPr>
              <w:t>31</w:t>
            </w:r>
            <w:r>
              <w:rPr>
                <w:rFonts w:hint="eastAsia" w:ascii="Times New Roman" w:hAnsi="Times New Roman" w:eastAsia="仿宋_GB2312"/>
                <w:kern w:val="0"/>
                <w:sz w:val="22"/>
              </w:rPr>
              <w:t>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项目</w:t>
            </w:r>
          </w:p>
        </w:tc>
        <w:tc>
          <w:tcPr>
            <w:tcW w:w="3155"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kern w:val="0"/>
                <w:sz w:val="22"/>
              </w:rPr>
            </w:pPr>
            <w:r>
              <w:rPr>
                <w:rFonts w:hint="eastAsia" w:ascii="Times New Roman" w:hAnsi="Times New Roman" w:eastAsia="仿宋_GB2312"/>
                <w:kern w:val="0"/>
                <w:sz w:val="22"/>
              </w:rPr>
              <w:t>资产总额</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Times New Roman" w:hAnsi="Times New Roman" w:eastAsia="仿宋_GB2312"/>
                <w:kern w:val="0"/>
                <w:sz w:val="22"/>
              </w:rPr>
            </w:pPr>
            <w:r>
              <w:rPr>
                <w:rFonts w:ascii="Times New Roman" w:hAnsi="Times New Roman" w:eastAsia="仿宋_GB2312"/>
                <w:kern w:val="0"/>
                <w:sz w:val="22"/>
              </w:rPr>
              <w:t>1</w:t>
            </w:r>
            <w:r>
              <w:rPr>
                <w:rFonts w:hint="eastAsia" w:ascii="Times New Roman" w:hAnsi="Times New Roman" w:eastAsia="仿宋_GB2312"/>
                <w:kern w:val="0"/>
                <w:sz w:val="22"/>
              </w:rPr>
              <w:t>、房屋（平方米）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Times New Roman" w:hAnsi="Times New Roman" w:eastAsia="仿宋_GB2312"/>
                <w:kern w:val="0"/>
                <w:sz w:val="22"/>
              </w:rPr>
            </w:pPr>
            <w:r>
              <w:rPr>
                <w:rFonts w:hint="eastAsia" w:ascii="Times New Roman" w:hAnsi="Times New Roman" w:eastAsia="仿宋_GB2312"/>
                <w:kern w:val="0"/>
                <w:sz w:val="22"/>
              </w:rPr>
              <w:t>其中：办公用房（平方米）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Times New Roman" w:hAnsi="Times New Roman" w:eastAsia="仿宋_GB2312"/>
                <w:kern w:val="0"/>
                <w:sz w:val="22"/>
              </w:rPr>
            </w:pPr>
            <w:r>
              <w:rPr>
                <w:rFonts w:ascii="Times New Roman" w:hAnsi="Times New Roman" w:eastAsia="仿宋_GB2312"/>
                <w:kern w:val="0"/>
                <w:sz w:val="22"/>
              </w:rPr>
              <w:t>2</w:t>
            </w:r>
            <w:r>
              <w:rPr>
                <w:rFonts w:hint="eastAsia" w:ascii="Times New Roman" w:hAnsi="Times New Roman" w:eastAsia="仿宋_GB2312"/>
                <w:kern w:val="0"/>
                <w:sz w:val="22"/>
              </w:rPr>
              <w:t>、车辆（台、辆）</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left"/>
              <w:rPr>
                <w:rFonts w:ascii="Times New Roman" w:hAnsi="Times New Roman" w:eastAsia="仿宋_GB2312"/>
                <w:kern w:val="0"/>
                <w:sz w:val="22"/>
              </w:rPr>
            </w:pPr>
            <w:r>
              <w:rPr>
                <w:rFonts w:ascii="Times New Roman" w:hAnsi="Times New Roman" w:eastAsia="仿宋_GB2312"/>
                <w:kern w:val="0"/>
                <w:sz w:val="22"/>
              </w:rPr>
              <w:t>3</w:t>
            </w:r>
            <w:r>
              <w:rPr>
                <w:rFonts w:hint="eastAsia" w:ascii="Times New Roman" w:hAnsi="Times New Roman" w:eastAsia="仿宋_GB2312"/>
                <w:kern w:val="0"/>
                <w:sz w:val="22"/>
              </w:rPr>
              <w:t>、单价在</w:t>
            </w:r>
            <w:r>
              <w:rPr>
                <w:rFonts w:ascii="Times New Roman" w:hAnsi="Times New Roman" w:eastAsia="仿宋_GB2312"/>
                <w:kern w:val="0"/>
                <w:sz w:val="22"/>
              </w:rPr>
              <w:t>20</w:t>
            </w:r>
            <w:r>
              <w:rPr>
                <w:rFonts w:hint="eastAsia" w:ascii="Times New Roman" w:hAnsi="Times New Roman" w:eastAsia="仿宋_GB2312"/>
                <w:kern w:val="0"/>
                <w:sz w:val="22"/>
              </w:rPr>
              <w:t>万元以上的设备</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Times New Roman" w:hAnsi="Times New Roman" w:eastAsia="仿宋_GB2312"/>
                <w:kern w:val="0"/>
                <w:sz w:val="22"/>
              </w:rPr>
            </w:pPr>
            <w:r>
              <w:rPr>
                <w:rFonts w:ascii="Times New Roman" w:hAnsi="Times New Roman" w:eastAsia="仿宋_GB2312"/>
                <w:kern w:val="0"/>
                <w:sz w:val="22"/>
              </w:rPr>
              <w:t>4</w:t>
            </w:r>
            <w:r>
              <w:rPr>
                <w:rFonts w:hint="eastAsia" w:ascii="Times New Roman" w:hAnsi="Times New Roman" w:eastAsia="仿宋_GB2312"/>
                <w:kern w:val="0"/>
                <w:sz w:val="22"/>
              </w:rPr>
              <w:t>、其他固定资产</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0</w:t>
            </w:r>
          </w:p>
        </w:tc>
      </w:tr>
    </w:tbl>
    <w:p>
      <w:pPr>
        <w:autoSpaceDE w:val="0"/>
        <w:autoSpaceDN w:val="0"/>
        <w:adjustRightInd w:val="0"/>
        <w:spacing w:line="584" w:lineRule="exact"/>
        <w:ind w:left="198" w:firstLine="640" w:firstLineChars="200"/>
        <w:jc w:val="left"/>
        <w:rPr>
          <w:rFonts w:ascii="Times New Roman" w:hAnsi="Times New Roman" w:eastAsia="仿宋_GB2312"/>
          <w:sz w:val="32"/>
          <w:szCs w:val="32"/>
        </w:r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八、名词解释</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、一般公共预算拨款收入：</w:t>
      </w:r>
      <w:r>
        <w:rPr>
          <w:rFonts w:hint="eastAsia" w:ascii="Times New Roman" w:hAnsi="Times New Roman" w:eastAsia="仿宋_GB2312"/>
          <w:sz w:val="32"/>
          <w:szCs w:val="32"/>
        </w:rPr>
        <w:t>指省级财政当年拨付的资金。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、事业收入：</w:t>
      </w:r>
      <w:r>
        <w:rPr>
          <w:rFonts w:hint="eastAsia" w:ascii="Times New Roman" w:hAnsi="Times New Roman" w:eastAsia="仿宋_GB2312"/>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、其他收入：</w:t>
      </w:r>
      <w:r>
        <w:rPr>
          <w:rFonts w:hint="eastAsia" w:ascii="Times New Roman" w:hAnsi="Times New Roman" w:eastAsia="仿宋_GB2312"/>
          <w:sz w:val="32"/>
          <w:szCs w:val="32"/>
        </w:rPr>
        <w:t>指除</w:t>
      </w:r>
      <w:r>
        <w:rPr>
          <w:rFonts w:ascii="Times New Roman" w:hAnsi="Times New Roman" w:eastAsia="仿宋_GB2312"/>
          <w:sz w:val="32"/>
          <w:szCs w:val="32"/>
        </w:rPr>
        <w:t>“</w:t>
      </w:r>
      <w:r>
        <w:rPr>
          <w:rFonts w:hint="eastAsia" w:ascii="Times New Roman" w:hAnsi="Times New Roman" w:eastAsia="仿宋_GB2312"/>
          <w:sz w:val="32"/>
          <w:szCs w:val="32"/>
        </w:rPr>
        <w:t>一般公共预算拨款收入</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事业收入</w:t>
      </w:r>
      <w:r>
        <w:rPr>
          <w:rFonts w:ascii="Times New Roman" w:hAnsi="Times New Roman" w:eastAsia="仿宋_GB2312"/>
          <w:sz w:val="32"/>
          <w:szCs w:val="32"/>
        </w:rPr>
        <w:t>”</w:t>
      </w:r>
      <w:r>
        <w:rPr>
          <w:rFonts w:hint="eastAsia" w:ascii="Times New Roman" w:hAnsi="Times New Roman" w:eastAsia="仿宋_GB2312"/>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、基本支出：</w:t>
      </w:r>
      <w:r>
        <w:rPr>
          <w:rFonts w:hint="eastAsia" w:ascii="Times New Roman" w:hAnsi="Times New Roman" w:eastAsia="仿宋_GB2312"/>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5</w:t>
      </w:r>
      <w:r>
        <w:rPr>
          <w:rFonts w:hint="eastAsia" w:ascii="Times New Roman" w:hAnsi="Times New Roman" w:eastAsia="仿宋_GB2312"/>
          <w:b/>
          <w:sz w:val="32"/>
          <w:szCs w:val="32"/>
        </w:rPr>
        <w:t>、项目支出：</w:t>
      </w:r>
      <w:r>
        <w:rPr>
          <w:rFonts w:hint="eastAsia" w:ascii="Times New Roman" w:hAnsi="Times New Roman" w:eastAsia="仿宋_GB2312"/>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6</w:t>
      </w:r>
      <w:r>
        <w:rPr>
          <w:rFonts w:hint="eastAsia" w:ascii="Times New Roman" w:hAnsi="Times New Roman" w:eastAsia="仿宋_GB2312"/>
          <w:b/>
          <w:sz w:val="32"/>
          <w:szCs w:val="32"/>
        </w:rPr>
        <w:t>、上缴上级支出：</w:t>
      </w:r>
      <w:r>
        <w:rPr>
          <w:rFonts w:hint="eastAsia" w:ascii="Times New Roman" w:hAnsi="Times New Roman" w:eastAsia="仿宋_GB2312"/>
          <w:sz w:val="32"/>
          <w:szCs w:val="32"/>
        </w:rPr>
        <w:t>指下级单位上缴上级的支出。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7</w:t>
      </w:r>
      <w:r>
        <w:rPr>
          <w:rFonts w:hint="eastAsia" w:ascii="Times New Roman" w:hAnsi="Times New Roman" w:eastAsia="仿宋_GB2312"/>
          <w:b/>
          <w:sz w:val="32"/>
          <w:szCs w:val="32"/>
        </w:rPr>
        <w:t>、</w:t>
      </w:r>
      <w:r>
        <w:rPr>
          <w:rFonts w:ascii="Times New Roman" w:hAnsi="Times New Roman" w:eastAsia="仿宋_GB2312"/>
          <w:b/>
          <w:sz w:val="32"/>
          <w:szCs w:val="32"/>
        </w:rPr>
        <w:t>“</w:t>
      </w:r>
      <w:r>
        <w:rPr>
          <w:rFonts w:hint="eastAsia" w:ascii="Times New Roman" w:hAnsi="Times New Roman" w:eastAsia="仿宋_GB2312"/>
          <w:b/>
          <w:sz w:val="32"/>
          <w:szCs w:val="32"/>
        </w:rPr>
        <w:t>三公</w:t>
      </w:r>
      <w:r>
        <w:rPr>
          <w:rFonts w:ascii="Times New Roman" w:hAnsi="Times New Roman" w:eastAsia="仿宋_GB2312"/>
          <w:b/>
          <w:sz w:val="32"/>
          <w:szCs w:val="32"/>
        </w:rPr>
        <w:t>”</w:t>
      </w:r>
      <w:r>
        <w:rPr>
          <w:rFonts w:hint="eastAsia" w:ascii="Times New Roman" w:hAnsi="Times New Roman" w:eastAsia="仿宋_GB2312"/>
          <w:b/>
          <w:sz w:val="32"/>
          <w:szCs w:val="32"/>
        </w:rPr>
        <w:t>经费：</w:t>
      </w:r>
      <w:r>
        <w:rPr>
          <w:rFonts w:hint="eastAsia" w:ascii="Times New Roman" w:hAnsi="Times New Roman" w:eastAsia="仿宋_GB2312"/>
          <w:sz w:val="32"/>
          <w:szCs w:val="32"/>
        </w:rPr>
        <w:t>纳入省级财政预算管理的</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8</w:t>
      </w:r>
      <w:r>
        <w:rPr>
          <w:rFonts w:hint="eastAsia" w:ascii="Times New Roman" w:hAnsi="Times New Roman" w:eastAsia="仿宋_GB2312"/>
          <w:b/>
          <w:sz w:val="32"/>
          <w:szCs w:val="32"/>
        </w:rPr>
        <w:t>、机关运行费：</w:t>
      </w:r>
      <w:r>
        <w:rPr>
          <w:rFonts w:hint="eastAsia" w:ascii="Times New Roman"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9</w:t>
      </w:r>
      <w:r>
        <w:rPr>
          <w:rFonts w:hint="eastAsia" w:ascii="Times New Roman" w:hAnsi="Times New Roman" w:eastAsia="仿宋_GB2312"/>
          <w:b/>
          <w:sz w:val="32"/>
          <w:szCs w:val="32"/>
        </w:rPr>
        <w:t>、上年结转：</w:t>
      </w:r>
      <w:r>
        <w:rPr>
          <w:rFonts w:hint="eastAsia" w:ascii="Times New Roman" w:hAnsi="Times New Roman" w:eastAsia="仿宋_GB2312"/>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10</w:t>
      </w:r>
      <w:r>
        <w:rPr>
          <w:rFonts w:hint="eastAsia" w:ascii="Times New Roman" w:hAnsi="Times New Roman" w:eastAsia="仿宋_GB2312"/>
          <w:b/>
          <w:sz w:val="32"/>
          <w:szCs w:val="32"/>
        </w:rPr>
        <w:t>、事业单位经营支出：</w:t>
      </w:r>
      <w:r>
        <w:rPr>
          <w:rFonts w:hint="eastAsia" w:ascii="Times New Roman" w:hAnsi="Times New Roman" w:eastAsia="仿宋_GB2312"/>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九、其他需要说明的事项</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14</w:t>
    </w:r>
    <w:r>
      <w:rPr>
        <w:lang w:val="zh-CN"/>
      </w:rPr>
      <w:fldChar w:fldCharType="end"/>
    </w:r>
    <w: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12</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150F6"/>
    <w:rsid w:val="00037AF6"/>
    <w:rsid w:val="000410F2"/>
    <w:rsid w:val="0004565F"/>
    <w:rsid w:val="00053141"/>
    <w:rsid w:val="00072187"/>
    <w:rsid w:val="00075D5F"/>
    <w:rsid w:val="0008180F"/>
    <w:rsid w:val="00093DA3"/>
    <w:rsid w:val="000B529B"/>
    <w:rsid w:val="000C24E6"/>
    <w:rsid w:val="000C3A19"/>
    <w:rsid w:val="000D7225"/>
    <w:rsid w:val="000E4305"/>
    <w:rsid w:val="000F0D09"/>
    <w:rsid w:val="001245BB"/>
    <w:rsid w:val="001251A3"/>
    <w:rsid w:val="00146ADB"/>
    <w:rsid w:val="0015229A"/>
    <w:rsid w:val="00160266"/>
    <w:rsid w:val="001643E8"/>
    <w:rsid w:val="00176C13"/>
    <w:rsid w:val="001919C4"/>
    <w:rsid w:val="0019723B"/>
    <w:rsid w:val="001A0943"/>
    <w:rsid w:val="001B5C1D"/>
    <w:rsid w:val="001D6952"/>
    <w:rsid w:val="001E0757"/>
    <w:rsid w:val="001E6DDC"/>
    <w:rsid w:val="001E70E9"/>
    <w:rsid w:val="001F5C92"/>
    <w:rsid w:val="001F7873"/>
    <w:rsid w:val="00230E48"/>
    <w:rsid w:val="00241FD4"/>
    <w:rsid w:val="00246317"/>
    <w:rsid w:val="00251B12"/>
    <w:rsid w:val="00265318"/>
    <w:rsid w:val="00265F39"/>
    <w:rsid w:val="00272D3C"/>
    <w:rsid w:val="002835D7"/>
    <w:rsid w:val="00290FD6"/>
    <w:rsid w:val="00292821"/>
    <w:rsid w:val="00296113"/>
    <w:rsid w:val="002A673A"/>
    <w:rsid w:val="002C5E13"/>
    <w:rsid w:val="002C62BC"/>
    <w:rsid w:val="002E0EB8"/>
    <w:rsid w:val="002F3E58"/>
    <w:rsid w:val="0030542C"/>
    <w:rsid w:val="00311B7A"/>
    <w:rsid w:val="003126B6"/>
    <w:rsid w:val="00313D9C"/>
    <w:rsid w:val="00325215"/>
    <w:rsid w:val="0033339C"/>
    <w:rsid w:val="00335660"/>
    <w:rsid w:val="003B6D37"/>
    <w:rsid w:val="00414BD3"/>
    <w:rsid w:val="00424943"/>
    <w:rsid w:val="0042727E"/>
    <w:rsid w:val="0043175C"/>
    <w:rsid w:val="00437296"/>
    <w:rsid w:val="00451590"/>
    <w:rsid w:val="00451871"/>
    <w:rsid w:val="00451A12"/>
    <w:rsid w:val="004706DE"/>
    <w:rsid w:val="00472923"/>
    <w:rsid w:val="00481184"/>
    <w:rsid w:val="00486DCD"/>
    <w:rsid w:val="0049120C"/>
    <w:rsid w:val="004B0C3A"/>
    <w:rsid w:val="004C49A8"/>
    <w:rsid w:val="004C58D3"/>
    <w:rsid w:val="004D2D49"/>
    <w:rsid w:val="004D5788"/>
    <w:rsid w:val="004E3066"/>
    <w:rsid w:val="004E419C"/>
    <w:rsid w:val="004E74CD"/>
    <w:rsid w:val="00524EFD"/>
    <w:rsid w:val="00572067"/>
    <w:rsid w:val="00573562"/>
    <w:rsid w:val="00590ECE"/>
    <w:rsid w:val="005C0E90"/>
    <w:rsid w:val="005D0C27"/>
    <w:rsid w:val="005D37CA"/>
    <w:rsid w:val="005E16FC"/>
    <w:rsid w:val="005F5714"/>
    <w:rsid w:val="005F7AE1"/>
    <w:rsid w:val="00611D03"/>
    <w:rsid w:val="00614A29"/>
    <w:rsid w:val="00651BA2"/>
    <w:rsid w:val="00654FB9"/>
    <w:rsid w:val="00673D76"/>
    <w:rsid w:val="006854F0"/>
    <w:rsid w:val="006B00A0"/>
    <w:rsid w:val="006B1C4A"/>
    <w:rsid w:val="006B610D"/>
    <w:rsid w:val="006C206A"/>
    <w:rsid w:val="006E49F5"/>
    <w:rsid w:val="007013C8"/>
    <w:rsid w:val="00727C84"/>
    <w:rsid w:val="0074338E"/>
    <w:rsid w:val="00744000"/>
    <w:rsid w:val="00753836"/>
    <w:rsid w:val="0075393C"/>
    <w:rsid w:val="00754592"/>
    <w:rsid w:val="00776C08"/>
    <w:rsid w:val="00790ABF"/>
    <w:rsid w:val="007B49AA"/>
    <w:rsid w:val="007C219A"/>
    <w:rsid w:val="007E1DA8"/>
    <w:rsid w:val="007E4B05"/>
    <w:rsid w:val="007F0114"/>
    <w:rsid w:val="007F1335"/>
    <w:rsid w:val="007F6C26"/>
    <w:rsid w:val="00800F72"/>
    <w:rsid w:val="00811795"/>
    <w:rsid w:val="00813208"/>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D3C36"/>
    <w:rsid w:val="008E4261"/>
    <w:rsid w:val="008E70D4"/>
    <w:rsid w:val="008F4662"/>
    <w:rsid w:val="0090563F"/>
    <w:rsid w:val="00905D08"/>
    <w:rsid w:val="00925753"/>
    <w:rsid w:val="00937BBB"/>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A16E6C"/>
    <w:rsid w:val="00A40F60"/>
    <w:rsid w:val="00A44E3D"/>
    <w:rsid w:val="00A72D2E"/>
    <w:rsid w:val="00A74447"/>
    <w:rsid w:val="00A74CE5"/>
    <w:rsid w:val="00A77500"/>
    <w:rsid w:val="00A8536F"/>
    <w:rsid w:val="00A911E7"/>
    <w:rsid w:val="00A939D9"/>
    <w:rsid w:val="00A9768A"/>
    <w:rsid w:val="00AB3F99"/>
    <w:rsid w:val="00AB77AA"/>
    <w:rsid w:val="00AC0E98"/>
    <w:rsid w:val="00AC4748"/>
    <w:rsid w:val="00AD5259"/>
    <w:rsid w:val="00B01D36"/>
    <w:rsid w:val="00B078CD"/>
    <w:rsid w:val="00B20712"/>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E356A"/>
    <w:rsid w:val="00C005B2"/>
    <w:rsid w:val="00C1565C"/>
    <w:rsid w:val="00C21E0F"/>
    <w:rsid w:val="00C35DEF"/>
    <w:rsid w:val="00C362CA"/>
    <w:rsid w:val="00C37A99"/>
    <w:rsid w:val="00C72229"/>
    <w:rsid w:val="00C772C1"/>
    <w:rsid w:val="00C855AA"/>
    <w:rsid w:val="00C93D22"/>
    <w:rsid w:val="00CA7176"/>
    <w:rsid w:val="00CB51D7"/>
    <w:rsid w:val="00CC75B0"/>
    <w:rsid w:val="00CD2773"/>
    <w:rsid w:val="00CD2803"/>
    <w:rsid w:val="00CE01BA"/>
    <w:rsid w:val="00CE143B"/>
    <w:rsid w:val="00CE3A91"/>
    <w:rsid w:val="00D07DBA"/>
    <w:rsid w:val="00D23C16"/>
    <w:rsid w:val="00D27003"/>
    <w:rsid w:val="00D324AD"/>
    <w:rsid w:val="00D90055"/>
    <w:rsid w:val="00D9307A"/>
    <w:rsid w:val="00DB4322"/>
    <w:rsid w:val="00DD1D0C"/>
    <w:rsid w:val="00DE186D"/>
    <w:rsid w:val="00DF08EF"/>
    <w:rsid w:val="00E0545D"/>
    <w:rsid w:val="00E167C7"/>
    <w:rsid w:val="00E17B67"/>
    <w:rsid w:val="00E440CF"/>
    <w:rsid w:val="00E55B78"/>
    <w:rsid w:val="00E76361"/>
    <w:rsid w:val="00E84020"/>
    <w:rsid w:val="00EB7A80"/>
    <w:rsid w:val="00EC47F6"/>
    <w:rsid w:val="00EE6D6D"/>
    <w:rsid w:val="00EF08C9"/>
    <w:rsid w:val="00EF535E"/>
    <w:rsid w:val="00F15CF0"/>
    <w:rsid w:val="00F471F7"/>
    <w:rsid w:val="00F66032"/>
    <w:rsid w:val="00F83B96"/>
    <w:rsid w:val="00F8441D"/>
    <w:rsid w:val="00F87C1E"/>
    <w:rsid w:val="00F958C2"/>
    <w:rsid w:val="00FA740E"/>
    <w:rsid w:val="00FC06C7"/>
    <w:rsid w:val="00FD5DB4"/>
    <w:rsid w:val="00FE1724"/>
    <w:rsid w:val="00FE753C"/>
    <w:rsid w:val="00FF2346"/>
    <w:rsid w:val="445B0EE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2"/>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uiPriority w:val="99"/>
    <w:rPr>
      <w:rFonts w:ascii="Times New Roman" w:hAnsi="Times New Roman"/>
      <w:szCs w:val="24"/>
    </w:rPr>
  </w:style>
  <w:style w:type="paragraph" w:styleId="6">
    <w:name w:val="footnote text"/>
    <w:basedOn w:val="1"/>
    <w:link w:val="15"/>
    <w:semiHidden/>
    <w:uiPriority w:val="99"/>
    <w:pPr>
      <w:snapToGrid w:val="0"/>
      <w:jc w:val="left"/>
    </w:pPr>
    <w:rPr>
      <w:sz w:val="18"/>
      <w:szCs w:val="18"/>
    </w:rPr>
  </w:style>
  <w:style w:type="paragraph" w:styleId="7">
    <w:name w:val="toc 2"/>
    <w:basedOn w:val="1"/>
    <w:next w:val="1"/>
    <w:uiPriority w:val="99"/>
    <w:pPr>
      <w:ind w:left="420" w:leftChars="200"/>
    </w:pPr>
    <w:rPr>
      <w:rFonts w:ascii="Times New Roman" w:hAnsi="Times New Roman"/>
      <w:szCs w:val="24"/>
    </w:rPr>
  </w:style>
  <w:style w:type="character" w:styleId="10">
    <w:name w:val="footnote reference"/>
    <w:basedOn w:val="9"/>
    <w:semiHidden/>
    <w:uiPriority w:val="99"/>
    <w:rPr>
      <w:rFonts w:cs="Times New Roman"/>
      <w:vertAlign w:val="superscript"/>
    </w:rPr>
  </w:style>
  <w:style w:type="character" w:customStyle="1" w:styleId="11">
    <w:name w:val="页眉 Char"/>
    <w:basedOn w:val="9"/>
    <w:link w:val="4"/>
    <w:locked/>
    <w:uiPriority w:val="99"/>
    <w:rPr>
      <w:rFonts w:ascii="Times New Roman" w:hAnsi="Times New Roman" w:eastAsia="宋体" w:cs="Times New Roman"/>
      <w:sz w:val="18"/>
      <w:szCs w:val="18"/>
    </w:rPr>
  </w:style>
  <w:style w:type="character" w:customStyle="1" w:styleId="12">
    <w:name w:val="页脚 Char"/>
    <w:basedOn w:val="9"/>
    <w:link w:val="3"/>
    <w:locked/>
    <w:uiPriority w:val="99"/>
    <w:rPr>
      <w:rFonts w:ascii="Times New Roman" w:hAnsi="Times New Roman" w:eastAsia="宋体" w:cs="Times New Roman"/>
      <w:sz w:val="18"/>
      <w:szCs w:val="18"/>
    </w:rPr>
  </w:style>
  <w:style w:type="character" w:customStyle="1" w:styleId="13">
    <w:name w:val="批注框文本 Char"/>
    <w:basedOn w:val="9"/>
    <w:link w:val="2"/>
    <w:semiHidden/>
    <w:locked/>
    <w:uiPriority w:val="99"/>
    <w:rPr>
      <w:rFonts w:cs="Times New Roman"/>
      <w:sz w:val="18"/>
      <w:szCs w:val="18"/>
    </w:rPr>
  </w:style>
  <w:style w:type="paragraph" w:customStyle="1" w:styleId="14">
    <w:name w:val="Defaul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5">
    <w:name w:val="脚注文本 Char"/>
    <w:basedOn w:val="9"/>
    <w:link w:val="6"/>
    <w:semiHidden/>
    <w:locked/>
    <w:uiPriority w:val="99"/>
    <w:rPr>
      <w:rFonts w:ascii="Calibri" w:hAnsi="Calibri" w:eastAsia="宋体" w:cs="Times New Roman"/>
      <w:sz w:val="18"/>
      <w:szCs w:val="18"/>
    </w:rPr>
  </w:style>
  <w:style w:type="paragraph" w:customStyle="1" w:styleId="16">
    <w:name w:val="[Normal]"/>
    <w:uiPriority w:val="99"/>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1068</Words>
  <Characters>6090</Characters>
  <Lines>50</Lines>
  <Paragraphs>14</Paragraphs>
  <TotalTime>0</TotalTime>
  <ScaleCrop>false</ScaleCrop>
  <LinksUpToDate>false</LinksUpToDate>
  <CharactersWithSpaces>7144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2019-03-04T07:45:00Z</dcterms:created>
  <dc:creator>guest</dc:creator>
  <cp:lastModifiedBy>Administrator</cp:lastModifiedBy>
  <cp:lastPrinted>2019-02-18T02:45:00Z</cp:lastPrinted>
  <dcterms:modified xsi:type="dcterms:W3CDTF">2024-01-17T09:22:12Z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9EFED7BCA7274292BDD9F1FD0766F7E6</vt:lpwstr>
  </property>
</Properties>
</file>