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方正小标宋简体"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廊坊市广阳区粮食局2019年部门预算信息公开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广阳区粮食局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ind w:firstLine="640" w:firstLineChars="200"/>
        <w:rPr>
          <w:rFonts w:ascii="宋体" w:hAnsi="宋体" w:eastAsia="宋体" w:cs="宋体"/>
          <w:color w:val="484747"/>
          <w:kern w:val="0"/>
          <w:sz w:val="32"/>
          <w:szCs w:val="32"/>
        </w:rPr>
      </w:pPr>
      <w:r>
        <w:rPr>
          <w:rFonts w:hint="eastAsia" w:ascii="仿宋_GB2312" w:hAnsi="宋体" w:eastAsia="仿宋_GB2312" w:cs="宋体"/>
          <w:color w:val="000000"/>
          <w:kern w:val="0"/>
          <w:sz w:val="32"/>
          <w:szCs w:val="32"/>
        </w:rPr>
        <w:t>1、</w:t>
      </w:r>
      <w:r>
        <w:rPr>
          <w:rFonts w:hint="eastAsia" w:ascii="仿宋_GB2312" w:hAnsi="宋体" w:eastAsia="仿宋_GB2312" w:cs="宋体"/>
          <w:kern w:val="0"/>
          <w:sz w:val="32"/>
          <w:szCs w:val="32"/>
        </w:rPr>
        <w:t>负责全区粮食流通管理，对从事粮食收购经营者，按照有关规定进行行政审批；对粮食经营者从事的粮食收购、储存、运输和政策性用粮购销活动进行监督检查，维护粮食市场秩序。</w:t>
      </w:r>
    </w:p>
    <w:p>
      <w:pPr>
        <w:widowControl/>
        <w:ind w:firstLine="640" w:firstLineChars="200"/>
        <w:rPr>
          <w:rFonts w:ascii="宋体" w:hAnsi="宋体" w:eastAsia="宋体" w:cs="宋体"/>
          <w:color w:val="484747"/>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kern w:val="0"/>
          <w:sz w:val="32"/>
          <w:szCs w:val="32"/>
        </w:rPr>
        <w:t>引导国有粮食企业深化改革；指导、监督国有独资、国有控股企业对国家粮食各项政策的贯彻落实，管理好国有资产，使国有资产保值增值，不流失。</w:t>
      </w:r>
    </w:p>
    <w:p>
      <w:pPr>
        <w:widowControl/>
        <w:ind w:firstLine="640" w:firstLineChars="200"/>
        <w:rPr>
          <w:rFonts w:ascii="宋体" w:hAnsi="宋体" w:eastAsia="宋体" w:cs="宋体"/>
          <w:color w:val="484747"/>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kern w:val="0"/>
          <w:sz w:val="32"/>
          <w:szCs w:val="32"/>
        </w:rPr>
        <w:t>建立科学的粮食市场信息和价格监控体系，及时掌握市场信息；以稳定粮价，稳定市场为重点，引导粮食生产和流通，当好政府粮食宏观调控助手和参谋。</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kern w:val="0"/>
          <w:sz w:val="32"/>
          <w:szCs w:val="32"/>
        </w:rPr>
        <w:t>建立粮食储备体系，落实宏观调控措施，保证粮食市场安全；建立粮食应急预案；推广安全储粮技术，确保储粮安全。</w:t>
      </w:r>
    </w:p>
    <w:p>
      <w:pPr>
        <w:widowControl/>
        <w:ind w:firstLine="640" w:firstLineChars="200"/>
        <w:rPr>
          <w:rFonts w:ascii="仿宋_GB2312" w:hAnsi="宋体" w:eastAsia="仿宋_GB2312" w:cs="宋体"/>
          <w:kern w:val="0"/>
          <w:sz w:val="32"/>
          <w:szCs w:val="32"/>
        </w:rPr>
      </w:pPr>
    </w:p>
    <w:p>
      <w:pPr>
        <w:spacing w:line="584" w:lineRule="exact"/>
        <w:ind w:firstLine="640" w:firstLineChars="200"/>
        <w:rPr>
          <w:rFonts w:ascii="Times New Roman" w:hAnsi="Times New Roman" w:eastAsia="楷体_GB2312" w:cs="Times New Roman"/>
          <w:b/>
          <w:sz w:val="32"/>
          <w:szCs w:val="32"/>
        </w:rPr>
      </w:pPr>
      <w:r>
        <w:rPr>
          <w:rFonts w:hint="eastAsia" w:ascii="仿宋_GB2312" w:hAnsi="宋体" w:eastAsia="仿宋_GB2312" w:cs="宋体"/>
          <w:color w:val="000000"/>
          <w:kern w:val="0"/>
          <w:sz w:val="32"/>
          <w:szCs w:val="32"/>
        </w:rPr>
        <w:t>5、</w:t>
      </w:r>
      <w:r>
        <w:rPr>
          <w:rFonts w:hint="eastAsia" w:ascii="仿宋_GB2312" w:hAnsi="宋体" w:eastAsia="仿宋_GB2312" w:cs="宋体"/>
          <w:kern w:val="0"/>
          <w:sz w:val="32"/>
          <w:szCs w:val="32"/>
        </w:rPr>
        <w:t>负责对全社会粮食流通统计及粮情调查工作，并及时上报各种统计报表。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5"/>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83"/>
        <w:gridCol w:w="149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08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9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08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49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w:t>
            </w:r>
            <w:r>
              <w:rPr>
                <w:rFonts w:ascii="Times New Roman" w:hAnsi="Times New Roman" w:eastAsia="仿宋_GB2312" w:cs="Times New Roman"/>
                <w:b/>
              </w:rPr>
              <w:t>市广阳区粮食局</w:t>
            </w:r>
          </w:p>
        </w:tc>
        <w:tc>
          <w:tcPr>
            <w:tcW w:w="149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广阳区粮食局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450.15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450.15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广阳区粮食局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450.15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450.15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423.52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26.63</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450.15</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29.15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59.63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减少30.48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本级</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0.89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0万元，与2018年相比持平，无增减变化。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方正仿宋_GBK" w:eastAsia="方正仿宋_GBK"/>
          <w:sz w:val="32"/>
          <w:szCs w:val="32"/>
        </w:rPr>
      </w:pPr>
      <w:r>
        <w:rPr>
          <w:rFonts w:ascii="方正仿宋_GBK" w:eastAsia="方正仿宋_GBK"/>
          <w:sz w:val="32"/>
          <w:szCs w:val="32"/>
        </w:rPr>
        <w:t>落实粮食购销政策，落实粮食最低收购价政策，保证政策性粮食供应，负责区储粮行政管理，确保粮食流通规范有序。</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楷体_GB2312" w:eastAsia="楷体_GB2312"/>
          <w:sz w:val="32"/>
          <w:szCs w:val="32"/>
        </w:rPr>
      </w:pPr>
      <w:r>
        <w:rPr>
          <w:rFonts w:ascii="方正仿宋_GBK" w:eastAsia="方正仿宋_GBK"/>
          <w:sz w:val="32"/>
          <w:szCs w:val="32"/>
        </w:rPr>
        <w:t>1、粮食调控管理，绩效目标是确保夏秋粮收购政策落实到位，不出现“卖粮难”；落实国家供应政策，确保军需民用；落实粮食储备政策，确保数量真实、质量良好、存储安全。</w:t>
      </w:r>
    </w:p>
    <w:p>
      <w:pPr>
        <w:spacing w:line="500" w:lineRule="exact"/>
        <w:ind w:firstLine="560"/>
        <w:rPr>
          <w:rFonts w:ascii="方正仿宋_GBK" w:eastAsia="方正仿宋_GBK"/>
          <w:sz w:val="32"/>
          <w:szCs w:val="32"/>
        </w:rPr>
      </w:pPr>
      <w:r>
        <w:rPr>
          <w:rFonts w:ascii="方正仿宋_GBK" w:eastAsia="方正仿宋_GBK"/>
          <w:sz w:val="32"/>
          <w:szCs w:val="32"/>
        </w:rPr>
        <w:t>2、粮食质量安全监管，绩效目标是质检体系建立健全，政策性粮食监管率实现100%，扩大社会粮食监管范围。</w:t>
      </w:r>
    </w:p>
    <w:p>
      <w:pPr>
        <w:spacing w:line="500" w:lineRule="exact"/>
        <w:ind w:firstLine="560"/>
        <w:rPr>
          <w:rFonts w:ascii="方正仿宋_GBK" w:eastAsia="方正仿宋_GBK"/>
          <w:sz w:val="32"/>
          <w:szCs w:val="32"/>
        </w:rPr>
      </w:pPr>
      <w:r>
        <w:rPr>
          <w:rFonts w:ascii="方正仿宋_GBK" w:eastAsia="方正仿宋_GBK"/>
          <w:sz w:val="32"/>
          <w:szCs w:val="32"/>
        </w:rPr>
        <w:t>3、粮食流通行政执法，绩效目标是促进行政机关依法行政，企业合法经营，维护粮食流通市场秩序，保护粮食生产者、经营者和消费者合法权益。</w:t>
      </w:r>
    </w:p>
    <w:p>
      <w:pPr>
        <w:spacing w:line="500" w:lineRule="exact"/>
        <w:ind w:firstLine="560"/>
        <w:rPr>
          <w:rFonts w:ascii="方正仿宋_GBK" w:eastAsia="方正仿宋_GBK"/>
          <w:sz w:val="32"/>
          <w:szCs w:val="32"/>
        </w:rPr>
      </w:pPr>
      <w:r>
        <w:rPr>
          <w:rFonts w:ascii="方正仿宋_GBK" w:eastAsia="方正仿宋_GBK"/>
          <w:sz w:val="32"/>
          <w:szCs w:val="32"/>
        </w:rPr>
        <w:t>4、粮食安全责任制考核，绩效目标是完成对我区的考核任务，督导区级政府担负本地粮食安全的主体责任，全面加强粮食生产、储备和流通能力建设。</w:t>
      </w:r>
    </w:p>
    <w:p>
      <w:pPr>
        <w:spacing w:line="500" w:lineRule="exact"/>
        <w:ind w:firstLine="560"/>
        <w:rPr>
          <w:rFonts w:ascii="方正仿宋_GBK" w:eastAsia="方正仿宋_GBK"/>
          <w:sz w:val="32"/>
          <w:szCs w:val="32"/>
        </w:rPr>
      </w:pPr>
      <w:r>
        <w:rPr>
          <w:rFonts w:ascii="方正仿宋_GBK" w:eastAsia="方正仿宋_GBK"/>
          <w:sz w:val="32"/>
          <w:szCs w:val="32"/>
        </w:rPr>
        <w:t>5、粮食政务管理，绩效目标是确保机关正常运转，各项业务顺利推进，适应粮食事业发展需要。</w:t>
      </w:r>
    </w:p>
    <w:p>
      <w:pPr>
        <w:jc w:val="left"/>
        <w:rPr>
          <w:rFonts w:ascii="Times New Roman" w:hAnsi="Times New Roman" w:eastAsia="楷体_GB2312" w:cs="Times New Roman"/>
          <w:b/>
          <w:sz w:val="32"/>
          <w:szCs w:val="32"/>
        </w:rPr>
      </w:pPr>
      <w:r>
        <w:rPr>
          <w:rFonts w:hint="eastAsia" w:ascii="方正黑体_GBK" w:eastAsia="方正黑体_GBK"/>
          <w:sz w:val="32"/>
          <w:szCs w:val="32"/>
        </w:rPr>
        <w:t xml:space="preserve">   </w:t>
      </w:r>
      <w:r>
        <w:rPr>
          <w:rFonts w:ascii="Times New Roman" w:hAnsi="Times New Roman" w:eastAsia="楷体_GB2312" w:cs="Times New Roman"/>
          <w:b/>
          <w:sz w:val="32"/>
          <w:szCs w:val="32"/>
        </w:rPr>
        <w:t>部门职责及工作活动绩效目标指标：</w:t>
      </w:r>
      <w:bookmarkEnd w:id="0"/>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637廊坊市广阳区粮食局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一、粮食调控管理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落实粮食购销政策，落实粮食最低收购价政策，保证军供等政策性粮食供应，负责县储粮行政管理，确保粮食流通规范有序</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确保夏秋粮收购政策落实到位，不出现“卖粮难”；落实国家供应政策，确保军需民用；落实粮食储备政策，确保数量真实、质量良好、存储安全</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1、粮食流通统计调查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全面掌握全区粮食流通、仓储设施、粮油加工、粮食库存、国有企业及国有资产运营状况等情况，及时反映粮食市场总体供需状况，为政府制定宏观调控政策提供数字依据</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确保粮食产、购、销、存、加等数据以及仓储设施、国有资产、经济效益等宏观信息及时上报、汇总，保证数据信息全面、完整、准确、及时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数据上报完整率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数据正确率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数据报送及时率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2、储备粮管理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督检查区级储备粮的数量、质量和储存安全；提出区级储备粮规模、布局、轮换、动用建议；制定县级储备粮各项业务管理制度和相关技术规范并监督执行；审核上报储备粮代储企业承储资格；指导地方粮食储备</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确保粮食收的进、储的好、用的上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数量真实率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质量良好率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3、军供粮油管理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制定执行全区军粮供应政策，用高标准的质量和优质的服务保证军粮供应，加强军地双方的交流与合作，促进军供行业健康发展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做好政策性军粮供应，保证部队用粮安全，提升服务水平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质量安全率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资格认定及时性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规定时间完成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4、粮食流通基础设施建设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制定全县粮食现代物流体系、粮食市场体系、粮食流通设施建设规划并组织实施，督导落实计划周期内粮食流通基础设施建设。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粮食基础设施与粮食流通需求相匹配，粮食仓储损耗控制在国家标准范围内，科学储粮率技术应用得到基本普及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科学储粮率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仓容利用率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粮食仓储损耗率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二、粮食质量安全监管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指导全区粮食储存保管及安全生产，负责对粮食收购、储存环节的粮食质量安全和原粮卫生进行监督管理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质检体系建立健全，政策性粮食监管率实现101%，扩大社会粮食监管范围</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1、粮食质量安全监测与体系建设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对粮食收购、储存环节，以及储备粮、军供粮等政策性粮食的质量进行安全、品质检测和信息发布。</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实现质检机构全覆盖，及时掌握收获、收购、储存、政策性粮食质量安全和品质情况，为制定粮食收购政策提供依据；掌握重点和骨干企业粮食质量状况，地方标准符合县情</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监管率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检测率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检测完成时限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提前报送</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规定时间内报送</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滞后5天以上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2、粮食市场监测预警</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健全和完善粮食市场价格动态监测平台，提高粮食市场价格监测的准确性和及时性，为政府制定应急措施提供依据</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粮食价格监测点布局合理，粮食市场监测预警信息上报及时，预警分析准确、及时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预警信息上报时限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提前报送</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规定时间内报送</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滞后3天以内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滞后3天以上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预警分析准确率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上报及时率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三、粮食流通行政执法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对社会粮食流通进行行政执法，依法实施行政处罚；指导行业监督检查和行业执法工作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促进行政机关依法行政，企业合法经营，维护粮食流通市场秩序，保护粮食生产者、经营者和消费者合法权益</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1、法规建设与监督检查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提高执法水平，推动粮食行政执法规范化、制度化；开展粮食政策、法规制度执法检查，对粮食行政执法主体进行监督和责任制考核</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执法检查常规化；执法人员持证上岗率100%；落实行政执法责任制，规范粮食行政执法行为，提高行政执法水平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执法人员培训率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案件查处准确率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持证上岗率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案件查处率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2、全区粮油库存检查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促进行政机关依法行政，企业合法经营，维护粮食流通市场秩序，保护粮食生产者、经营者和消费者合法权益</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促进粮食企业合法经营，确保粮食数量真实、质量良好。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复查整改率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库存账实相符率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检查覆盖率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四、粮食政务管理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负责粮食系统综合业务管理和机关综合事务管理。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确保机关正常运转，各项业务顺利推进，适应粮食事业发展需要</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对粮食流通进行行政执法，受理行政许可与行政复议，加强粮食应急网络建设和管理。完善粮食市场价格监测机制，提高粮食仓储水平。</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保障各项业务工作畅通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收购资格审批办结时限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提前办结</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规定时间内办结</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项目规划准确率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五、粮食安全责任制考核</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承担对我区粮食安全责任制考核；承担区政府对粮食安全责任制考核工作。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完成对我区的考核任务，督导区级政府担负本地粮食安全的主体责任，全面加强粮食生产、储备和流通能力建设。</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1、粮食安全区长责任制落实与管理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协调粮食安全区长责任制目标任务分解与落实，督导工作进展，起草区长责任制落实情况的年度总结；组织对区的考核工作，落实考核工作任务，起草年度考核工作方案，汇总、提交考核结果，提出整改意见。</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完成对我区的考核任务，完成对全区粮食考核工作，强化区政府对粮食安全的责任，确保国家粮食安全。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整改意见落实情况完成时限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提前5日完成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提前2日完成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国家规定考核目标完成率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考核完成时限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提前5日完成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提前2日完成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超过规定时间</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p>
    <w:p>
      <w:pPr>
        <w:spacing w:line="584" w:lineRule="exact"/>
        <w:jc w:val="center"/>
        <w:outlineLvl w:val="0"/>
        <w:rPr>
          <w:rFonts w:ascii="Times New Roman" w:hAnsi="Times New Roman" w:eastAsia="仿宋_GB2312" w:cs="Times New Roman"/>
          <w:sz w:val="32"/>
        </w:rPr>
      </w:pPr>
    </w:p>
    <w:p>
      <w:pPr>
        <w:spacing w:line="584" w:lineRule="exact"/>
        <w:jc w:val="center"/>
        <w:outlineLvl w:val="0"/>
        <w:rPr>
          <w:rFonts w:ascii="Times New Roman" w:hAnsi="Times New Roman" w:eastAsia="仿宋_GB2312" w:cs="Times New Roman"/>
          <w:sz w:val="32"/>
        </w:rPr>
      </w:pPr>
    </w:p>
    <w:p>
      <w:pPr>
        <w:spacing w:line="584" w:lineRule="exact"/>
        <w:jc w:val="center"/>
        <w:outlineLvl w:val="0"/>
        <w:rPr>
          <w:rFonts w:ascii="Times New Roman" w:hAnsi="Times New Roman" w:eastAsia="仿宋_GB2312" w:cs="Times New Roman"/>
          <w:sz w:val="32"/>
        </w:rPr>
      </w:pPr>
      <w:r>
        <w:rPr>
          <w:rFonts w:ascii="Times New Roman" w:hAnsi="Times New Roman" w:eastAsia="仿宋_GB2312" w:cs="Times New Roman"/>
          <w:sz w:val="32"/>
        </w:rPr>
        <w:t>部门政府采购预算</w:t>
      </w:r>
      <w:bookmarkEnd w:id="3"/>
    </w:p>
    <w:tbl>
      <w:tblPr>
        <w:tblStyle w:val="5"/>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637廊坊市广阳区粮食局</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113</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637</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广阳区粮食</w:t>
            </w:r>
            <w:r>
              <w:rPr>
                <w:rFonts w:ascii="Times New Roman" w:hAnsi="Times New Roman" w:eastAsia="仿宋_GB2312" w:cs="Times New Roman"/>
                <w:kern w:val="0"/>
                <w:sz w:val="22"/>
              </w:rPr>
              <w:t>局</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2902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1584</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4D9B"/>
    <w:rsid w:val="000A73B0"/>
    <w:rsid w:val="00235840"/>
    <w:rsid w:val="002658E1"/>
    <w:rsid w:val="005C0394"/>
    <w:rsid w:val="00854D9B"/>
    <w:rsid w:val="008F1908"/>
    <w:rsid w:val="00BA78B9"/>
    <w:rsid w:val="00D860F0"/>
    <w:rsid w:val="0C8A59D3"/>
    <w:rsid w:val="0CA22A07"/>
    <w:rsid w:val="1FCA12EE"/>
    <w:rsid w:val="205C769B"/>
    <w:rsid w:val="2113280E"/>
    <w:rsid w:val="252A316D"/>
    <w:rsid w:val="2D0C5228"/>
    <w:rsid w:val="2EAC336E"/>
    <w:rsid w:val="45780A70"/>
    <w:rsid w:val="59430D27"/>
    <w:rsid w:val="5D057C33"/>
    <w:rsid w:val="672E07C4"/>
    <w:rsid w:val="68DB698B"/>
    <w:rsid w:val="781E3CEF"/>
    <w:rsid w:val="785912ED"/>
    <w:rsid w:val="7A7A39F3"/>
    <w:rsid w:val="7DF76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841</Words>
  <Characters>4797</Characters>
  <Lines>39</Lines>
  <Paragraphs>11</Paragraphs>
  <TotalTime>19</TotalTime>
  <ScaleCrop>false</ScaleCrop>
  <LinksUpToDate>false</LinksUpToDate>
  <CharactersWithSpaces>5627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2024-01-17T09:41:17Z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3691FA0DF41F44BB864A20CED49C73BB</vt:lpwstr>
  </property>
</Properties>
</file>