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4" w:lineRule="exact"/>
        <w:rPr>
          <w:rFonts w:ascii="Times New Roman" w:hAnsi="Times New Roman" w:eastAsia="仿宋_GB2312"/>
          <w:sz w:val="44"/>
          <w:szCs w:val="44"/>
        </w:rPr>
      </w:pPr>
    </w:p>
    <w:p>
      <w:pPr>
        <w:spacing w:line="584"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中国共产党廊坊市广阳区委员会老干部局2019年部门预算信息公开</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bookmarkStart w:id="4" w:name="_GoBack"/>
      <w:bookmarkEnd w:id="4"/>
      <w:r>
        <w:rPr>
          <w:rFonts w:hint="eastAsia" w:ascii="Times New Roman" w:hAnsi="Times New Roman" w:eastAsia="仿宋_GB2312"/>
          <w:sz w:val="32"/>
          <w:szCs w:val="32"/>
        </w:rPr>
        <w:t>预算法》、《地方预决算公开操作规程》和《河北省省级预算公开办法》规定，现将中国共产党廊坊市广阳区委员会老干部局</w:t>
      </w:r>
      <w:r>
        <w:rPr>
          <w:rFonts w:ascii="Times New Roman" w:hAnsi="Times New Roman" w:eastAsia="仿宋_GB2312"/>
          <w:sz w:val="32"/>
          <w:szCs w:val="32"/>
        </w:rPr>
        <w:t>2019</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00" w:lineRule="exact"/>
        <w:ind w:firstLine="560"/>
        <w:rPr>
          <w:rFonts w:ascii="仿宋_GB2312" w:hAnsi="Times New Roman" w:eastAsia="仿宋_GB2312"/>
          <w:sz w:val="32"/>
          <w:szCs w:val="32"/>
        </w:rPr>
      </w:pPr>
      <w:r>
        <w:rPr>
          <w:rFonts w:hint="eastAsia" w:ascii="仿宋_GB2312" w:eastAsia="仿宋_GB2312"/>
          <w:sz w:val="32"/>
          <w:szCs w:val="32"/>
        </w:rPr>
        <w:t>广阳区老干部局为区委组织部管理的主管全区老干部工作的行政机构。主要职能：负责贯彻落实党中央、国务院和省、市、区委关于离退休干部工作的方针、政策，拟定或参与拟定全区离退休干部工作有关的具体规定和办法；指导、督促、检查各单位各部门老干部工作；组织协调有关部门共同做好老干部工作；按照有关规定，做好离退休干部的安置工作，审核和办理离休干部荣誉证；督促检查各单位各部门落实离退休干部政治和生活待遇，抓好离休干部“两费”(离休费、医药费)的落实。调查研究离退休干部政治和生活待遇中存在的问题，协调有关部门提出解决办法；协调组织部门抓好离退休干部党支部建设，加强和改进新形势下离退休干部的思想政治工作；指导各单位各部门老干部活动中心(室、站)的建设与管理，丰富全区老干部晚年生活，加强老干部门诊部建设，了解老干部对医疗保健方面的意见和要求，组织和指导离退休干部开展健康科学的文化健身、保健讲座、健康疗养、参观学习等活动；指导各单位各部门组织离退休干部继续在政治、经济领域发挥作用；指导全区老年体协、关心下一代及老年教育工作，负责管理区老干部活动中心；负责指导逝世老干部的善后工作，协助承办区委交办的丧葬事宜，会同有关部门制定治丧办法；承担区委老干部工作领导小组的日常工作；承办区委、区政府、区委组织部交办的其他事宜。</w:t>
      </w: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r>
              <w:rPr>
                <w:rFonts w:hint="eastAsia" w:ascii="Times New Roman" w:hAnsi="Times New Roman" w:eastAsia="仿宋_GB2312"/>
              </w:rPr>
              <w:t>中国共产党廊坊市广阳区委员会老干部局</w:t>
            </w:r>
          </w:p>
        </w:tc>
        <w:tc>
          <w:tcPr>
            <w:tcW w:w="1134" w:type="dxa"/>
            <w:vAlign w:val="center"/>
          </w:tcPr>
          <w:p>
            <w:pPr>
              <w:spacing w:line="584" w:lineRule="exact"/>
              <w:jc w:val="center"/>
              <w:rPr>
                <w:rFonts w:ascii="Times New Roman" w:hAnsi="Times New Roman" w:eastAsia="仿宋_GB2312"/>
              </w:rPr>
            </w:pPr>
            <w:r>
              <w:rPr>
                <w:rFonts w:hint="eastAsia" w:ascii="Times New Roman" w:hAnsi="Times New Roman" w:eastAsia="仿宋_GB2312"/>
              </w:rPr>
              <w:t>行政</w:t>
            </w:r>
          </w:p>
        </w:tc>
        <w:tc>
          <w:tcPr>
            <w:tcW w:w="1276" w:type="dxa"/>
            <w:vAlign w:val="center"/>
          </w:tcPr>
          <w:p>
            <w:pPr>
              <w:spacing w:line="584" w:lineRule="exact"/>
              <w:jc w:val="center"/>
              <w:rPr>
                <w:rFonts w:ascii="Times New Roman" w:hAnsi="Times New Roman" w:eastAsia="仿宋_GB2312"/>
              </w:rPr>
            </w:pPr>
            <w:r>
              <w:rPr>
                <w:rFonts w:hint="eastAsia" w:ascii="Times New Roman" w:hAnsi="Times New Roman" w:eastAsia="仿宋_GB2312"/>
              </w:rPr>
              <w:t>正科级</w:t>
            </w:r>
          </w:p>
        </w:tc>
        <w:tc>
          <w:tcPr>
            <w:tcW w:w="2902" w:type="dxa"/>
            <w:vAlign w:val="center"/>
          </w:tcPr>
          <w:p>
            <w:pPr>
              <w:spacing w:line="584" w:lineRule="exact"/>
              <w:jc w:val="center"/>
              <w:rPr>
                <w:rFonts w:ascii="Times New Roman" w:hAnsi="Times New Roman" w:eastAsia="仿宋_GB2312"/>
              </w:rPr>
            </w:pPr>
            <w:r>
              <w:rPr>
                <w:rFonts w:hint="eastAsia" w:ascii="Times New Roman" w:hAnsi="Times New Roman" w:eastAsia="仿宋_GB2312"/>
              </w:rPr>
              <w:t>财政拨款</w:t>
            </w: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按照预算管理有关规定，目前我区部门预算的编制实行综合预算制度，即全部收入和支出都反映在预算中。中国共产党廊坊市广阳区委员会老干部局机关及所属事业单位的收支包含在部门预算中。</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、收入说明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反映本部门当年全部收入。</w:t>
      </w:r>
      <w:r>
        <w:rPr>
          <w:rFonts w:ascii="Times New Roman" w:hAnsi="Times New Roman" w:eastAsia="仿宋_GB2312"/>
          <w:sz w:val="32"/>
          <w:szCs w:val="32"/>
        </w:rPr>
        <w:t>2019</w:t>
      </w:r>
      <w:r>
        <w:rPr>
          <w:rFonts w:hint="eastAsia" w:ascii="Times New Roman" w:hAnsi="Times New Roman" w:eastAsia="仿宋_GB2312"/>
          <w:sz w:val="32"/>
          <w:szCs w:val="32"/>
        </w:rPr>
        <w:t>年预算收入</w:t>
      </w:r>
      <w:r>
        <w:rPr>
          <w:rFonts w:ascii="Times New Roman" w:hAnsi="Times New Roman" w:eastAsia="仿宋_GB2312"/>
          <w:sz w:val="32"/>
          <w:szCs w:val="32"/>
        </w:rPr>
        <w:t>768.74</w:t>
      </w:r>
      <w:r>
        <w:rPr>
          <w:rFonts w:hint="eastAsia" w:ascii="Times New Roman" w:hAnsi="Times New Roman" w:eastAsia="仿宋_GB2312"/>
          <w:sz w:val="32"/>
          <w:szCs w:val="32"/>
        </w:rPr>
        <w:t>万元，其中：一般公共预算收入</w:t>
      </w:r>
      <w:r>
        <w:rPr>
          <w:rFonts w:ascii="Times New Roman" w:hAnsi="Times New Roman" w:eastAsia="仿宋_GB2312"/>
          <w:sz w:val="32"/>
          <w:szCs w:val="32"/>
        </w:rPr>
        <w:t>768.74</w:t>
      </w:r>
      <w:r>
        <w:rPr>
          <w:rFonts w:hint="eastAsia" w:ascii="Times New Roman" w:hAnsi="Times New Roman" w:eastAsia="仿宋_GB2312"/>
          <w:sz w:val="32"/>
          <w:szCs w:val="32"/>
        </w:rPr>
        <w:t>万元，基金预算收入</w:t>
      </w:r>
      <w:r>
        <w:rPr>
          <w:rFonts w:ascii="Times New Roman" w:hAnsi="Times New Roman" w:eastAsia="仿宋_GB2312"/>
          <w:sz w:val="32"/>
          <w:szCs w:val="32"/>
        </w:rPr>
        <w:t>0</w:t>
      </w:r>
      <w:r>
        <w:rPr>
          <w:rFonts w:hint="eastAsia" w:ascii="Times New Roman" w:hAnsi="Times New Roman" w:eastAsia="仿宋_GB2312"/>
          <w:sz w:val="32"/>
          <w:szCs w:val="32"/>
        </w:rPr>
        <w:t>万元，财政专户核拨收入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、支出说明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收支预算总表支出栏、基本支出表、项目支出表按经济分类和支出功能分类科目编制，反映中国共产党廊坊市广阳区委员会老干部局年度部门预算中支出预算的总体情况。</w:t>
      </w:r>
      <w:r>
        <w:rPr>
          <w:rFonts w:ascii="Times New Roman" w:hAnsi="Times New Roman" w:eastAsia="仿宋_GB2312"/>
          <w:sz w:val="32"/>
          <w:szCs w:val="32"/>
        </w:rPr>
        <w:t>2019</w:t>
      </w:r>
      <w:r>
        <w:rPr>
          <w:rFonts w:hint="eastAsia" w:ascii="Times New Roman" w:hAnsi="Times New Roman" w:eastAsia="仿宋_GB2312"/>
          <w:sz w:val="32"/>
          <w:szCs w:val="32"/>
        </w:rPr>
        <w:t>年支出预算</w:t>
      </w:r>
      <w:r>
        <w:rPr>
          <w:rFonts w:ascii="Times New Roman" w:hAnsi="Times New Roman" w:eastAsia="仿宋_GB2312"/>
          <w:sz w:val="32"/>
          <w:szCs w:val="32"/>
        </w:rPr>
        <w:t>768.74</w:t>
      </w:r>
      <w:r>
        <w:rPr>
          <w:rFonts w:hint="eastAsia" w:ascii="Times New Roman" w:hAnsi="Times New Roman" w:eastAsia="仿宋_GB2312"/>
          <w:sz w:val="32"/>
          <w:szCs w:val="32"/>
        </w:rPr>
        <w:t>万元，其中基本支出</w:t>
      </w:r>
      <w:r>
        <w:rPr>
          <w:rFonts w:ascii="Times New Roman" w:hAnsi="Times New Roman" w:eastAsia="仿宋_GB2312"/>
          <w:sz w:val="32"/>
          <w:szCs w:val="32"/>
        </w:rPr>
        <w:t>418.74</w:t>
      </w:r>
      <w:r>
        <w:rPr>
          <w:rFonts w:hint="eastAsia" w:ascii="Times New Roman" w:hAnsi="Times New Roman" w:eastAsia="仿宋_GB2312"/>
          <w:sz w:val="32"/>
          <w:szCs w:val="32"/>
        </w:rPr>
        <w:t>万元，包括人员经费</w:t>
      </w:r>
      <w:r>
        <w:rPr>
          <w:rFonts w:ascii="Times New Roman" w:hAnsi="Times New Roman" w:eastAsia="仿宋_GB2312"/>
          <w:sz w:val="32"/>
          <w:szCs w:val="32"/>
        </w:rPr>
        <w:t>378.54</w:t>
      </w:r>
      <w:r>
        <w:rPr>
          <w:rFonts w:hint="eastAsia" w:ascii="Times New Roman" w:hAnsi="Times New Roman" w:eastAsia="仿宋_GB2312"/>
          <w:sz w:val="32"/>
          <w:szCs w:val="32"/>
        </w:rPr>
        <w:t>万元和日常公用经费</w:t>
      </w:r>
      <w:r>
        <w:rPr>
          <w:rFonts w:ascii="Times New Roman" w:hAnsi="Times New Roman" w:eastAsia="仿宋_GB2312"/>
          <w:sz w:val="32"/>
          <w:szCs w:val="32"/>
        </w:rPr>
        <w:t>40.2</w:t>
      </w:r>
      <w:r>
        <w:rPr>
          <w:rFonts w:hint="eastAsia" w:ascii="Times New Roman" w:hAnsi="Times New Roman" w:eastAsia="仿宋_GB2312"/>
          <w:sz w:val="32"/>
          <w:szCs w:val="32"/>
        </w:rPr>
        <w:t>万元；项目支出</w:t>
      </w:r>
      <w:r>
        <w:rPr>
          <w:rFonts w:ascii="Times New Roman" w:hAnsi="Times New Roman" w:eastAsia="仿宋_GB2312"/>
          <w:sz w:val="32"/>
          <w:szCs w:val="32"/>
        </w:rPr>
        <w:t>350</w:t>
      </w:r>
      <w:r>
        <w:rPr>
          <w:rFonts w:hint="eastAsia" w:ascii="Times New Roman" w:hAnsi="Times New Roman" w:eastAsia="仿宋_GB2312"/>
          <w:sz w:val="32"/>
          <w:szCs w:val="32"/>
        </w:rPr>
        <w:t>万元，包括本级支出</w:t>
      </w:r>
      <w:r>
        <w:rPr>
          <w:rFonts w:ascii="Times New Roman" w:hAnsi="Times New Roman" w:eastAsia="仿宋_GB2312"/>
          <w:sz w:val="32"/>
          <w:szCs w:val="32"/>
        </w:rPr>
        <w:t>350</w:t>
      </w:r>
      <w:r>
        <w:rPr>
          <w:rFonts w:hint="eastAsia" w:ascii="Times New Roman" w:hAnsi="Times New Roman" w:eastAsia="仿宋_GB2312"/>
          <w:sz w:val="32"/>
          <w:szCs w:val="32"/>
        </w:rPr>
        <w:t>万元，主要为</w:t>
      </w:r>
      <w:r>
        <w:rPr>
          <w:rFonts w:hint="eastAsia" w:ascii="仿宋_GB2312" w:eastAsia="仿宋_GB2312" w:cs="宋体"/>
          <w:color w:val="000000"/>
          <w:sz w:val="32"/>
          <w:szCs w:val="32"/>
        </w:rPr>
        <w:t>离休干部医药费等。</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年预算收支安排</w:t>
      </w:r>
      <w:r>
        <w:rPr>
          <w:rFonts w:ascii="Times New Roman" w:hAnsi="Times New Roman" w:eastAsia="仿宋_GB2312"/>
          <w:sz w:val="32"/>
          <w:szCs w:val="32"/>
        </w:rPr>
        <w:t>768.74</w:t>
      </w:r>
      <w:r>
        <w:rPr>
          <w:rFonts w:hint="eastAsia" w:ascii="Times New Roman" w:hAnsi="Times New Roman" w:eastAsia="仿宋_GB2312"/>
          <w:sz w:val="32"/>
          <w:szCs w:val="32"/>
        </w:rPr>
        <w:t>万元，较</w:t>
      </w:r>
      <w:r>
        <w:rPr>
          <w:rFonts w:ascii="Times New Roman" w:hAnsi="Times New Roman" w:eastAsia="仿宋_GB2312"/>
          <w:sz w:val="32"/>
          <w:szCs w:val="32"/>
        </w:rPr>
        <w:t>2018</w:t>
      </w:r>
      <w:r>
        <w:rPr>
          <w:rFonts w:hint="eastAsia" w:ascii="Times New Roman" w:hAnsi="Times New Roman" w:eastAsia="仿宋_GB2312"/>
          <w:sz w:val="32"/>
          <w:szCs w:val="32"/>
        </w:rPr>
        <w:t>年预算增加</w:t>
      </w:r>
      <w:r>
        <w:rPr>
          <w:rFonts w:ascii="Times New Roman" w:hAnsi="Times New Roman" w:eastAsia="仿宋_GB2312"/>
          <w:sz w:val="32"/>
          <w:szCs w:val="32"/>
        </w:rPr>
        <w:t>82.38</w:t>
      </w:r>
      <w:r>
        <w:rPr>
          <w:rFonts w:hint="eastAsia" w:ascii="Times New Roman" w:hAnsi="Times New Roman" w:eastAsia="仿宋_GB2312"/>
          <w:sz w:val="32"/>
          <w:szCs w:val="32"/>
        </w:rPr>
        <w:t>万元，其中：基本支出增加</w:t>
      </w:r>
      <w:r>
        <w:rPr>
          <w:rFonts w:ascii="Times New Roman" w:hAnsi="Times New Roman" w:eastAsia="仿宋_GB2312"/>
          <w:sz w:val="32"/>
          <w:szCs w:val="32"/>
        </w:rPr>
        <w:t>65.38</w:t>
      </w:r>
      <w:r>
        <w:rPr>
          <w:rFonts w:hint="eastAsia" w:ascii="Times New Roman" w:hAnsi="Times New Roman" w:eastAsia="仿宋_GB2312"/>
          <w:sz w:val="32"/>
          <w:szCs w:val="32"/>
        </w:rPr>
        <w:t>万元，主要为人员工资支出；项目支出增加</w:t>
      </w:r>
      <w:r>
        <w:rPr>
          <w:rFonts w:ascii="Times New Roman" w:hAnsi="Times New Roman" w:eastAsia="仿宋_GB2312"/>
          <w:sz w:val="32"/>
          <w:szCs w:val="32"/>
        </w:rPr>
        <w:t>17</w:t>
      </w:r>
      <w:r>
        <w:rPr>
          <w:rFonts w:hint="eastAsia" w:ascii="Times New Roman" w:hAnsi="Times New Roman" w:eastAsia="仿宋_GB2312"/>
          <w:sz w:val="32"/>
          <w:szCs w:val="32"/>
        </w:rPr>
        <w:t>万元，主要为离休干部医疗费项目支出。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年，我部门机关运行经费共计安排0.82万元，主要用于中国共产党廊坊市广阳区委员会老干部局办公区的日常维修、办公用房水电费、办公用房取暖费、办公用房物业管理费等日常运行支出。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sz w:val="32"/>
          <w:szCs w:val="32"/>
        </w:rPr>
      </w:pPr>
      <w:r>
        <w:rPr>
          <w:rFonts w:hint="eastAsia" w:ascii="Times New Roman" w:hAnsi="黑体" w:eastAsia="黑体"/>
          <w:sz w:val="32"/>
          <w:szCs w:val="32"/>
        </w:rPr>
        <w:t>四、财政拨款“三公”经费预算情况及增减变化原因</w:t>
      </w:r>
    </w:p>
    <w:p>
      <w:pPr>
        <w:spacing w:line="584"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ascii="Times New Roman" w:hAnsi="Times New Roman" w:eastAsia="仿宋_GB2312"/>
          <w:sz w:val="32"/>
          <w:szCs w:val="32"/>
        </w:rPr>
        <w:t>2.19</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ascii="Times New Roman" w:hAnsi="Times New Roman" w:eastAsia="仿宋_GB2312"/>
          <w:sz w:val="32"/>
          <w:szCs w:val="32"/>
        </w:rPr>
        <w:t>2.19</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ascii="Times New Roman" w:hAnsi="Times New Roman" w:eastAsia="仿宋_GB2312"/>
          <w:sz w:val="32"/>
          <w:szCs w:val="32"/>
        </w:rPr>
        <w:t>2.19</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年相</w:t>
      </w:r>
      <w:r>
        <w:rPr>
          <w:rFonts w:hint="eastAsia" w:ascii="Times New Roman" w:hAnsi="Times New Roman" w:eastAsia="仿宋_GB2312"/>
          <w:color w:val="000000"/>
          <w:sz w:val="32"/>
          <w:szCs w:val="32"/>
        </w:rPr>
        <w:t>比减少</w:t>
      </w:r>
      <w:r>
        <w:rPr>
          <w:rFonts w:ascii="Times New Roman" w:hAnsi="Times New Roman" w:eastAsia="仿宋_GB2312"/>
          <w:sz w:val="32"/>
          <w:szCs w:val="32"/>
        </w:rPr>
        <w:t>0.11</w:t>
      </w:r>
      <w:r>
        <w:rPr>
          <w:rFonts w:hint="eastAsia" w:ascii="Times New Roman" w:hAnsi="Times New Roman" w:eastAsia="仿宋_GB2312"/>
          <w:sz w:val="32"/>
          <w:szCs w:val="32"/>
        </w:rPr>
        <w:t>万元，其中，公务用车购置及运维费减少</w:t>
      </w:r>
      <w:r>
        <w:rPr>
          <w:rFonts w:ascii="Times New Roman" w:hAnsi="Times New Roman" w:eastAsia="仿宋_GB2312"/>
          <w:sz w:val="32"/>
          <w:szCs w:val="32"/>
        </w:rPr>
        <w:t>0.11</w:t>
      </w:r>
      <w:r>
        <w:rPr>
          <w:rFonts w:hint="eastAsia" w:ascii="Times New Roman" w:hAnsi="Times New Roman" w:eastAsia="仿宋_GB2312"/>
          <w:sz w:val="32"/>
          <w:szCs w:val="32"/>
        </w:rPr>
        <w:t>万元（其中：公务用车购置费减少</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万</w:t>
      </w:r>
      <w:r>
        <w:rPr>
          <w:rFonts w:hint="eastAsia" w:ascii="Times New Roman" w:hAnsi="Times New Roman" w:eastAsia="仿宋_GB2312"/>
          <w:sz w:val="32"/>
          <w:szCs w:val="32"/>
        </w:rPr>
        <w:t>元，公务用车运维费减少</w:t>
      </w:r>
      <w:r>
        <w:rPr>
          <w:rFonts w:ascii="Times New Roman" w:hAnsi="Times New Roman" w:eastAsia="仿宋_GB2312"/>
          <w:color w:val="000000"/>
          <w:sz w:val="32"/>
          <w:szCs w:val="32"/>
        </w:rPr>
        <w:t>0.11</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，主要原因是我部门切实落实勤俭节约各项规定，压减公车运行经费支出；公务接待费增减0万元，</w:t>
      </w:r>
      <w:r>
        <w:rPr>
          <w:rFonts w:hint="eastAsia" w:ascii="Times New Roman" w:hAnsi="Times New Roman" w:eastAsia="仿宋_GB2312"/>
          <w:color w:val="000000"/>
          <w:sz w:val="32"/>
          <w:szCs w:val="32"/>
        </w:rPr>
        <w:t>与</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年相比持平，无增减变化。</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五、绩效预算信息</w:t>
      </w:r>
    </w:p>
    <w:p>
      <w:pPr>
        <w:spacing w:line="584" w:lineRule="exact"/>
        <w:ind w:firstLine="643" w:firstLineChars="200"/>
        <w:jc w:val="left"/>
        <w:rPr>
          <w:rFonts w:ascii="Times New Roman" w:hAnsi="Times New Roman" w:eastAsia="楷体_GB2312"/>
          <w:b/>
          <w:sz w:val="32"/>
          <w:szCs w:val="32"/>
        </w:rPr>
      </w:pPr>
      <w:bookmarkStart w:id="0" w:name="_Toc471398463"/>
      <w:r>
        <w:rPr>
          <w:rFonts w:hint="eastAsia" w:ascii="Times New Roman" w:hAnsi="Times New Roman" w:eastAsia="楷体_GB2312"/>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1、全面落实两项待遇，加强管理，提高服务水平保，离休干部“两费”(离休费、医药费)100%落实。</w:t>
      </w:r>
    </w:p>
    <w:p>
      <w:pPr>
        <w:spacing w:line="500" w:lineRule="exact"/>
        <w:ind w:firstLine="560"/>
        <w:rPr>
          <w:rFonts w:ascii="仿宋_GB2312" w:eastAsia="仿宋_GB2312"/>
          <w:sz w:val="32"/>
          <w:szCs w:val="32"/>
        </w:rPr>
      </w:pPr>
      <w:r>
        <w:rPr>
          <w:rFonts w:hint="eastAsia" w:ascii="仿宋_GB2312" w:eastAsia="仿宋_GB2312"/>
          <w:sz w:val="32"/>
          <w:szCs w:val="32"/>
        </w:rPr>
        <w:t>2、组织老干部参加社会、文体及各项活动，加强老干部基层组织和党支部建设、发挥老干部及老年团体作用，老干部满意率达到95%以上。</w:t>
      </w:r>
    </w:p>
    <w:p>
      <w:pPr>
        <w:spacing w:line="500" w:lineRule="exact"/>
        <w:ind w:firstLine="560"/>
        <w:rPr>
          <w:rFonts w:ascii="仿宋_GB2312" w:eastAsia="仿宋_GB2312"/>
          <w:sz w:val="32"/>
          <w:szCs w:val="32"/>
        </w:rPr>
      </w:pPr>
      <w:r>
        <w:rPr>
          <w:rFonts w:hint="eastAsia" w:ascii="仿宋_GB2312" w:eastAsia="仿宋_GB2312"/>
          <w:sz w:val="32"/>
          <w:szCs w:val="32"/>
        </w:rPr>
        <w:t>3、贯彻执行老年教育和老干部工作方针，构建终身教育体系；开展全市关心下一代工作，组织老同志参加青少年教育工作，开展青少年教育活动5次以上。</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一、离退休干部政策及服务</w:t>
      </w:r>
    </w:p>
    <w:p>
      <w:pPr>
        <w:spacing w:line="500" w:lineRule="exact"/>
        <w:ind w:firstLine="560"/>
        <w:rPr>
          <w:rFonts w:ascii="仿宋_GB2312" w:eastAsia="仿宋_GB2312"/>
          <w:sz w:val="32"/>
          <w:szCs w:val="32"/>
        </w:rPr>
      </w:pPr>
      <w:r>
        <w:rPr>
          <w:rFonts w:hint="eastAsia" w:ascii="仿宋_GB2312" w:eastAsia="仿宋_GB2312"/>
          <w:sz w:val="32"/>
          <w:szCs w:val="32"/>
        </w:rPr>
        <w:t>1、落实老干部政治、生活待遇，服务管理离退休干部。全面落实两项待遇，加强管理，提高服务水平。</w:t>
      </w:r>
    </w:p>
    <w:p>
      <w:pPr>
        <w:spacing w:line="500" w:lineRule="exact"/>
        <w:ind w:firstLine="560"/>
        <w:rPr>
          <w:rFonts w:ascii="仿宋_GB2312" w:eastAsia="仿宋_GB2312"/>
          <w:sz w:val="32"/>
          <w:szCs w:val="32"/>
        </w:rPr>
      </w:pPr>
      <w:r>
        <w:rPr>
          <w:rFonts w:hint="eastAsia" w:ascii="仿宋_GB2312" w:eastAsia="仿宋_GB2312"/>
          <w:sz w:val="32"/>
          <w:szCs w:val="32"/>
        </w:rPr>
        <w:t>2、老干部活动、组织建设。组织老干部参加社会、文体及各项活动，加强老干部基层组织和党支部建设、发挥老干部及老年团体作用</w:t>
      </w:r>
    </w:p>
    <w:p>
      <w:pPr>
        <w:spacing w:line="500" w:lineRule="exact"/>
        <w:ind w:firstLine="560"/>
        <w:rPr>
          <w:rFonts w:ascii="仿宋_GB2312" w:eastAsia="仿宋_GB2312"/>
          <w:sz w:val="32"/>
          <w:szCs w:val="32"/>
        </w:rPr>
      </w:pPr>
      <w:r>
        <w:rPr>
          <w:rFonts w:hint="eastAsia" w:ascii="仿宋_GB2312" w:eastAsia="仿宋_GB2312"/>
          <w:sz w:val="32"/>
          <w:szCs w:val="32"/>
        </w:rPr>
        <w:t>二、老年活动阵地建设</w:t>
      </w:r>
    </w:p>
    <w:p>
      <w:pPr>
        <w:spacing w:line="500" w:lineRule="exact"/>
        <w:ind w:firstLine="560"/>
        <w:rPr>
          <w:rFonts w:ascii="仿宋_GB2312" w:eastAsia="仿宋_GB2312"/>
          <w:sz w:val="32"/>
          <w:szCs w:val="32"/>
        </w:rPr>
      </w:pPr>
      <w:r>
        <w:rPr>
          <w:rFonts w:hint="eastAsia" w:ascii="仿宋_GB2312" w:eastAsia="仿宋_GB2312"/>
          <w:sz w:val="32"/>
          <w:szCs w:val="32"/>
        </w:rPr>
        <w:t>老年教育及关心下一代。贯彻执行老年教育和老干部工作方针，构建终身教育体系；开展全市关心下一代工作，组织老同志参加青少年教育工作。健全完善与经济社会发展相适应的老年教育体系，充分发挥老干部传帮带作用，传承发挥老干部传帮带作用，传承优良作风，让下代健康成长。</w:t>
      </w:r>
    </w:p>
    <w:p>
      <w:pPr>
        <w:spacing w:line="500" w:lineRule="exact"/>
        <w:ind w:firstLine="560"/>
        <w:rPr>
          <w:rFonts w:ascii="仿宋_GB2312" w:eastAsia="仿宋_GB2312"/>
          <w:sz w:val="32"/>
          <w:szCs w:val="32"/>
        </w:rPr>
      </w:pPr>
      <w:r>
        <w:rPr>
          <w:rFonts w:hint="eastAsia" w:ascii="仿宋_GB2312" w:eastAsia="仿宋_GB2312"/>
          <w:sz w:val="32"/>
          <w:szCs w:val="32"/>
        </w:rPr>
        <w:t>三、综合事物管理</w:t>
      </w:r>
    </w:p>
    <w:p>
      <w:pPr>
        <w:spacing w:line="500" w:lineRule="exact"/>
        <w:ind w:firstLine="560"/>
        <w:rPr>
          <w:rFonts w:ascii="仿宋_GB2312" w:eastAsia="仿宋_GB2312"/>
          <w:sz w:val="32"/>
          <w:szCs w:val="32"/>
        </w:rPr>
      </w:pPr>
      <w:r>
        <w:rPr>
          <w:rFonts w:hint="eastAsia" w:ascii="仿宋_GB2312" w:eastAsia="仿宋_GB2312"/>
          <w:sz w:val="32"/>
          <w:szCs w:val="32"/>
        </w:rPr>
        <w:t>离退休干部管理服务机构设施维修改造、后勤保障、日常运转。</w:t>
      </w:r>
    </w:p>
    <w:p>
      <w:pPr>
        <w:spacing w:line="500" w:lineRule="exact"/>
        <w:ind w:firstLine="560"/>
        <w:rPr>
          <w:rFonts w:ascii="Times New Roman" w:hAnsi="Times New Roman" w:eastAsia="楷体_GB2312"/>
          <w:b/>
          <w:sz w:val="32"/>
          <w:szCs w:val="32"/>
        </w:rPr>
      </w:pPr>
      <w:r>
        <w:rPr>
          <w:rFonts w:hint="eastAsia" w:ascii="Times New Roman" w:hAnsi="Times New Roman" w:eastAsia="楷体_GB2312"/>
          <w:b/>
          <w:sz w:val="32"/>
          <w:szCs w:val="32"/>
        </w:rPr>
        <w:t>部门职责及工作活动绩效目标指标：</w:t>
      </w:r>
    </w:p>
    <w:p>
      <w:pPr>
        <w:spacing w:line="584" w:lineRule="exact"/>
        <w:jc w:val="center"/>
        <w:outlineLvl w:val="0"/>
        <w:rPr>
          <w:rFonts w:ascii="Times New Roman" w:hAnsi="Times New Roman" w:eastAsia="仿宋_GB2312"/>
          <w:b/>
          <w:sz w:val="32"/>
        </w:rPr>
      </w:pPr>
      <w:bookmarkStart w:id="1" w:name="_Toc504489147"/>
      <w:r>
        <w:rPr>
          <w:rFonts w:ascii="Times New Roman" w:hAnsi="Times New Roman" w:eastAsia="仿宋_GB2312"/>
          <w:b/>
          <w:sz w:val="32"/>
        </w:rPr>
        <w:t>部门职责-工作活动绩效目标</w:t>
      </w:r>
      <w:bookmarkEnd w:id="1"/>
    </w:p>
    <w:bookmarkEnd w:id="0"/>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540中国共产党廊坊市广阳区委员会老干部局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一、离退休干部政策及服务</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350.00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贯彻落实国家关于离退休干部的方针政策,组织落实离退休干部的政治、生活待遇</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保障离退休干部各项政策的落实</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1、落实老干部政治、生活待遇，服务管理离退休干部</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350.00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全面落实两项待遇，加强管理，提高服务水平</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让每位老干部感受到政治上的关心，生活上的爱护</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老干部满意率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享受待遇覆盖率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老干部政治生活待遇保障率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2、老干部活动、组织建设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组织老干部参加社会、文体及各项活动，加强老干部基层组织和党支部建设、发挥老干部及老年团体作用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老干部日常生活、活动丰富充实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活动覆盖率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老干部参加组织活动比例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老干部满意率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二、老年活动阵地建设</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建设、管理、使用好老年活动阵地，并指导全市阵地建设</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完善老年阵地建设体系</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1、老年教育及关心下一代</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贯彻执行老年教育和老干部工作方针，构建终身教育体系；开展全市关心下一代工作，组织老同志参加青少年教育工作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健全完善与经济社会发展相适应的老年教育体系，充分发挥老干部传帮带作用，传承优良作风，让下代健康成长</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老干部满意 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小学生受教育比例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开展青少年教育活动次数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三、综合事务管理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老干部管理服务设施维修改造、后勤保障、日常运转</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确保各项活动、工作正常运行</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离退休干部管理服务机构设施维修改造、后勤保障、日常运转</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为老干部各项活动的顺利进行做好保障工作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活动设施完好率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机关办公设备保障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bl>
    <w:p>
      <w:pPr>
        <w:spacing w:line="584" w:lineRule="exact"/>
        <w:jc w:val="left"/>
        <w:outlineLvl w:val="0"/>
        <w:rPr>
          <w:rFonts w:ascii="Times New Roman" w:hAnsi="Times New Roman" w:eastAsia="仿宋_GB2312"/>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2" w:name="_Toc471398468"/>
      <w:r>
        <w:rPr>
          <w:rFonts w:ascii="Times New Roman" w:hAnsi="Times New Roman" w:eastAsia="仿宋_GB2312"/>
          <w:sz w:val="32"/>
          <w:szCs w:val="24"/>
        </w:rPr>
        <w:t>2019</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0</w:t>
      </w:r>
      <w:r>
        <w:rPr>
          <w:rFonts w:hint="eastAsia" w:ascii="Times New Roman" w:hAnsi="Times New Roman" w:eastAsia="仿宋_GB2312"/>
          <w:sz w:val="32"/>
          <w:szCs w:val="24"/>
        </w:rPr>
        <w:t>万元。具体内容见下表。</w:t>
      </w:r>
    </w:p>
    <w:bookmarkEnd w:id="2"/>
    <w:p>
      <w:pPr>
        <w:spacing w:line="584" w:lineRule="exact"/>
        <w:jc w:val="center"/>
        <w:outlineLvl w:val="0"/>
        <w:rPr>
          <w:rFonts w:ascii="Times New Roman" w:hAnsi="Times New Roman" w:eastAsia="仿宋_GB2312"/>
          <w:sz w:val="32"/>
        </w:rPr>
      </w:pPr>
      <w:bookmarkStart w:id="3" w:name="_Toc504489153"/>
      <w:r>
        <w:rPr>
          <w:rFonts w:hint="eastAsia" w:ascii="Times New Roman" w:hAnsi="Times New Roman" w:eastAsia="仿宋_GB2312"/>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vAlign w:val="center"/>
          </w:tcPr>
          <w:p>
            <w:pPr>
              <w:spacing w:line="584" w:lineRule="exact"/>
              <w:jc w:val="left"/>
              <w:rPr>
                <w:rFonts w:ascii="仿宋_GB2312" w:hAnsi="Times New Roman" w:eastAsia="仿宋_GB2312"/>
                <w:sz w:val="24"/>
                <w:szCs w:val="24"/>
              </w:rPr>
            </w:pPr>
            <w:r>
              <w:rPr>
                <w:rFonts w:hint="eastAsia" w:ascii="仿宋_GB2312" w:hAnsi="Times New Roman" w:eastAsia="仿宋_GB2312"/>
                <w:sz w:val="24"/>
                <w:szCs w:val="24"/>
              </w:rPr>
              <w:t>540中国共产党廊坊市广阳区委员会老干部局</w:t>
            </w:r>
          </w:p>
        </w:tc>
        <w:tc>
          <w:tcPr>
            <w:tcW w:w="6391" w:type="dxa"/>
            <w:gridSpan w:val="7"/>
            <w:tcBorders>
              <w:top w:val="single" w:color="FFFFFF" w:sz="6" w:space="0"/>
              <w:left w:val="single" w:color="FFFFFF" w:sz="6" w:space="0"/>
              <w:right w:val="single" w:color="FFFFFF" w:sz="6" w:space="0"/>
            </w:tcBorders>
            <w:vAlign w:val="center"/>
          </w:tcPr>
          <w:p>
            <w:pPr>
              <w:spacing w:line="584" w:lineRule="exact"/>
              <w:jc w:val="right"/>
              <w:rPr>
                <w:rFonts w:ascii="仿宋_GB2312" w:hAnsi="Times New Roman" w:eastAsia="仿宋_GB2312"/>
                <w:sz w:val="24"/>
                <w:szCs w:val="24"/>
              </w:rPr>
            </w:pPr>
            <w:r>
              <w:rPr>
                <w:rFonts w:hint="eastAsia" w:ascii="仿宋_GB2312" w:hAnsi="Times New Roman" w:eastAsia="仿宋_GB2312"/>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93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137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72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数量单位</w:t>
            </w:r>
          </w:p>
        </w:tc>
        <w:tc>
          <w:tcPr>
            <w:tcW w:w="74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95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6391" w:type="dxa"/>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1057"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4555" w:type="dxa"/>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88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vAlign w:val="center"/>
          </w:tcPr>
          <w:p>
            <w:pPr>
              <w:spacing w:line="584" w:lineRule="exact"/>
              <w:jc w:val="left"/>
              <w:outlineLvl w:val="0"/>
              <w:rPr>
                <w:rFonts w:ascii="Times New Roman" w:hAnsi="Times New Roman" w:eastAsia="仿宋_GB2312"/>
              </w:rPr>
            </w:pPr>
          </w:p>
        </w:tc>
        <w:tc>
          <w:tcPr>
            <w:tcW w:w="1057" w:type="dxa"/>
            <w:vMerge w:val="continue"/>
            <w:vAlign w:val="center"/>
          </w:tcPr>
          <w:p>
            <w:pPr>
              <w:spacing w:line="584" w:lineRule="exact"/>
              <w:jc w:val="left"/>
              <w:outlineLvl w:val="0"/>
              <w:rPr>
                <w:rFonts w:ascii="Times New Roman" w:hAnsi="Times New Roman" w:eastAsia="仿宋_GB2312"/>
              </w:rPr>
            </w:pP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continue"/>
            <w:vAlign w:val="center"/>
          </w:tcPr>
          <w:p>
            <w:pPr>
              <w:spacing w:line="584" w:lineRule="exact"/>
              <w:jc w:val="left"/>
              <w:outlineLvl w:val="0"/>
              <w:rPr>
                <w:rFonts w:ascii="Times New Roman" w:hAnsi="Times New Roman" w:eastAsia="仿宋_GB2312"/>
              </w:rPr>
            </w:pP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790"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924"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929"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880" w:type="dxa"/>
            <w:vMerge w:val="continue"/>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中国共产党廊坊市广阳区委员会老干部局上年末固定资产金额为</w:t>
      </w:r>
      <w:r>
        <w:rPr>
          <w:rFonts w:ascii="Times New Roman" w:hAnsi="Times New Roman" w:eastAsia="仿宋_GB2312"/>
          <w:sz w:val="32"/>
          <w:szCs w:val="32"/>
        </w:rPr>
        <w:t>214.34</w:t>
      </w:r>
      <w:r>
        <w:rPr>
          <w:rFonts w:hint="eastAsia" w:ascii="Times New Roman" w:hAnsi="Times New Roman" w:eastAsia="仿宋_GB2312"/>
          <w:sz w:val="32"/>
          <w:szCs w:val="32"/>
        </w:rPr>
        <w:t>万元，本年度我部门无拟购置固定资产。详见下表。</w:t>
      </w:r>
    </w:p>
    <w:p>
      <w:pPr>
        <w:spacing w:line="584" w:lineRule="exact"/>
        <w:ind w:firstLine="640"/>
        <w:rPr>
          <w:rFonts w:ascii="Times New Roman" w:hAnsi="Times New Roman" w:eastAsia="仿宋_GB2312"/>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编制部门：540</w:t>
            </w:r>
            <w:r>
              <w:rPr>
                <w:rFonts w:hint="eastAsia" w:ascii="仿宋_GB2312" w:hAnsi="Times New Roman" w:eastAsia="仿宋_GB2312"/>
                <w:sz w:val="22"/>
              </w:rPr>
              <w:t>中国共产党廊坊市广阳区委员会老干部局</w:t>
            </w:r>
          </w:p>
        </w:tc>
        <w:tc>
          <w:tcPr>
            <w:tcW w:w="5103" w:type="dxa"/>
            <w:tcBorders>
              <w:top w:val="nil"/>
              <w:left w:val="nil"/>
              <w:bottom w:val="nil"/>
              <w:right w:val="nil"/>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截止时间：2018年12月31日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仿宋_GB2312" w:hAnsi="Times New Roman" w:eastAsia="仿宋_GB2312"/>
                <w:kern w:val="0"/>
                <w:sz w:val="22"/>
              </w:rPr>
            </w:pPr>
            <w:r>
              <w:rPr>
                <w:rFonts w:hint="eastAsia" w:ascii="仿宋_GB2312" w:hAnsi="Times New Roman" w:eastAsia="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214.34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1、房屋（平方米）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1853</w:t>
            </w: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180.7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1807</w:t>
            </w: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180.7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2、车辆（台、辆）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w:t>
            </w: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17.98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3、单价在20万元以上的设备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4、其他固定资产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15.66</w:t>
            </w:r>
          </w:p>
        </w:tc>
      </w:tr>
    </w:tbl>
    <w:p>
      <w:pPr>
        <w:autoSpaceDE w:val="0"/>
        <w:autoSpaceDN w:val="0"/>
        <w:adjustRightInd w:val="0"/>
        <w:spacing w:line="584" w:lineRule="exact"/>
        <w:ind w:left="198" w:firstLine="640" w:firstLineChars="200"/>
        <w:jc w:val="left"/>
        <w:rPr>
          <w:rFonts w:ascii="Times New Roman" w:hAnsi="Times New Roman" w:eastAsia="仿宋_GB2312"/>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37AF6"/>
    <w:rsid w:val="000410F2"/>
    <w:rsid w:val="0004565F"/>
    <w:rsid w:val="00072187"/>
    <w:rsid w:val="00075D5F"/>
    <w:rsid w:val="0008180F"/>
    <w:rsid w:val="00093DA3"/>
    <w:rsid w:val="000B529B"/>
    <w:rsid w:val="000C24E6"/>
    <w:rsid w:val="000C3A19"/>
    <w:rsid w:val="000C7541"/>
    <w:rsid w:val="000E0C6A"/>
    <w:rsid w:val="000E4305"/>
    <w:rsid w:val="000F0D09"/>
    <w:rsid w:val="001245BB"/>
    <w:rsid w:val="001251A3"/>
    <w:rsid w:val="0015229A"/>
    <w:rsid w:val="00160266"/>
    <w:rsid w:val="001643E8"/>
    <w:rsid w:val="0016535F"/>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615B9"/>
    <w:rsid w:val="003B6D37"/>
    <w:rsid w:val="00414BD3"/>
    <w:rsid w:val="00424943"/>
    <w:rsid w:val="0042727E"/>
    <w:rsid w:val="0043175C"/>
    <w:rsid w:val="00437296"/>
    <w:rsid w:val="00451590"/>
    <w:rsid w:val="00451871"/>
    <w:rsid w:val="004706DE"/>
    <w:rsid w:val="00472923"/>
    <w:rsid w:val="00472C0F"/>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34D8F"/>
    <w:rsid w:val="00651BA2"/>
    <w:rsid w:val="00654FB9"/>
    <w:rsid w:val="00661C96"/>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37404"/>
    <w:rsid w:val="00841D53"/>
    <w:rsid w:val="00843DF8"/>
    <w:rsid w:val="00845CD2"/>
    <w:rsid w:val="00852B0D"/>
    <w:rsid w:val="0085425A"/>
    <w:rsid w:val="00862CE4"/>
    <w:rsid w:val="0086417D"/>
    <w:rsid w:val="00864B7F"/>
    <w:rsid w:val="00881692"/>
    <w:rsid w:val="00882539"/>
    <w:rsid w:val="008858FF"/>
    <w:rsid w:val="008A6576"/>
    <w:rsid w:val="008B3CC5"/>
    <w:rsid w:val="008B52CD"/>
    <w:rsid w:val="008C7C4D"/>
    <w:rsid w:val="008E4261"/>
    <w:rsid w:val="008E70D4"/>
    <w:rsid w:val="008F4662"/>
    <w:rsid w:val="0090563F"/>
    <w:rsid w:val="00905D08"/>
    <w:rsid w:val="009222F2"/>
    <w:rsid w:val="00925753"/>
    <w:rsid w:val="00937F8B"/>
    <w:rsid w:val="009425F4"/>
    <w:rsid w:val="00943BD8"/>
    <w:rsid w:val="00954B2C"/>
    <w:rsid w:val="00966C5C"/>
    <w:rsid w:val="009676A1"/>
    <w:rsid w:val="00972D3A"/>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1ADC"/>
    <w:rsid w:val="00BE356A"/>
    <w:rsid w:val="00C005B2"/>
    <w:rsid w:val="00C1565C"/>
    <w:rsid w:val="00C17D03"/>
    <w:rsid w:val="00C21E0F"/>
    <w:rsid w:val="00C26204"/>
    <w:rsid w:val="00C362CA"/>
    <w:rsid w:val="00C37A99"/>
    <w:rsid w:val="00C772C1"/>
    <w:rsid w:val="00C93D22"/>
    <w:rsid w:val="00CA329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1F19"/>
    <w:rsid w:val="00F15CF0"/>
    <w:rsid w:val="00F471F7"/>
    <w:rsid w:val="00F66032"/>
    <w:rsid w:val="00F83B96"/>
    <w:rsid w:val="00F8441D"/>
    <w:rsid w:val="00F87C1E"/>
    <w:rsid w:val="00F958C2"/>
    <w:rsid w:val="00FA740E"/>
    <w:rsid w:val="00FC06C7"/>
    <w:rsid w:val="00FC288A"/>
    <w:rsid w:val="00FD5DB4"/>
    <w:rsid w:val="00FE1724"/>
    <w:rsid w:val="00FE753C"/>
    <w:rsid w:val="00FF2346"/>
    <w:rsid w:val="00FF5357"/>
    <w:rsid w:val="05EE1047"/>
    <w:rsid w:val="1E5209CD"/>
    <w:rsid w:val="2F874408"/>
    <w:rsid w:val="31F1357D"/>
    <w:rsid w:val="3F3C0C4C"/>
    <w:rsid w:val="52DF5A85"/>
    <w:rsid w:val="5430254F"/>
    <w:rsid w:val="54CF14E5"/>
    <w:rsid w:val="65A11F4C"/>
    <w:rsid w:val="711F03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99"/>
    <w:rPr>
      <w:rFonts w:ascii="Times New Roman" w:hAnsi="Times New Roman"/>
      <w:szCs w:val="24"/>
    </w:rPr>
  </w:style>
  <w:style w:type="paragraph" w:styleId="6">
    <w:name w:val="footnote text"/>
    <w:basedOn w:val="1"/>
    <w:link w:val="14"/>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footnote reference"/>
    <w:basedOn w:val="9"/>
    <w:uiPriority w:val="99"/>
    <w:rPr>
      <w:rFonts w:cs="Times New Roman"/>
      <w:vertAlign w:val="superscript"/>
    </w:rPr>
  </w:style>
  <w:style w:type="character" w:customStyle="1" w:styleId="11">
    <w:name w:val="批注框文本 Char"/>
    <w:basedOn w:val="9"/>
    <w:link w:val="2"/>
    <w:semiHidden/>
    <w:qFormat/>
    <w:locked/>
    <w:uiPriority w:val="99"/>
    <w:rPr>
      <w:rFonts w:cs="Times New Roman"/>
      <w:sz w:val="18"/>
      <w:szCs w:val="18"/>
    </w:rPr>
  </w:style>
  <w:style w:type="character" w:customStyle="1" w:styleId="12">
    <w:name w:val="页脚 Char"/>
    <w:basedOn w:val="9"/>
    <w:link w:val="3"/>
    <w:locked/>
    <w:uiPriority w:val="99"/>
    <w:rPr>
      <w:rFonts w:ascii="Times New Roman" w:hAnsi="Times New Roman" w:eastAsia="宋体" w:cs="Times New Roman"/>
      <w:sz w:val="18"/>
      <w:szCs w:val="18"/>
    </w:rPr>
  </w:style>
  <w:style w:type="character" w:customStyle="1" w:styleId="13">
    <w:name w:val="页眉 Char"/>
    <w:basedOn w:val="9"/>
    <w:link w:val="4"/>
    <w:qFormat/>
    <w:locked/>
    <w:uiPriority w:val="99"/>
    <w:rPr>
      <w:rFonts w:ascii="Times New Roman" w:hAnsi="Times New Roman" w:eastAsia="宋体" w:cs="Times New Roman"/>
      <w:sz w:val="18"/>
      <w:szCs w:val="18"/>
    </w:rPr>
  </w:style>
  <w:style w:type="character" w:customStyle="1" w:styleId="14">
    <w:name w:val="脚注文本 Char"/>
    <w:basedOn w:val="9"/>
    <w:link w:val="6"/>
    <w:semiHidden/>
    <w:locked/>
    <w:uiPriority w:val="99"/>
    <w:rPr>
      <w:rFonts w:ascii="Calibri" w:hAnsi="Calibri" w:eastAsia="宋体" w:cs="Times New Roman"/>
      <w:sz w:val="18"/>
      <w:szCs w:val="18"/>
    </w:rPr>
  </w:style>
  <w:style w:type="paragraph" w:customStyle="1" w:styleId="15">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647</Words>
  <Characters>3688</Characters>
  <Lines>30</Lines>
  <Paragraphs>8</Paragraphs>
  <TotalTime>34</TotalTime>
  <ScaleCrop>false</ScaleCrop>
  <LinksUpToDate>false</LinksUpToDate>
  <CharactersWithSpaces>4327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2024-01-17T09:44:36Z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4725A8D3FEDB4DD4AD10559E7B4EE877</vt:lpwstr>
  </property>
</Properties>
</file>