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2B" w:rsidRDefault="007E4C2B">
      <w:pPr>
        <w:spacing w:line="584" w:lineRule="exact"/>
        <w:rPr>
          <w:rFonts w:ascii="Times New Roman" w:eastAsia="仿宋_GB2312" w:hAnsi="Times New Roman" w:cs="Times New Roman"/>
          <w:sz w:val="44"/>
          <w:szCs w:val="44"/>
        </w:rPr>
      </w:pPr>
    </w:p>
    <w:p w:rsidR="007E4C2B" w:rsidRPr="00E93650" w:rsidRDefault="00AE121D" w:rsidP="00E93650">
      <w:pPr>
        <w:spacing w:line="584" w:lineRule="exact"/>
        <w:jc w:val="center"/>
        <w:rPr>
          <w:rFonts w:ascii="方正小标宋简体" w:eastAsia="方正小标宋简体" w:hAnsi="Times New Roman" w:cs="Times New Roman"/>
          <w:sz w:val="44"/>
          <w:szCs w:val="44"/>
        </w:rPr>
      </w:pPr>
      <w:r w:rsidRPr="00E93650">
        <w:rPr>
          <w:rFonts w:ascii="方正小标宋简体" w:eastAsia="方正小标宋简体" w:hAnsi="Times New Roman" w:cs="Times New Roman" w:hint="eastAsia"/>
          <w:sz w:val="44"/>
          <w:szCs w:val="44"/>
        </w:rPr>
        <w:t>廊坊市广阳区科学技术协会2019年部门预算信息公开</w:t>
      </w:r>
    </w:p>
    <w:p w:rsidR="007E4C2B" w:rsidRDefault="007E4C2B">
      <w:pPr>
        <w:spacing w:line="584" w:lineRule="exact"/>
        <w:ind w:firstLineChars="200" w:firstLine="880"/>
        <w:jc w:val="center"/>
        <w:rPr>
          <w:rFonts w:ascii="Times New Roman" w:eastAsia="仿宋_GB2312" w:hAnsi="Times New Roman" w:cs="Times New Roman"/>
          <w:sz w:val="44"/>
          <w:szCs w:val="44"/>
        </w:rPr>
      </w:pPr>
    </w:p>
    <w:p w:rsidR="007E4C2B" w:rsidRDefault="00AE121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Pr>
          <w:rFonts w:ascii="Times New Roman" w:eastAsia="仿宋_GB2312" w:hAnsi="Times New Roman" w:cs="Times New Roman" w:hint="eastAsia"/>
          <w:sz w:val="32"/>
          <w:szCs w:val="32"/>
        </w:rPr>
        <w:t>广阳区科学技术协会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年部门预算公开如下：</w:t>
      </w:r>
    </w:p>
    <w:p w:rsidR="007E4C2B" w:rsidRDefault="00AE121D">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7E4C2B" w:rsidRDefault="00AE121D">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廊坊市广阳区科学技术协会的主要职责是：</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（一）深化科普工作内容，拓展科普工作方式，推动物质文明、精神文明和先进文化建设。</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（二）开展青少年科普教育活动，促进科学融入教育，推动素质教育的进行。</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（三）实施“金桥工程”，为促进经济发展和结构调整，在新技术、新成果、新项目的引进、示范和推广上开展工作，搭线牵桥。</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（四）组件各专门学会、科普协会、农研会等科普网络并开展工作。</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（五）抓好科普示范乡、村、户和科普基地建设。</w:t>
      </w:r>
    </w:p>
    <w:p w:rsidR="007E4C2B" w:rsidRDefault="00AE121D">
      <w:pPr>
        <w:spacing w:line="584"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（六）开展技术咨询、技术开发、技术转让、技术服务等中介服务工作。</w:t>
      </w:r>
    </w:p>
    <w:p w:rsidR="00E93650" w:rsidRDefault="00E93650">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7E4C2B" w:rsidRDefault="00AE121D" w:rsidP="007D51DD">
      <w:pPr>
        <w:autoSpaceDE w:val="0"/>
        <w:autoSpaceDN w:val="0"/>
        <w:adjustRightInd w:val="0"/>
        <w:spacing w:line="584" w:lineRule="exact"/>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机构设置：</w:t>
      </w:r>
    </w:p>
    <w:p w:rsidR="007E4C2B" w:rsidRDefault="00AE121D">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7E4C2B">
        <w:trPr>
          <w:trHeight w:val="584"/>
          <w:tblHeader/>
          <w:jc w:val="center"/>
        </w:trPr>
        <w:tc>
          <w:tcPr>
            <w:tcW w:w="4443"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7E4C2B">
        <w:trPr>
          <w:trHeight w:val="584"/>
          <w:tblHeader/>
          <w:jc w:val="center"/>
        </w:trPr>
        <w:tc>
          <w:tcPr>
            <w:tcW w:w="4443"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szCs w:val="24"/>
              </w:rPr>
            </w:pPr>
          </w:p>
        </w:tc>
      </w:tr>
      <w:tr w:rsidR="007E4C2B">
        <w:trPr>
          <w:trHeight w:val="227"/>
          <w:jc w:val="center"/>
        </w:trPr>
        <w:tc>
          <w:tcPr>
            <w:tcW w:w="4443"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廊坊市广阳区科学技术协会</w:t>
            </w:r>
          </w:p>
        </w:tc>
        <w:tc>
          <w:tcPr>
            <w:tcW w:w="1134"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群众团体</w:t>
            </w:r>
          </w:p>
        </w:tc>
        <w:tc>
          <w:tcPr>
            <w:tcW w:w="1276"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7E4C2B" w:rsidRDefault="00AE121D" w:rsidP="00E9365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财政性资金基本保证</w:t>
            </w:r>
          </w:p>
        </w:tc>
      </w:tr>
    </w:tbl>
    <w:p w:rsidR="007E4C2B" w:rsidRDefault="00AE121D" w:rsidP="00E93650">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7E4C2B" w:rsidRDefault="00AE121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部门预算的编制实行综合预算制度，即全部收入和支出都反映在预算中。廊坊市</w:t>
      </w:r>
      <w:r>
        <w:rPr>
          <w:rFonts w:ascii="Times New Roman" w:eastAsia="仿宋_GB2312" w:hAnsi="Times New Roman" w:cs="Times New Roman" w:hint="eastAsia"/>
          <w:sz w:val="32"/>
          <w:szCs w:val="32"/>
        </w:rPr>
        <w:t>广阳区科学技术协会</w:t>
      </w:r>
      <w:r>
        <w:rPr>
          <w:rFonts w:ascii="Times New Roman" w:eastAsia="仿宋_GB2312" w:hAnsi="Times New Roman" w:cs="Times New Roman"/>
          <w:sz w:val="32"/>
          <w:szCs w:val="32"/>
        </w:rPr>
        <w:t>机关及所属事业单位的收支包含在部门预算中。</w:t>
      </w:r>
    </w:p>
    <w:p w:rsidR="007E4C2B" w:rsidRDefault="00AE121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7E4C2B" w:rsidRDefault="00AE121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142.27</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142.27</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7E4C2B" w:rsidRDefault="00AE121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7E4C2B" w:rsidRDefault="00AE121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Pr>
          <w:rFonts w:ascii="Times New Roman" w:eastAsia="仿宋_GB2312" w:hAnsi="Times New Roman" w:cs="Times New Roman" w:hint="eastAsia"/>
          <w:sz w:val="32"/>
          <w:szCs w:val="32"/>
        </w:rPr>
        <w:t>广阳区科学技术协会</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142.27</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138.27</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126.69</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11.58</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万元，包括本级支出</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其他科学技术普及支出</w:t>
      </w:r>
      <w:r>
        <w:rPr>
          <w:rFonts w:ascii="Times New Roman" w:eastAsia="仿宋_GB2312" w:hAnsi="Times New Roman" w:cs="Times New Roman"/>
          <w:sz w:val="32"/>
          <w:szCs w:val="32"/>
        </w:rPr>
        <w:t>等。</w:t>
      </w:r>
    </w:p>
    <w:p w:rsidR="007E4C2B" w:rsidRDefault="00AE121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3</w:t>
      </w:r>
      <w:r>
        <w:rPr>
          <w:rFonts w:ascii="Times New Roman" w:eastAsia="仿宋_GB2312" w:hAnsi="Times New Roman" w:cs="Times New Roman"/>
          <w:b/>
          <w:sz w:val="32"/>
          <w:szCs w:val="32"/>
        </w:rPr>
        <w:t>、比上年增减情况</w:t>
      </w:r>
    </w:p>
    <w:p w:rsidR="007E4C2B" w:rsidRDefault="00AE121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142.27</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17.23</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16.23</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工资福利</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其他科学技术普及</w:t>
      </w:r>
      <w:r>
        <w:rPr>
          <w:rFonts w:ascii="Times New Roman" w:eastAsia="仿宋_GB2312" w:hAnsi="Times New Roman" w:cs="Times New Roman"/>
          <w:sz w:val="32"/>
          <w:szCs w:val="32"/>
        </w:rPr>
        <w:t>项目支出。</w:t>
      </w:r>
    </w:p>
    <w:p w:rsidR="007E4C2B" w:rsidRDefault="00AE121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7E4C2B" w:rsidRDefault="00AE121D">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sidR="00E93650">
        <w:rPr>
          <w:rFonts w:ascii="Times New Roman" w:eastAsia="仿宋_GB2312" w:hAnsi="Times New Roman" w:cs="Times New Roman" w:hint="eastAsia"/>
          <w:sz w:val="32"/>
          <w:szCs w:val="32"/>
        </w:rPr>
        <w:t>0.27</w:t>
      </w:r>
      <w:r>
        <w:rPr>
          <w:rFonts w:ascii="Times New Roman" w:eastAsia="仿宋_GB2312" w:hAnsi="Times New Roman" w:cs="Times New Roman"/>
          <w:sz w:val="32"/>
          <w:szCs w:val="32"/>
        </w:rPr>
        <w:t>万元，主要用于办公区的日常维修、办公用房水电费、办公用房取暖费、办公用房物业管理费等日常运行支出。</w:t>
      </w:r>
    </w:p>
    <w:p w:rsidR="007E4C2B" w:rsidRDefault="00AE121D">
      <w:pPr>
        <w:autoSpaceDE w:val="0"/>
        <w:autoSpaceDN w:val="0"/>
        <w:adjustRightInd w:val="0"/>
        <w:spacing w:line="584" w:lineRule="exact"/>
        <w:ind w:firstLineChars="200" w:firstLine="640"/>
        <w:jc w:val="left"/>
        <w:rPr>
          <w:rFonts w:ascii="Times New Roman" w:eastAsia="黑体" w:hAnsi="黑体" w:cs="Times New Roman"/>
          <w:sz w:val="32"/>
          <w:szCs w:val="32"/>
        </w:rPr>
      </w:pPr>
      <w:r>
        <w:rPr>
          <w:rFonts w:ascii="Times New Roman" w:eastAsia="黑体" w:hAnsi="黑体" w:cs="Times New Roman"/>
          <w:sz w:val="32"/>
          <w:szCs w:val="32"/>
        </w:rPr>
        <w:t>四、财政拨款“三公”经费预算情况及增减变化原因</w:t>
      </w:r>
    </w:p>
    <w:p w:rsidR="007E4C2B" w:rsidRDefault="00AE121D">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0.11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0.11</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0.11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我部门切实落实勤俭节约各项规定，压减公车运行经费支出。</w:t>
      </w:r>
      <w:r>
        <w:rPr>
          <w:rFonts w:ascii="Times New Roman" w:eastAsia="仿宋_GB2312" w:hAnsi="Times New Roman" w:cs="Times New Roman"/>
          <w:sz w:val="32"/>
          <w:szCs w:val="32"/>
        </w:rPr>
        <w:t>公务接待费</w:t>
      </w:r>
      <w:r w:rsidR="00E93650">
        <w:rPr>
          <w:rFonts w:ascii="Times New Roman" w:eastAsia="仿宋_GB2312" w:hAnsi="Times New Roman" w:cs="Times New Roman"/>
          <w:sz w:val="32"/>
          <w:szCs w:val="32"/>
        </w:rPr>
        <w:t>增</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年相比持平，无增减变化。</w:t>
      </w:r>
    </w:p>
    <w:p w:rsidR="007E4C2B" w:rsidRDefault="00AE121D">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五、绩效预算信息</w:t>
      </w:r>
    </w:p>
    <w:p w:rsidR="0048684F" w:rsidRDefault="00AE121D" w:rsidP="0048684F">
      <w:pPr>
        <w:spacing w:line="584" w:lineRule="exact"/>
        <w:ind w:firstLineChars="200" w:firstLine="643"/>
        <w:jc w:val="left"/>
        <w:rPr>
          <w:rFonts w:ascii="Times New Roman" w:eastAsia="楷体_GB2312" w:hAnsi="Times New Roman" w:cs="Times New Roman"/>
          <w:b/>
          <w:sz w:val="32"/>
          <w:szCs w:val="32"/>
        </w:rPr>
      </w:pPr>
      <w:bookmarkStart w:id="0" w:name="_Toc471398463"/>
      <w:r>
        <w:rPr>
          <w:rFonts w:ascii="Times New Roman" w:eastAsia="楷体_GB2312" w:hAnsi="Times New Roman" w:cs="Times New Roman"/>
          <w:b/>
          <w:sz w:val="32"/>
          <w:szCs w:val="32"/>
        </w:rPr>
        <w:t>总体绩效目标：</w:t>
      </w:r>
    </w:p>
    <w:p w:rsidR="0048684F" w:rsidRDefault="0048684F" w:rsidP="0048684F">
      <w:pPr>
        <w:spacing w:line="584" w:lineRule="exact"/>
        <w:ind w:firstLineChars="200" w:firstLine="640"/>
        <w:jc w:val="left"/>
        <w:rPr>
          <w:rFonts w:ascii="Times New Roman" w:eastAsia="楷体_GB2312" w:hAnsi="Times New Roman" w:cs="Times New Roman"/>
          <w:b/>
          <w:sz w:val="32"/>
          <w:szCs w:val="32"/>
        </w:rPr>
      </w:pPr>
      <w:r w:rsidRPr="0048684F">
        <w:rPr>
          <w:rFonts w:ascii="仿宋_GB2312" w:eastAsia="仿宋_GB2312" w:hAnsi="宋体" w:hint="eastAsia"/>
          <w:sz w:val="32"/>
          <w:szCs w:val="32"/>
        </w:rPr>
        <w:t>一、开展青少年科普活动，组织青少年科技创新大赛，提高青少年素质水平。</w:t>
      </w:r>
    </w:p>
    <w:p w:rsidR="0048684F" w:rsidRPr="0048684F" w:rsidRDefault="0048684F" w:rsidP="0048684F">
      <w:pPr>
        <w:spacing w:line="584" w:lineRule="exact"/>
        <w:ind w:firstLineChars="200" w:firstLine="640"/>
        <w:jc w:val="left"/>
        <w:rPr>
          <w:rFonts w:ascii="Times New Roman" w:eastAsia="楷体_GB2312" w:hAnsi="Times New Roman" w:cs="Times New Roman"/>
          <w:b/>
          <w:sz w:val="32"/>
          <w:szCs w:val="32"/>
        </w:rPr>
      </w:pPr>
      <w:r w:rsidRPr="0048684F">
        <w:rPr>
          <w:rFonts w:ascii="仿宋_GB2312" w:eastAsia="仿宋_GB2312" w:hAnsi="宋体" w:hint="eastAsia"/>
          <w:sz w:val="32"/>
          <w:szCs w:val="32"/>
        </w:rPr>
        <w:t>二、开展社区科普活动，提升社区居民科学素质水平。</w:t>
      </w:r>
    </w:p>
    <w:p w:rsidR="0048684F" w:rsidRPr="0048684F" w:rsidRDefault="0048684F" w:rsidP="0048684F">
      <w:pPr>
        <w:spacing w:line="500" w:lineRule="exact"/>
        <w:ind w:firstLine="560"/>
        <w:rPr>
          <w:rFonts w:ascii="仿宋_GB2312" w:eastAsia="仿宋_GB2312"/>
          <w:sz w:val="32"/>
          <w:szCs w:val="32"/>
        </w:rPr>
      </w:pPr>
      <w:r w:rsidRPr="0048684F">
        <w:rPr>
          <w:rFonts w:ascii="仿宋_GB2312" w:eastAsia="仿宋_GB2312" w:hAnsi="宋体" w:hint="eastAsia"/>
          <w:sz w:val="32"/>
          <w:szCs w:val="32"/>
        </w:rPr>
        <w:lastRenderedPageBreak/>
        <w:t>三、推广农业先进和实用新技术、新工艺、新品种，科普活动成效显著。</w:t>
      </w:r>
    </w:p>
    <w:p w:rsidR="0048684F" w:rsidRPr="0048684F" w:rsidRDefault="0048684F" w:rsidP="0048684F">
      <w:pPr>
        <w:spacing w:line="500" w:lineRule="exact"/>
        <w:ind w:firstLine="560"/>
        <w:rPr>
          <w:rFonts w:ascii="仿宋_GB2312" w:eastAsia="仿宋_GB2312"/>
          <w:sz w:val="32"/>
          <w:szCs w:val="32"/>
        </w:rPr>
      </w:pPr>
      <w:r w:rsidRPr="0048684F">
        <w:rPr>
          <w:rFonts w:ascii="仿宋_GB2312" w:eastAsia="仿宋_GB2312" w:hAnsi="宋体" w:hint="eastAsia"/>
          <w:sz w:val="32"/>
          <w:szCs w:val="32"/>
        </w:rPr>
        <w:t>四、推进青少年科技活动示范建设。</w:t>
      </w:r>
    </w:p>
    <w:p w:rsidR="0048684F" w:rsidRPr="0048684F" w:rsidRDefault="0048684F" w:rsidP="0048684F">
      <w:pPr>
        <w:spacing w:line="500" w:lineRule="exact"/>
        <w:ind w:firstLine="560"/>
        <w:rPr>
          <w:rFonts w:ascii="仿宋_GB2312" w:eastAsia="仿宋_GB2312"/>
          <w:sz w:val="32"/>
          <w:szCs w:val="32"/>
        </w:rPr>
      </w:pPr>
      <w:r w:rsidRPr="0048684F">
        <w:rPr>
          <w:rFonts w:ascii="仿宋_GB2312" w:eastAsia="仿宋_GB2312" w:hAnsi="宋体" w:hint="eastAsia"/>
          <w:sz w:val="32"/>
          <w:szCs w:val="32"/>
        </w:rPr>
        <w:t>五、科普</w:t>
      </w:r>
      <w:r w:rsidRPr="0048684F">
        <w:rPr>
          <w:rFonts w:ascii="仿宋_GB2312" w:eastAsia="仿宋_GB2312" w:hint="eastAsia"/>
          <w:sz w:val="32"/>
          <w:szCs w:val="32"/>
        </w:rPr>
        <w:t>E</w:t>
      </w:r>
      <w:r w:rsidRPr="0048684F">
        <w:rPr>
          <w:rFonts w:ascii="仿宋_GB2312" w:eastAsia="仿宋_GB2312" w:hAnsi="宋体" w:hint="eastAsia"/>
          <w:sz w:val="32"/>
          <w:szCs w:val="32"/>
        </w:rPr>
        <w:t>站建设，达到上级要求。</w:t>
      </w:r>
    </w:p>
    <w:p w:rsidR="0048684F" w:rsidRPr="0048684F" w:rsidRDefault="0048684F" w:rsidP="0048684F">
      <w:pPr>
        <w:spacing w:line="500" w:lineRule="exact"/>
        <w:ind w:firstLine="560"/>
        <w:rPr>
          <w:rFonts w:ascii="仿宋_GB2312" w:eastAsia="仿宋_GB2312"/>
          <w:sz w:val="32"/>
          <w:szCs w:val="32"/>
        </w:rPr>
      </w:pPr>
      <w:r w:rsidRPr="0048684F">
        <w:rPr>
          <w:rFonts w:ascii="仿宋_GB2312" w:eastAsia="仿宋_GB2312" w:hAnsi="宋体" w:hint="eastAsia"/>
          <w:sz w:val="32"/>
          <w:szCs w:val="32"/>
        </w:rPr>
        <w:t>六、企业科协建设达到相关要求。</w:t>
      </w:r>
    </w:p>
    <w:p w:rsidR="0048684F" w:rsidRDefault="0048684F" w:rsidP="0048684F">
      <w:pPr>
        <w:spacing w:line="500" w:lineRule="exact"/>
        <w:ind w:firstLine="560"/>
        <w:rPr>
          <w:rFonts w:ascii="仿宋_GB2312" w:eastAsia="仿宋_GB2312"/>
          <w:sz w:val="32"/>
          <w:szCs w:val="32"/>
        </w:rPr>
      </w:pPr>
      <w:r w:rsidRPr="0048684F">
        <w:rPr>
          <w:rFonts w:ascii="仿宋_GB2312" w:eastAsia="仿宋_GB2312" w:hAnsi="宋体" w:hint="eastAsia"/>
          <w:sz w:val="32"/>
          <w:szCs w:val="32"/>
        </w:rPr>
        <w:t>七、各项科普业务工作谋划到位。</w:t>
      </w:r>
    </w:p>
    <w:p w:rsidR="0048684F" w:rsidRDefault="0048684F" w:rsidP="0048684F">
      <w:pPr>
        <w:spacing w:line="500" w:lineRule="exact"/>
        <w:ind w:firstLine="560"/>
        <w:rPr>
          <w:rFonts w:ascii="楷体_GB2312" w:eastAsia="楷体_GB2312"/>
          <w:sz w:val="32"/>
          <w:szCs w:val="32"/>
        </w:rPr>
      </w:pPr>
      <w:r w:rsidRPr="0048684F">
        <w:rPr>
          <w:rFonts w:ascii="楷体_GB2312" w:eastAsia="楷体_GB2312" w:hint="eastAsia"/>
          <w:b/>
          <w:sz w:val="32"/>
          <w:szCs w:val="32"/>
        </w:rPr>
        <w:t>职责分类绩效目标：</w:t>
      </w:r>
    </w:p>
    <w:p w:rsidR="0048684F" w:rsidRPr="0048684F" w:rsidRDefault="0048684F" w:rsidP="0048684F">
      <w:pPr>
        <w:spacing w:line="500" w:lineRule="exact"/>
        <w:ind w:firstLine="560"/>
        <w:rPr>
          <w:rFonts w:ascii="楷体_GB2312" w:eastAsia="楷体_GB2312"/>
          <w:sz w:val="32"/>
          <w:szCs w:val="32"/>
        </w:rPr>
      </w:pPr>
      <w:r w:rsidRPr="0048684F">
        <w:rPr>
          <w:rFonts w:ascii="仿宋_GB2312" w:eastAsia="仿宋_GB2312" w:hint="eastAsia"/>
          <w:sz w:val="32"/>
          <w:szCs w:val="32"/>
        </w:rPr>
        <w:t>科学技术普及目标：实施《全民科学素质行动计划纲要》，改善科普设施，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科普设施体系建设。加强全民科学素质教育基地建设，加强科普设施建设。建立互联网云科普、手机科普、数字科技馆等数字化科普公共服务平台。</w:t>
      </w:r>
    </w:p>
    <w:p w:rsidR="00C132CB" w:rsidRDefault="0048684F" w:rsidP="00C132CB">
      <w:pPr>
        <w:spacing w:line="500" w:lineRule="exact"/>
        <w:ind w:firstLine="560"/>
        <w:rPr>
          <w:rFonts w:ascii="仿宋_GB2312" w:eastAsia="仿宋_GB2312"/>
          <w:sz w:val="32"/>
          <w:szCs w:val="32"/>
        </w:rPr>
      </w:pPr>
      <w:r w:rsidRPr="0048684F">
        <w:rPr>
          <w:rFonts w:ascii="仿宋_GB2312" w:eastAsia="仿宋_GB2312" w:hint="eastAsia"/>
          <w:sz w:val="32"/>
          <w:szCs w:val="32"/>
        </w:rPr>
        <w:t xml:space="preserve"> 科协政务管理目标：提升综合业务管理水平。保障机关运行、科普项目管理、机关组织建设等各项工作</w:t>
      </w:r>
      <w:r w:rsidR="00C132CB">
        <w:rPr>
          <w:rFonts w:ascii="仿宋_GB2312" w:eastAsia="仿宋_GB2312" w:hint="eastAsia"/>
          <w:sz w:val="32"/>
          <w:szCs w:val="32"/>
        </w:rPr>
        <w:t>。</w:t>
      </w:r>
    </w:p>
    <w:p w:rsidR="00C132CB" w:rsidRPr="00C132CB" w:rsidRDefault="00AE121D" w:rsidP="00C132CB">
      <w:pPr>
        <w:spacing w:line="500" w:lineRule="exact"/>
        <w:ind w:firstLine="560"/>
        <w:rPr>
          <w:rFonts w:ascii="仿宋_GB2312" w:eastAsia="仿宋_GB2312"/>
          <w:sz w:val="32"/>
          <w:szCs w:val="32"/>
        </w:rPr>
      </w:pPr>
      <w:r>
        <w:rPr>
          <w:rFonts w:ascii="Times New Roman" w:eastAsia="楷体_GB2312" w:hAnsi="Times New Roman" w:cs="Times New Roman"/>
          <w:b/>
          <w:sz w:val="32"/>
          <w:szCs w:val="32"/>
        </w:rPr>
        <w:t>部门职责及工作活动绩效目标指标：</w:t>
      </w:r>
    </w:p>
    <w:p w:rsidR="00C132CB" w:rsidRPr="00C132CB" w:rsidRDefault="00C132CB" w:rsidP="00C132CB">
      <w:pPr>
        <w:spacing w:line="584" w:lineRule="exact"/>
        <w:jc w:val="center"/>
        <w:outlineLvl w:val="0"/>
        <w:rPr>
          <w:rFonts w:ascii="Times New Roman" w:eastAsia="仿宋_GB2312" w:hAnsi="Times New Roman" w:cs="Times New Roman"/>
          <w:b/>
          <w:sz w:val="32"/>
        </w:rPr>
      </w:pPr>
      <w:bookmarkStart w:id="1" w:name="_Toc504489147"/>
      <w:r w:rsidRPr="0090563F">
        <w:rPr>
          <w:rFonts w:ascii="Times New Roman" w:eastAsia="仿宋_GB2312" w:hAnsi="Times New Roman" w:cs="Times New Roman"/>
          <w:b/>
          <w:sz w:val="32"/>
        </w:rPr>
        <w:t>部门职责</w:t>
      </w:r>
      <w:r w:rsidRPr="0090563F">
        <w:rPr>
          <w:rFonts w:ascii="Times New Roman" w:eastAsia="仿宋_GB2312" w:hAnsi="Times New Roman" w:cs="Times New Roman"/>
          <w:b/>
          <w:sz w:val="32"/>
        </w:rPr>
        <w:t>-</w:t>
      </w:r>
      <w:r w:rsidRPr="0090563F">
        <w:rPr>
          <w:rFonts w:ascii="Times New Roman" w:eastAsia="仿宋_GB2312" w:hAnsi="Times New Roman" w:cs="Times New Roman"/>
          <w:b/>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C132CB" w:rsidRPr="00C132CB" w:rsidTr="005A5F44">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132CB" w:rsidRPr="00C132CB" w:rsidRDefault="00C132CB" w:rsidP="005A5F44">
            <w:pPr>
              <w:spacing w:line="300" w:lineRule="exact"/>
              <w:jc w:val="left"/>
              <w:rPr>
                <w:rFonts w:ascii="仿宋_GB2312" w:eastAsia="仿宋_GB2312"/>
                <w:sz w:val="24"/>
              </w:rPr>
            </w:pPr>
            <w:r w:rsidRPr="00C132CB">
              <w:rPr>
                <w:rFonts w:ascii="仿宋_GB2312" w:eastAsia="仿宋_GB2312" w:hint="eastAsia"/>
                <w:sz w:val="24"/>
              </w:rPr>
              <w:t>495廊坊市广阳区科学技术协会</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132CB" w:rsidRPr="00C132CB" w:rsidRDefault="00C132CB" w:rsidP="005A5F44">
            <w:pPr>
              <w:spacing w:line="300" w:lineRule="exact"/>
              <w:jc w:val="right"/>
              <w:rPr>
                <w:rFonts w:ascii="仿宋_GB2312" w:eastAsia="仿宋_GB2312"/>
                <w:sz w:val="24"/>
              </w:rPr>
            </w:pPr>
            <w:r w:rsidRPr="00C132CB">
              <w:rPr>
                <w:rFonts w:ascii="仿宋_GB2312" w:eastAsia="仿宋_GB2312" w:hint="eastAsia"/>
                <w:sz w:val="24"/>
              </w:rPr>
              <w:t>单位：万元</w:t>
            </w:r>
          </w:p>
        </w:tc>
      </w:tr>
      <w:tr w:rsidR="00C132CB" w:rsidRPr="00E109D7" w:rsidTr="005A5F44">
        <w:trPr>
          <w:trHeight w:val="227"/>
          <w:tblHeader/>
          <w:jc w:val="center"/>
        </w:trPr>
        <w:tc>
          <w:tcPr>
            <w:tcW w:w="2341" w:type="dxa"/>
            <w:vMerge w:val="restart"/>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职责活动</w:t>
            </w:r>
          </w:p>
        </w:tc>
        <w:tc>
          <w:tcPr>
            <w:tcW w:w="1276" w:type="dxa"/>
            <w:vMerge w:val="restart"/>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年度预算数</w:t>
            </w:r>
          </w:p>
        </w:tc>
        <w:tc>
          <w:tcPr>
            <w:tcW w:w="2976" w:type="dxa"/>
            <w:vMerge w:val="restart"/>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内容描述</w:t>
            </w:r>
          </w:p>
        </w:tc>
        <w:tc>
          <w:tcPr>
            <w:tcW w:w="2976" w:type="dxa"/>
            <w:vMerge w:val="restart"/>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绩效目标</w:t>
            </w:r>
          </w:p>
        </w:tc>
        <w:tc>
          <w:tcPr>
            <w:tcW w:w="1417" w:type="dxa"/>
            <w:vMerge w:val="restart"/>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绩效指标</w:t>
            </w:r>
          </w:p>
        </w:tc>
        <w:tc>
          <w:tcPr>
            <w:tcW w:w="2948" w:type="dxa"/>
            <w:gridSpan w:val="4"/>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评价标准</w:t>
            </w:r>
          </w:p>
        </w:tc>
      </w:tr>
      <w:tr w:rsidR="00C132CB" w:rsidRPr="00E109D7" w:rsidTr="005A5F44">
        <w:trPr>
          <w:trHeight w:val="227"/>
          <w:tblHeader/>
          <w:jc w:val="center"/>
        </w:trPr>
        <w:tc>
          <w:tcPr>
            <w:tcW w:w="2341" w:type="dxa"/>
            <w:vMerge/>
            <w:shd w:val="clear" w:color="auto" w:fill="auto"/>
            <w:vAlign w:val="center"/>
          </w:tcPr>
          <w:p w:rsidR="00C132CB" w:rsidRPr="00C132CB" w:rsidRDefault="00C132CB" w:rsidP="005A5F44">
            <w:pPr>
              <w:spacing w:line="300" w:lineRule="exact"/>
              <w:jc w:val="left"/>
              <w:outlineLvl w:val="0"/>
              <w:rPr>
                <w:rFonts w:ascii="仿宋_GB2312" w:eastAsia="仿宋_GB2312"/>
              </w:rPr>
            </w:pPr>
          </w:p>
        </w:tc>
        <w:tc>
          <w:tcPr>
            <w:tcW w:w="1276" w:type="dxa"/>
            <w:vMerge/>
            <w:shd w:val="clear" w:color="auto" w:fill="auto"/>
            <w:vAlign w:val="center"/>
          </w:tcPr>
          <w:p w:rsidR="00C132CB" w:rsidRPr="00C132CB" w:rsidRDefault="00C132CB" w:rsidP="005A5F44">
            <w:pPr>
              <w:spacing w:line="300" w:lineRule="exact"/>
              <w:jc w:val="left"/>
              <w:outlineLvl w:val="0"/>
              <w:rPr>
                <w:rFonts w:ascii="仿宋_GB2312" w:eastAsia="仿宋_GB2312"/>
              </w:rPr>
            </w:pPr>
          </w:p>
        </w:tc>
        <w:tc>
          <w:tcPr>
            <w:tcW w:w="2976" w:type="dxa"/>
            <w:vMerge/>
            <w:shd w:val="clear" w:color="auto" w:fill="auto"/>
            <w:vAlign w:val="center"/>
          </w:tcPr>
          <w:p w:rsidR="00C132CB" w:rsidRPr="00C132CB" w:rsidRDefault="00C132CB" w:rsidP="005A5F44">
            <w:pPr>
              <w:spacing w:line="300" w:lineRule="exact"/>
              <w:jc w:val="left"/>
              <w:outlineLvl w:val="0"/>
              <w:rPr>
                <w:rFonts w:ascii="仿宋_GB2312" w:eastAsia="仿宋_GB2312"/>
              </w:rPr>
            </w:pPr>
          </w:p>
        </w:tc>
        <w:tc>
          <w:tcPr>
            <w:tcW w:w="2976" w:type="dxa"/>
            <w:vMerge/>
            <w:shd w:val="clear" w:color="auto" w:fill="auto"/>
            <w:vAlign w:val="center"/>
          </w:tcPr>
          <w:p w:rsidR="00C132CB" w:rsidRPr="00C132CB" w:rsidRDefault="00C132CB" w:rsidP="005A5F44">
            <w:pPr>
              <w:spacing w:line="300" w:lineRule="exact"/>
              <w:jc w:val="left"/>
              <w:outlineLvl w:val="0"/>
              <w:rPr>
                <w:rFonts w:ascii="仿宋_GB2312" w:eastAsia="仿宋_GB2312"/>
              </w:rPr>
            </w:pPr>
          </w:p>
        </w:tc>
        <w:tc>
          <w:tcPr>
            <w:tcW w:w="1417" w:type="dxa"/>
            <w:vMerge/>
            <w:shd w:val="clear" w:color="auto" w:fill="auto"/>
            <w:vAlign w:val="center"/>
          </w:tcPr>
          <w:p w:rsidR="00C132CB" w:rsidRPr="00C132CB" w:rsidRDefault="00C132CB" w:rsidP="005A5F44">
            <w:pPr>
              <w:spacing w:line="300" w:lineRule="exact"/>
              <w:jc w:val="left"/>
              <w:outlineLvl w:val="0"/>
              <w:rPr>
                <w:rFonts w:ascii="仿宋_GB2312" w:eastAsia="仿宋_GB2312"/>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优</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良</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中</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b/>
              </w:rPr>
            </w:pPr>
            <w:r w:rsidRPr="00C132CB">
              <w:rPr>
                <w:rFonts w:ascii="仿宋_GB2312" w:eastAsia="仿宋_GB2312" w:hint="eastAsia"/>
                <w:b/>
              </w:rPr>
              <w:t>差</w:t>
            </w:r>
          </w:p>
        </w:tc>
      </w:tr>
      <w:tr w:rsidR="00C132CB" w:rsidRPr="00E109D7" w:rsidTr="005A5F44">
        <w:trPr>
          <w:trHeight w:val="227"/>
          <w:jc w:val="center"/>
        </w:trPr>
        <w:tc>
          <w:tcPr>
            <w:tcW w:w="2341" w:type="dxa"/>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一、科学技术普及</w:t>
            </w:r>
          </w:p>
        </w:tc>
        <w:tc>
          <w:tcPr>
            <w:tcW w:w="1276"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4.00</w:t>
            </w:r>
          </w:p>
        </w:tc>
        <w:tc>
          <w:tcPr>
            <w:tcW w:w="2976"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实施《全民科学素质行动计划纲要》，改善科普设施，提升科普能力，开展多形式的科普活动。</w:t>
            </w:r>
          </w:p>
        </w:tc>
        <w:tc>
          <w:tcPr>
            <w:tcW w:w="2976"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实施《全民科学素质行动计划纲要》和《科普法》并结合社会实际需要，开展科普活动，加强科普设施建设，提升科普能力</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r>
      <w:tr w:rsidR="00C132CB" w:rsidRPr="00E109D7" w:rsidTr="005A5F44">
        <w:trPr>
          <w:trHeight w:val="227"/>
          <w:jc w:val="center"/>
        </w:trPr>
        <w:tc>
          <w:tcPr>
            <w:tcW w:w="2341" w:type="dxa"/>
            <w:vMerge w:val="restart"/>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 xml:space="preserve">　　1、开展科普活动</w:t>
            </w:r>
          </w:p>
        </w:tc>
        <w:tc>
          <w:tcPr>
            <w:tcW w:w="12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4.00</w:t>
            </w: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面向农民、社区居民、青少年、领导干部和公务员等重点人群，开展科普惠农、科普益民等重点科普活动；开展科普日、科技周、减灾日、三下乡等系列科普活动。</w:t>
            </w: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系列科普活动成效明显，重点人群科学素质不断提升</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推广农业先进和实用新技术、新工艺、新品种成果</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获得国家级</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获得省级项目</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获得市级项目</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获得区级项目</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开展社区科普活动数量（次）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≥5</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≥4</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≥3</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&lt;3</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组织青少年科普活动参与人次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≥3000人次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≥2000人次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≥1500人次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&lt;1500人次</w:t>
            </w:r>
          </w:p>
        </w:tc>
      </w:tr>
      <w:tr w:rsidR="00C132CB" w:rsidRPr="00E109D7" w:rsidTr="005A5F44">
        <w:trPr>
          <w:trHeight w:val="227"/>
          <w:jc w:val="center"/>
        </w:trPr>
        <w:tc>
          <w:tcPr>
            <w:tcW w:w="2341" w:type="dxa"/>
            <w:vMerge w:val="restart"/>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 xml:space="preserve">　　2、科普能力建设</w:t>
            </w:r>
          </w:p>
        </w:tc>
        <w:tc>
          <w:tcPr>
            <w:tcW w:w="12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实施社会科普资源开发共享、加强大众媒体科普宣传能力建设，培养科普组织和科普人才。</w:t>
            </w: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促进我区各类科普设施建设与发展，利用数字化手段开发构建科普公共服务平台，实现农村、社区、校园科普一体化推荐平台</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按需印刷、购置科普图书相关度（%）</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与社会化生活紧密相关度≥90%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社会生活紧密相关度89%-70%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社会生活紧密相关度69%-60%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社会生活紧密相关度≤59%</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提高科普场所数量（个）</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≥4</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≥1</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＜1</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科普一体化平台建设数量</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≥4</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≥1</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＜1</w:t>
            </w:r>
          </w:p>
        </w:tc>
      </w:tr>
      <w:tr w:rsidR="00C132CB" w:rsidRPr="00E109D7" w:rsidTr="005A5F44">
        <w:trPr>
          <w:trHeight w:val="227"/>
          <w:jc w:val="center"/>
        </w:trPr>
        <w:tc>
          <w:tcPr>
            <w:tcW w:w="2341" w:type="dxa"/>
            <w:vMerge w:val="restart"/>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 xml:space="preserve">　　3、科普设施体系建设</w:t>
            </w:r>
          </w:p>
        </w:tc>
        <w:tc>
          <w:tcPr>
            <w:tcW w:w="12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加强全民科学素质教育基地建设，加强科普设施、展品研发。</w:t>
            </w:r>
            <w:r w:rsidRPr="00C132CB">
              <w:rPr>
                <w:rFonts w:ascii="仿宋_GB2312" w:eastAsia="仿宋_GB2312" w:hint="eastAsia"/>
                <w:szCs w:val="21"/>
              </w:rPr>
              <w:lastRenderedPageBreak/>
              <w:t>建立互联网云科普、手机科普、数字科技馆等数字化科普公共服务平台。</w:t>
            </w: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lastRenderedPageBreak/>
              <w:t>利用数字化手段开发构建科普公共服务平台，实现农村、社</w:t>
            </w:r>
            <w:r w:rsidRPr="00C132CB">
              <w:rPr>
                <w:rFonts w:ascii="仿宋_GB2312" w:eastAsia="仿宋_GB2312" w:hint="eastAsia"/>
                <w:szCs w:val="21"/>
              </w:rPr>
              <w:lastRenderedPageBreak/>
              <w:t>区、校园科普一体化推荐平台</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lastRenderedPageBreak/>
              <w:t>科普公共服务平台用户</w:t>
            </w:r>
            <w:r w:rsidRPr="00C132CB">
              <w:rPr>
                <w:rFonts w:ascii="仿宋_GB2312" w:eastAsia="仿宋_GB2312" w:hint="eastAsia"/>
                <w:szCs w:val="21"/>
              </w:rPr>
              <w:lastRenderedPageBreak/>
              <w:t>满意度</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lastRenderedPageBreak/>
              <w:t>满意</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比较满意</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不太满意</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不满意</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科普公共服务平台建设数量</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≥5个</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4-3个</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2-1个</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0个</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科普公用服务平台体系服务人次</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≥50万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≥30万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≥20万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＜20万</w:t>
            </w:r>
          </w:p>
        </w:tc>
      </w:tr>
      <w:tr w:rsidR="00C132CB" w:rsidRPr="00E109D7" w:rsidTr="005A5F44">
        <w:trPr>
          <w:trHeight w:val="227"/>
          <w:jc w:val="center"/>
        </w:trPr>
        <w:tc>
          <w:tcPr>
            <w:tcW w:w="2341" w:type="dxa"/>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二、政务管理</w:t>
            </w:r>
          </w:p>
        </w:tc>
        <w:tc>
          <w:tcPr>
            <w:tcW w:w="1276" w:type="dxa"/>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负责系统综合业务管理和机关综合管理</w:t>
            </w:r>
          </w:p>
        </w:tc>
        <w:tc>
          <w:tcPr>
            <w:tcW w:w="2976"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1、为科技工作者服务的能力更强，把科协建成科技工作者之家；                                                                                       2、加强科协机关自身建设，提高机关服务能力，负责机关办公设备更新维修，办公用品采买等</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p>
        </w:tc>
      </w:tr>
      <w:tr w:rsidR="00C132CB" w:rsidRPr="00E109D7" w:rsidTr="005A5F44">
        <w:trPr>
          <w:trHeight w:val="227"/>
          <w:jc w:val="center"/>
        </w:trPr>
        <w:tc>
          <w:tcPr>
            <w:tcW w:w="2341" w:type="dxa"/>
            <w:vMerge w:val="restart"/>
            <w:shd w:val="clear" w:color="auto" w:fill="auto"/>
            <w:vAlign w:val="center"/>
          </w:tcPr>
          <w:p w:rsidR="00C132CB" w:rsidRPr="00C132CB" w:rsidRDefault="00C132CB" w:rsidP="005A5F44">
            <w:pPr>
              <w:spacing w:line="300" w:lineRule="exact"/>
              <w:jc w:val="left"/>
              <w:rPr>
                <w:rFonts w:ascii="仿宋_GB2312" w:eastAsia="仿宋_GB2312"/>
                <w:b/>
                <w:szCs w:val="21"/>
              </w:rPr>
            </w:pPr>
            <w:r w:rsidRPr="00C132CB">
              <w:rPr>
                <w:rFonts w:ascii="仿宋_GB2312" w:eastAsia="仿宋_GB2312" w:hint="eastAsia"/>
                <w:b/>
                <w:szCs w:val="21"/>
              </w:rPr>
              <w:t xml:space="preserve">　　1、综合业务管理</w:t>
            </w:r>
          </w:p>
        </w:tc>
        <w:tc>
          <w:tcPr>
            <w:tcW w:w="12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保障机关运行、科普项目管理、机关组织建设等各项工作</w:t>
            </w:r>
          </w:p>
        </w:tc>
        <w:tc>
          <w:tcPr>
            <w:tcW w:w="2976" w:type="dxa"/>
            <w:vMerge w:val="restart"/>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各类科普业务工作谋划到位、开展有序，助推科普事业发展能力提升。</w:t>
            </w: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各类综合业务工作完成率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≥95%</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≥90%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≥85%</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&lt;85%</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各项综合事务工作完成率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≥95%</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≥90%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≥85%</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&lt;85%</w:t>
            </w:r>
          </w:p>
        </w:tc>
      </w:tr>
      <w:tr w:rsidR="00C132CB" w:rsidRPr="00E109D7" w:rsidTr="005A5F44">
        <w:trPr>
          <w:trHeight w:val="227"/>
          <w:jc w:val="center"/>
        </w:trPr>
        <w:tc>
          <w:tcPr>
            <w:tcW w:w="2341" w:type="dxa"/>
            <w:vMerge/>
            <w:shd w:val="clear" w:color="auto" w:fill="auto"/>
            <w:vAlign w:val="center"/>
          </w:tcPr>
          <w:p w:rsidR="00C132CB" w:rsidRPr="00C132CB" w:rsidRDefault="00C132CB" w:rsidP="005A5F44">
            <w:pPr>
              <w:spacing w:line="300" w:lineRule="exact"/>
              <w:jc w:val="left"/>
              <w:rPr>
                <w:rFonts w:ascii="仿宋_GB2312" w:eastAsia="仿宋_GB2312"/>
                <w:b/>
                <w:szCs w:val="21"/>
              </w:rPr>
            </w:pPr>
          </w:p>
        </w:tc>
        <w:tc>
          <w:tcPr>
            <w:tcW w:w="12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2976" w:type="dxa"/>
            <w:vMerge/>
            <w:shd w:val="clear" w:color="auto" w:fill="auto"/>
            <w:vAlign w:val="center"/>
          </w:tcPr>
          <w:p w:rsidR="00C132CB" w:rsidRPr="00C132CB" w:rsidRDefault="00C132CB" w:rsidP="005A5F44">
            <w:pPr>
              <w:spacing w:line="300" w:lineRule="exact"/>
              <w:jc w:val="left"/>
              <w:rPr>
                <w:rFonts w:ascii="仿宋_GB2312" w:eastAsia="仿宋_GB2312"/>
                <w:szCs w:val="21"/>
              </w:rPr>
            </w:pPr>
          </w:p>
        </w:tc>
        <w:tc>
          <w:tcPr>
            <w:tcW w:w="1417" w:type="dxa"/>
            <w:shd w:val="clear" w:color="auto" w:fill="auto"/>
            <w:vAlign w:val="center"/>
          </w:tcPr>
          <w:p w:rsidR="00C132CB" w:rsidRPr="00C132CB" w:rsidRDefault="00C132CB" w:rsidP="005A5F44">
            <w:pPr>
              <w:spacing w:line="300" w:lineRule="exact"/>
              <w:jc w:val="left"/>
              <w:rPr>
                <w:rFonts w:ascii="仿宋_GB2312" w:eastAsia="仿宋_GB2312"/>
                <w:szCs w:val="21"/>
              </w:rPr>
            </w:pPr>
            <w:r w:rsidRPr="00C132CB">
              <w:rPr>
                <w:rFonts w:ascii="仿宋_GB2312" w:eastAsia="仿宋_GB2312" w:hint="eastAsia"/>
                <w:szCs w:val="21"/>
              </w:rPr>
              <w:t>各项改革任务顺利推进比率</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≥80%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≥70%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≥60%</w:t>
            </w:r>
          </w:p>
        </w:tc>
        <w:tc>
          <w:tcPr>
            <w:tcW w:w="737" w:type="dxa"/>
            <w:shd w:val="clear" w:color="auto" w:fill="auto"/>
            <w:vAlign w:val="center"/>
          </w:tcPr>
          <w:p w:rsidR="00C132CB" w:rsidRPr="00C132CB" w:rsidRDefault="00C132CB" w:rsidP="005A5F44">
            <w:pPr>
              <w:spacing w:line="300" w:lineRule="exact"/>
              <w:jc w:val="center"/>
              <w:rPr>
                <w:rFonts w:ascii="仿宋_GB2312" w:eastAsia="仿宋_GB2312"/>
                <w:szCs w:val="21"/>
              </w:rPr>
            </w:pPr>
            <w:r w:rsidRPr="00C132CB">
              <w:rPr>
                <w:rFonts w:ascii="仿宋_GB2312" w:eastAsia="仿宋_GB2312" w:hint="eastAsia"/>
                <w:szCs w:val="21"/>
              </w:rPr>
              <w:t>&lt;60%</w:t>
            </w:r>
          </w:p>
        </w:tc>
      </w:tr>
      <w:bookmarkEnd w:id="0"/>
    </w:tbl>
    <w:p w:rsidR="007E4C2B" w:rsidRDefault="007E4C2B">
      <w:pPr>
        <w:spacing w:line="584" w:lineRule="exact"/>
        <w:jc w:val="left"/>
        <w:outlineLvl w:val="0"/>
        <w:rPr>
          <w:rFonts w:ascii="Times New Roman" w:eastAsia="仿宋_GB2312" w:hAnsi="Times New Roman" w:cs="Times New Roman"/>
        </w:rPr>
        <w:sectPr w:rsidR="007E4C2B">
          <w:footerReference w:type="default" r:id="rId8"/>
          <w:footerReference w:type="first" r:id="rId9"/>
          <w:pgSz w:w="16839" w:h="11907" w:orient="landscape"/>
          <w:pgMar w:top="1020" w:right="1361" w:bottom="1020" w:left="1361" w:header="851" w:footer="992" w:gutter="0"/>
          <w:cols w:space="425"/>
          <w:titlePg/>
          <w:docGrid w:type="lines" w:linePitch="312"/>
        </w:sectPr>
      </w:pPr>
    </w:p>
    <w:p w:rsidR="007E4C2B" w:rsidRDefault="00AE121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7E4C2B" w:rsidRDefault="00AE121D">
      <w:pPr>
        <w:spacing w:line="584" w:lineRule="exact"/>
        <w:ind w:firstLineChars="200" w:firstLine="640"/>
        <w:outlineLvl w:val="0"/>
        <w:rPr>
          <w:rFonts w:ascii="Times New Roman" w:eastAsia="仿宋_GB2312" w:hAnsi="Times New Roman" w:cs="Times New Roman"/>
          <w:sz w:val="32"/>
          <w:szCs w:val="24"/>
        </w:rPr>
      </w:pPr>
      <w:bookmarkStart w:id="2" w:name="_Toc471398468"/>
      <w:r>
        <w:rPr>
          <w:rFonts w:ascii="Times New Roman" w:eastAsia="仿宋_GB2312" w:hAnsi="Times New Roman" w:cs="Times New Roman"/>
          <w:sz w:val="32"/>
          <w:szCs w:val="24"/>
        </w:rPr>
        <w:t>201</w:t>
      </w:r>
      <w:r>
        <w:rPr>
          <w:rFonts w:ascii="Times New Roman" w:eastAsia="仿宋_GB2312" w:hAnsi="Times New Roman" w:cs="Times New Roman" w:hint="eastAsia"/>
          <w:sz w:val="32"/>
          <w:szCs w:val="24"/>
        </w:rPr>
        <w:t>9</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7E4C2B" w:rsidRDefault="00AE121D">
      <w:pPr>
        <w:spacing w:line="584" w:lineRule="exact"/>
        <w:jc w:val="center"/>
        <w:outlineLvl w:val="0"/>
        <w:rPr>
          <w:rFonts w:ascii="Times New Roman" w:eastAsia="仿宋_GB2312" w:hAnsi="Times New Roman" w:cs="Times New Roman"/>
          <w:sz w:val="32"/>
        </w:rPr>
      </w:pPr>
      <w:bookmarkStart w:id="3" w:name="_Toc504489153"/>
      <w:bookmarkEnd w:id="2"/>
      <w:r>
        <w:rPr>
          <w:rFonts w:ascii="Times New Roman" w:eastAsia="仿宋_GB2312" w:hAnsi="Times New Roman" w:cs="Times New Roman"/>
          <w:sz w:val="32"/>
        </w:rPr>
        <w:t>部门政府采购预算</w:t>
      </w:r>
      <w:bookmarkEnd w:id="3"/>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6"/>
        <w:gridCol w:w="1057"/>
        <w:gridCol w:w="932"/>
        <w:gridCol w:w="1372"/>
        <w:gridCol w:w="720"/>
        <w:gridCol w:w="740"/>
        <w:gridCol w:w="950"/>
        <w:gridCol w:w="956"/>
        <w:gridCol w:w="956"/>
        <w:gridCol w:w="956"/>
        <w:gridCol w:w="790"/>
        <w:gridCol w:w="924"/>
        <w:gridCol w:w="929"/>
        <w:gridCol w:w="880"/>
      </w:tblGrid>
      <w:tr w:rsidR="007E4C2B">
        <w:trPr>
          <w:tblHeader/>
          <w:jc w:val="center"/>
        </w:trPr>
        <w:tc>
          <w:tcPr>
            <w:tcW w:w="8177" w:type="dxa"/>
            <w:gridSpan w:val="7"/>
            <w:tcBorders>
              <w:top w:val="single" w:sz="6" w:space="0" w:color="FFFFFF"/>
              <w:left w:val="single" w:sz="6" w:space="0" w:color="FFFFFF"/>
              <w:right w:val="single" w:sz="6" w:space="0" w:color="FFFFFF"/>
            </w:tcBorders>
            <w:shd w:val="clear" w:color="auto" w:fill="auto"/>
            <w:vAlign w:val="center"/>
          </w:tcPr>
          <w:p w:rsidR="007E4C2B" w:rsidRPr="0048684F" w:rsidRDefault="0048684F">
            <w:pPr>
              <w:spacing w:line="584" w:lineRule="exact"/>
              <w:jc w:val="left"/>
              <w:rPr>
                <w:rFonts w:ascii="仿宋_GB2312" w:eastAsia="仿宋_GB2312" w:hAnsi="Times New Roman" w:cs="Times New Roman"/>
                <w:sz w:val="24"/>
              </w:rPr>
            </w:pPr>
            <w:r>
              <w:rPr>
                <w:rFonts w:ascii="仿宋_GB2312" w:eastAsia="仿宋_GB2312" w:hAnsi="Times New Roman" w:cs="Times New Roman" w:hint="eastAsia"/>
                <w:sz w:val="24"/>
              </w:rPr>
              <w:t>495</w:t>
            </w:r>
            <w:r w:rsidR="00AE121D" w:rsidRPr="0048684F">
              <w:rPr>
                <w:rFonts w:ascii="仿宋_GB2312" w:eastAsia="仿宋_GB2312" w:hAnsi="Times New Roman" w:cs="Times New Roman" w:hint="eastAsia"/>
                <w:sz w:val="24"/>
              </w:rPr>
              <w:t>廊坊市广阳区科学技术协会</w:t>
            </w:r>
          </w:p>
        </w:tc>
        <w:tc>
          <w:tcPr>
            <w:tcW w:w="6391" w:type="dxa"/>
            <w:gridSpan w:val="7"/>
            <w:tcBorders>
              <w:top w:val="single" w:sz="6" w:space="0" w:color="FFFFFF"/>
              <w:left w:val="single" w:sz="6" w:space="0" w:color="FFFFFF"/>
              <w:right w:val="single" w:sz="6" w:space="0" w:color="FFFFFF"/>
            </w:tcBorders>
            <w:shd w:val="clear" w:color="auto" w:fill="auto"/>
            <w:vAlign w:val="center"/>
          </w:tcPr>
          <w:p w:rsidR="007E4C2B" w:rsidRDefault="00AE121D">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7E4C2B">
        <w:trPr>
          <w:tblHeader/>
          <w:jc w:val="center"/>
        </w:trPr>
        <w:tc>
          <w:tcPr>
            <w:tcW w:w="3463" w:type="dxa"/>
            <w:gridSpan w:val="2"/>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932"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1372"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720"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数量单位</w:t>
            </w:r>
          </w:p>
        </w:tc>
        <w:tc>
          <w:tcPr>
            <w:tcW w:w="740"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950"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6391" w:type="dxa"/>
            <w:gridSpan w:val="7"/>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p>
        </w:tc>
      </w:tr>
      <w:tr w:rsidR="007E4C2B">
        <w:trPr>
          <w:tblHeader/>
          <w:jc w:val="center"/>
        </w:trPr>
        <w:tc>
          <w:tcPr>
            <w:tcW w:w="2406"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项目名称</w:t>
            </w:r>
          </w:p>
        </w:tc>
        <w:tc>
          <w:tcPr>
            <w:tcW w:w="1057"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预算资金</w:t>
            </w:r>
          </w:p>
        </w:tc>
        <w:tc>
          <w:tcPr>
            <w:tcW w:w="932"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1372"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72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74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5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56"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总计</w:t>
            </w:r>
          </w:p>
        </w:tc>
        <w:tc>
          <w:tcPr>
            <w:tcW w:w="4555" w:type="dxa"/>
            <w:gridSpan w:val="5"/>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当年部门预算安排资金</w:t>
            </w:r>
          </w:p>
        </w:tc>
        <w:tc>
          <w:tcPr>
            <w:tcW w:w="880" w:type="dxa"/>
            <w:vMerge w:val="restart"/>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其他渠道资金</w:t>
            </w:r>
          </w:p>
        </w:tc>
      </w:tr>
      <w:tr w:rsidR="007E4C2B">
        <w:trPr>
          <w:tblHeader/>
          <w:jc w:val="center"/>
        </w:trPr>
        <w:tc>
          <w:tcPr>
            <w:tcW w:w="2406"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1057"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32"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1372"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72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74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5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56"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c>
          <w:tcPr>
            <w:tcW w:w="956"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956"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790"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924"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929"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其他来源收入</w:t>
            </w:r>
          </w:p>
        </w:tc>
        <w:tc>
          <w:tcPr>
            <w:tcW w:w="880" w:type="dxa"/>
            <w:vMerge/>
            <w:shd w:val="clear" w:color="auto" w:fill="auto"/>
            <w:vAlign w:val="center"/>
          </w:tcPr>
          <w:p w:rsidR="007E4C2B" w:rsidRDefault="007E4C2B">
            <w:pPr>
              <w:spacing w:line="584" w:lineRule="exact"/>
              <w:jc w:val="left"/>
              <w:outlineLvl w:val="0"/>
              <w:rPr>
                <w:rFonts w:ascii="Times New Roman" w:eastAsia="仿宋_GB2312" w:hAnsi="Times New Roman" w:cs="Times New Roman"/>
              </w:rPr>
            </w:pPr>
          </w:p>
        </w:tc>
      </w:tr>
      <w:tr w:rsidR="007E4C2B">
        <w:trPr>
          <w:jc w:val="center"/>
        </w:trPr>
        <w:tc>
          <w:tcPr>
            <w:tcW w:w="2406" w:type="dxa"/>
            <w:shd w:val="clear" w:color="auto" w:fill="auto"/>
            <w:vAlign w:val="center"/>
          </w:tcPr>
          <w:p w:rsidR="007E4C2B" w:rsidRDefault="00AE121D">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r>
      <w:tr w:rsidR="007E4C2B">
        <w:trPr>
          <w:jc w:val="center"/>
        </w:trPr>
        <w:tc>
          <w:tcPr>
            <w:tcW w:w="2406" w:type="dxa"/>
            <w:shd w:val="clear" w:color="auto" w:fill="auto"/>
            <w:vAlign w:val="center"/>
          </w:tcPr>
          <w:p w:rsidR="007E4C2B" w:rsidRDefault="007E4C2B">
            <w:pPr>
              <w:spacing w:line="584" w:lineRule="exact"/>
              <w:jc w:val="center"/>
              <w:rPr>
                <w:rFonts w:ascii="Times New Roman" w:eastAsia="仿宋_GB2312" w:hAnsi="Times New Roman" w:cs="Times New Roman"/>
                <w:b/>
              </w:rPr>
            </w:pP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b/>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b/>
              </w:rPr>
            </w:pPr>
          </w:p>
        </w:tc>
      </w:tr>
      <w:tr w:rsidR="007E4C2B">
        <w:trPr>
          <w:jc w:val="center"/>
        </w:trPr>
        <w:tc>
          <w:tcPr>
            <w:tcW w:w="2406"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r>
      <w:tr w:rsidR="007E4C2B">
        <w:trPr>
          <w:jc w:val="center"/>
        </w:trPr>
        <w:tc>
          <w:tcPr>
            <w:tcW w:w="2406"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r>
      <w:tr w:rsidR="007E4C2B">
        <w:trPr>
          <w:jc w:val="center"/>
        </w:trPr>
        <w:tc>
          <w:tcPr>
            <w:tcW w:w="2406"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r>
      <w:tr w:rsidR="007E4C2B">
        <w:trPr>
          <w:jc w:val="center"/>
        </w:trPr>
        <w:tc>
          <w:tcPr>
            <w:tcW w:w="2406"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057"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3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1372"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20" w:type="dxa"/>
            <w:shd w:val="clear" w:color="auto" w:fill="auto"/>
            <w:vAlign w:val="center"/>
          </w:tcPr>
          <w:p w:rsidR="007E4C2B" w:rsidRDefault="007E4C2B">
            <w:pPr>
              <w:spacing w:line="584" w:lineRule="exact"/>
              <w:jc w:val="left"/>
              <w:rPr>
                <w:rFonts w:ascii="Times New Roman" w:eastAsia="仿宋_GB2312" w:hAnsi="Times New Roman" w:cs="Times New Roman"/>
              </w:rPr>
            </w:pPr>
          </w:p>
        </w:tc>
        <w:tc>
          <w:tcPr>
            <w:tcW w:w="74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56"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79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4"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929"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c>
          <w:tcPr>
            <w:tcW w:w="880" w:type="dxa"/>
            <w:shd w:val="clear" w:color="auto" w:fill="auto"/>
            <w:vAlign w:val="center"/>
          </w:tcPr>
          <w:p w:rsidR="007E4C2B" w:rsidRDefault="007E4C2B">
            <w:pPr>
              <w:spacing w:line="584" w:lineRule="exact"/>
              <w:jc w:val="right"/>
              <w:rPr>
                <w:rFonts w:ascii="Times New Roman" w:eastAsia="仿宋_GB2312" w:hAnsi="Times New Roman" w:cs="Times New Roman"/>
              </w:rPr>
            </w:pPr>
          </w:p>
        </w:tc>
      </w:tr>
    </w:tbl>
    <w:p w:rsidR="007E4C2B" w:rsidRDefault="007E4C2B">
      <w:pPr>
        <w:spacing w:line="584" w:lineRule="exact"/>
        <w:jc w:val="left"/>
        <w:outlineLvl w:val="0"/>
        <w:rPr>
          <w:rFonts w:ascii="Times New Roman" w:eastAsia="仿宋_GB2312" w:hAnsi="Times New Roman" w:cs="Times New Roman"/>
        </w:rPr>
        <w:sectPr w:rsidR="007E4C2B">
          <w:pgSz w:w="16839" w:h="11907" w:orient="landscape"/>
          <w:pgMar w:top="1361" w:right="1020" w:bottom="1361" w:left="1020" w:header="851" w:footer="992" w:gutter="0"/>
          <w:cols w:space="425"/>
          <w:docGrid w:type="lines" w:linePitch="312"/>
        </w:sectPr>
      </w:pPr>
    </w:p>
    <w:p w:rsidR="007E4C2B" w:rsidRDefault="00AE121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7E4C2B" w:rsidRDefault="00AE121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广阳区科学技术协会</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23.37</w:t>
      </w:r>
      <w:r>
        <w:rPr>
          <w:rFonts w:ascii="Times New Roman" w:eastAsia="仿宋_GB2312" w:hAnsi="Times New Roman" w:cs="Times New Roman"/>
          <w:sz w:val="32"/>
          <w:szCs w:val="32"/>
        </w:rPr>
        <w:t>万元，本年度我部门</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w:t>
      </w:r>
    </w:p>
    <w:tbl>
      <w:tblPr>
        <w:tblW w:w="13482" w:type="dxa"/>
        <w:tblInd w:w="93" w:type="dxa"/>
        <w:tblLayout w:type="fixed"/>
        <w:tblLook w:val="04A0"/>
      </w:tblPr>
      <w:tblGrid>
        <w:gridCol w:w="5224"/>
        <w:gridCol w:w="3155"/>
        <w:gridCol w:w="5103"/>
      </w:tblGrid>
      <w:tr w:rsidR="007E4C2B">
        <w:trPr>
          <w:trHeight w:val="705"/>
        </w:trPr>
        <w:tc>
          <w:tcPr>
            <w:tcW w:w="13482" w:type="dxa"/>
            <w:gridSpan w:val="3"/>
            <w:tcBorders>
              <w:top w:val="nil"/>
              <w:left w:val="nil"/>
              <w:bottom w:val="nil"/>
              <w:right w:val="nil"/>
            </w:tcBorders>
            <w:shd w:val="clear" w:color="auto" w:fill="auto"/>
            <w:noWrap/>
            <w:vAlign w:val="center"/>
          </w:tcPr>
          <w:p w:rsidR="007E4C2B" w:rsidRDefault="00AE121D">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w:t>
            </w:r>
            <w:r w:rsidR="0048684F">
              <w:rPr>
                <w:rFonts w:ascii="Times New Roman" w:eastAsia="仿宋_GB2312" w:hAnsi="Times New Roman" w:cs="Times New Roman"/>
                <w:b/>
                <w:bCs/>
                <w:kern w:val="0"/>
                <w:sz w:val="32"/>
                <w:szCs w:val="32"/>
              </w:rPr>
              <w:t>区</w:t>
            </w:r>
            <w:r>
              <w:rPr>
                <w:rFonts w:ascii="Times New Roman" w:eastAsia="仿宋_GB2312" w:hAnsi="Times New Roman" w:cs="Times New Roman"/>
                <w:b/>
                <w:bCs/>
                <w:kern w:val="0"/>
                <w:sz w:val="32"/>
                <w:szCs w:val="32"/>
              </w:rPr>
              <w:t>直部门固定资产占用情况表</w:t>
            </w:r>
          </w:p>
        </w:tc>
      </w:tr>
      <w:tr w:rsidR="007E4C2B">
        <w:trPr>
          <w:trHeight w:val="510"/>
        </w:trPr>
        <w:tc>
          <w:tcPr>
            <w:tcW w:w="8379" w:type="dxa"/>
            <w:gridSpan w:val="2"/>
            <w:tcBorders>
              <w:top w:val="nil"/>
              <w:left w:val="nil"/>
              <w:bottom w:val="nil"/>
              <w:right w:val="nil"/>
            </w:tcBorders>
            <w:shd w:val="clear" w:color="auto" w:fill="auto"/>
            <w:noWrap/>
            <w:vAlign w:val="center"/>
          </w:tcPr>
          <w:p w:rsidR="007E4C2B" w:rsidRDefault="00AE121D">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sidR="00C132CB">
              <w:rPr>
                <w:rFonts w:ascii="Times New Roman" w:eastAsia="仿宋_GB2312" w:hAnsi="Times New Roman" w:cs="Times New Roman" w:hint="eastAsia"/>
                <w:kern w:val="0"/>
                <w:sz w:val="22"/>
              </w:rPr>
              <w:t>495</w:t>
            </w:r>
            <w:r>
              <w:rPr>
                <w:rFonts w:ascii="Times New Roman" w:eastAsia="仿宋_GB2312" w:hAnsi="Times New Roman" w:cs="Times New Roman"/>
                <w:kern w:val="0"/>
                <w:sz w:val="22"/>
              </w:rPr>
              <w:t>廊坊市</w:t>
            </w:r>
            <w:r>
              <w:rPr>
                <w:rFonts w:ascii="Times New Roman" w:eastAsia="仿宋_GB2312" w:hAnsi="Times New Roman" w:cs="Times New Roman" w:hint="eastAsia"/>
                <w:kern w:val="0"/>
                <w:sz w:val="22"/>
              </w:rPr>
              <w:t>广阳区科学技术协会</w:t>
            </w:r>
          </w:p>
        </w:tc>
        <w:tc>
          <w:tcPr>
            <w:tcW w:w="5103" w:type="dxa"/>
            <w:tcBorders>
              <w:top w:val="nil"/>
              <w:left w:val="nil"/>
              <w:bottom w:val="nil"/>
              <w:right w:val="nil"/>
            </w:tcBorders>
            <w:shd w:val="clear" w:color="auto" w:fill="auto"/>
            <w:noWrap/>
            <w:vAlign w:val="center"/>
          </w:tcPr>
          <w:p w:rsidR="007E4C2B" w:rsidRDefault="00AE121D">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8</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7E4C2B">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C2B" w:rsidRDefault="00AE121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7E4C2B" w:rsidRDefault="00AE121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E4C2B" w:rsidRDefault="00AE121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4C2B" w:rsidRPr="0048684F" w:rsidRDefault="00AE121D">
            <w:pPr>
              <w:widowControl/>
              <w:spacing w:line="584" w:lineRule="exact"/>
              <w:jc w:val="center"/>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23.37</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4C2B" w:rsidRPr="0048684F" w:rsidRDefault="00AE121D">
            <w:pPr>
              <w:widowControl/>
              <w:spacing w:line="584" w:lineRule="exact"/>
              <w:jc w:val="left"/>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62</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23.37</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4C2B" w:rsidRPr="0048684F" w:rsidRDefault="00AE121D">
            <w:pPr>
              <w:widowControl/>
              <w:spacing w:line="584" w:lineRule="exact"/>
              <w:jc w:val="left"/>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0</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4C2B" w:rsidRPr="0048684F" w:rsidRDefault="00AE121D">
            <w:pPr>
              <w:widowControl/>
              <w:spacing w:line="584" w:lineRule="exact"/>
              <w:jc w:val="left"/>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8.6</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C2B" w:rsidRPr="0048684F" w:rsidRDefault="00AE121D">
            <w:pPr>
              <w:widowControl/>
              <w:spacing w:line="584" w:lineRule="exact"/>
              <w:jc w:val="left"/>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0</w:t>
            </w:r>
          </w:p>
        </w:tc>
      </w:tr>
      <w:tr w:rsidR="007E4C2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4C2B" w:rsidRPr="0048684F" w:rsidRDefault="00AE121D">
            <w:pPr>
              <w:widowControl/>
              <w:spacing w:line="584" w:lineRule="exact"/>
              <w:jc w:val="left"/>
              <w:rPr>
                <w:rFonts w:ascii="仿宋_GB2312" w:eastAsia="仿宋_GB2312" w:hAnsi="Times New Roman" w:cs="Times New Roman"/>
                <w:kern w:val="0"/>
                <w:sz w:val="22"/>
              </w:rPr>
            </w:pPr>
            <w:r w:rsidRPr="0048684F">
              <w:rPr>
                <w:rFonts w:ascii="仿宋_GB2312" w:eastAsia="仿宋_GB2312" w:hAnsi="Times New Roman" w:cs="Times New Roman"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61</w:t>
            </w:r>
          </w:p>
        </w:tc>
        <w:tc>
          <w:tcPr>
            <w:tcW w:w="5103" w:type="dxa"/>
            <w:tcBorders>
              <w:top w:val="nil"/>
              <w:left w:val="nil"/>
              <w:bottom w:val="single" w:sz="4" w:space="0" w:color="auto"/>
              <w:right w:val="single" w:sz="4" w:space="0" w:color="auto"/>
            </w:tcBorders>
            <w:shd w:val="clear" w:color="auto" w:fill="auto"/>
            <w:noWrap/>
            <w:vAlign w:val="center"/>
          </w:tcPr>
          <w:p w:rsidR="007E4C2B" w:rsidRPr="0048684F" w:rsidRDefault="00AE121D">
            <w:pPr>
              <w:spacing w:line="584" w:lineRule="exact"/>
              <w:jc w:val="center"/>
              <w:rPr>
                <w:rFonts w:ascii="仿宋_GB2312" w:eastAsia="仿宋_GB2312" w:hAnsi="Times New Roman" w:cs="Times New Roman"/>
                <w:sz w:val="22"/>
              </w:rPr>
            </w:pPr>
            <w:r w:rsidRPr="0048684F">
              <w:rPr>
                <w:rFonts w:ascii="仿宋_GB2312" w:eastAsia="仿宋_GB2312" w:hAnsi="Times New Roman" w:cs="Times New Roman" w:hint="eastAsia"/>
                <w:sz w:val="22"/>
              </w:rPr>
              <w:t>14.77</w:t>
            </w:r>
          </w:p>
        </w:tc>
      </w:tr>
    </w:tbl>
    <w:p w:rsidR="007E4C2B" w:rsidRDefault="007E4C2B">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p>
    <w:p w:rsidR="0048684F" w:rsidRDefault="0048684F">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7E4C2B" w:rsidRDefault="00AE121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八、名词解释</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7E4C2B" w:rsidRDefault="00AE121D">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7E4C2B" w:rsidRDefault="00AE121D">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7E4C2B" w:rsidRDefault="00AE121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7E4C2B" w:rsidRPr="0048684F" w:rsidRDefault="00AE121D" w:rsidP="0048684F">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bookmarkStart w:id="4" w:name="_GoBack"/>
      <w:bookmarkEnd w:id="4"/>
    </w:p>
    <w:sectPr w:rsidR="007E4C2B" w:rsidRPr="0048684F" w:rsidSect="007E4C2B">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17" w:rsidRDefault="00CE6817" w:rsidP="007E4C2B">
      <w:r>
        <w:separator/>
      </w:r>
    </w:p>
  </w:endnote>
  <w:endnote w:type="continuationSeparator" w:id="1">
    <w:p w:rsidR="00CE6817" w:rsidRDefault="00CE6817" w:rsidP="007E4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7E4C2B" w:rsidRDefault="00AE121D">
        <w:pPr>
          <w:pStyle w:val="a4"/>
          <w:jc w:val="center"/>
        </w:pPr>
        <w:r>
          <w:rPr>
            <w:rFonts w:hint="eastAsia"/>
          </w:rPr>
          <w:t>-</w:t>
        </w:r>
        <w:r w:rsidR="00331B12" w:rsidRPr="00331B12">
          <w:fldChar w:fldCharType="begin"/>
        </w:r>
        <w:r>
          <w:instrText>PAGE   \* MERGEFORMAT</w:instrText>
        </w:r>
        <w:r w:rsidR="00331B12" w:rsidRPr="00331B12">
          <w:fldChar w:fldCharType="separate"/>
        </w:r>
        <w:r w:rsidR="007D51DD" w:rsidRPr="007D51DD">
          <w:rPr>
            <w:noProof/>
            <w:lang w:val="zh-CN"/>
          </w:rPr>
          <w:t>2</w:t>
        </w:r>
        <w:r w:rsidR="00331B12">
          <w:rPr>
            <w:lang w:val="zh-CN"/>
          </w:rPr>
          <w:fldChar w:fldCharType="end"/>
        </w:r>
        <w:r>
          <w:rPr>
            <w:rFonts w:hint="eastAsia"/>
          </w:rPr>
          <w:t>-</w:t>
        </w:r>
      </w:p>
    </w:sdtContent>
  </w:sdt>
  <w:p w:rsidR="007E4C2B" w:rsidRDefault="007E4C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299695"/>
    </w:sdtPr>
    <w:sdtContent>
      <w:p w:rsidR="007E4C2B" w:rsidRDefault="00331B12">
        <w:pPr>
          <w:pStyle w:val="a4"/>
          <w:jc w:val="center"/>
        </w:pPr>
        <w:r>
          <w:fldChar w:fldCharType="begin"/>
        </w:r>
        <w:r w:rsidR="00AE121D">
          <w:instrText>PAGE   \* MERGEFORMAT</w:instrText>
        </w:r>
        <w:r>
          <w:fldChar w:fldCharType="separate"/>
        </w:r>
        <w:r w:rsidR="007D51DD" w:rsidRPr="007D51DD">
          <w:rPr>
            <w:noProof/>
            <w:lang w:val="zh-CN"/>
          </w:rPr>
          <w:t>1</w:t>
        </w:r>
        <w:r>
          <w:fldChar w:fldCharType="end"/>
        </w:r>
      </w:p>
    </w:sdtContent>
  </w:sdt>
  <w:p w:rsidR="007E4C2B" w:rsidRDefault="007E4C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17" w:rsidRDefault="00CE6817" w:rsidP="007E4C2B">
      <w:r>
        <w:separator/>
      </w:r>
    </w:p>
  </w:footnote>
  <w:footnote w:type="continuationSeparator" w:id="1">
    <w:p w:rsidR="00CE6817" w:rsidRDefault="00CE6817" w:rsidP="007E4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6032"/>
    <w:rsid w:val="000053CC"/>
    <w:rsid w:val="00037AF6"/>
    <w:rsid w:val="000410F2"/>
    <w:rsid w:val="0004565F"/>
    <w:rsid w:val="00057177"/>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1B12"/>
    <w:rsid w:val="0033339C"/>
    <w:rsid w:val="00335660"/>
    <w:rsid w:val="003B6D37"/>
    <w:rsid w:val="00414BD3"/>
    <w:rsid w:val="00424943"/>
    <w:rsid w:val="0042727E"/>
    <w:rsid w:val="0043175C"/>
    <w:rsid w:val="00437296"/>
    <w:rsid w:val="00451590"/>
    <w:rsid w:val="00451871"/>
    <w:rsid w:val="004706DE"/>
    <w:rsid w:val="00472923"/>
    <w:rsid w:val="0048684F"/>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D51DD"/>
    <w:rsid w:val="007E1DA8"/>
    <w:rsid w:val="007E4B05"/>
    <w:rsid w:val="007E4C2B"/>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E121D"/>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BE4A20"/>
    <w:rsid w:val="00C005B2"/>
    <w:rsid w:val="00C132CB"/>
    <w:rsid w:val="00C1565C"/>
    <w:rsid w:val="00C21E0F"/>
    <w:rsid w:val="00C362CA"/>
    <w:rsid w:val="00C37A99"/>
    <w:rsid w:val="00C772C1"/>
    <w:rsid w:val="00C93D22"/>
    <w:rsid w:val="00CA7176"/>
    <w:rsid w:val="00CB51D7"/>
    <w:rsid w:val="00CC75B0"/>
    <w:rsid w:val="00CD2773"/>
    <w:rsid w:val="00CE01BA"/>
    <w:rsid w:val="00CE143B"/>
    <w:rsid w:val="00CE3A91"/>
    <w:rsid w:val="00CE6817"/>
    <w:rsid w:val="00D07DBA"/>
    <w:rsid w:val="00D23C16"/>
    <w:rsid w:val="00D27003"/>
    <w:rsid w:val="00D324AD"/>
    <w:rsid w:val="00D9307A"/>
    <w:rsid w:val="00DB4322"/>
    <w:rsid w:val="00DD1D0C"/>
    <w:rsid w:val="00DE186D"/>
    <w:rsid w:val="00E167C7"/>
    <w:rsid w:val="00E440CF"/>
    <w:rsid w:val="00E55B78"/>
    <w:rsid w:val="00E76361"/>
    <w:rsid w:val="00E84020"/>
    <w:rsid w:val="00E9365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03BF57A9"/>
    <w:rsid w:val="16457AEF"/>
    <w:rsid w:val="1A4D45B7"/>
    <w:rsid w:val="1AD30F20"/>
    <w:rsid w:val="230537CF"/>
    <w:rsid w:val="241F6688"/>
    <w:rsid w:val="24803CFC"/>
    <w:rsid w:val="2A323F50"/>
    <w:rsid w:val="33B068FD"/>
    <w:rsid w:val="3FCB13C8"/>
    <w:rsid w:val="493616EB"/>
    <w:rsid w:val="57803494"/>
    <w:rsid w:val="582878B6"/>
    <w:rsid w:val="59750D2D"/>
    <w:rsid w:val="61241D8F"/>
    <w:rsid w:val="6720046D"/>
    <w:rsid w:val="72257941"/>
    <w:rsid w:val="734D4CD2"/>
    <w:rsid w:val="7CBA3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C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4C2B"/>
    <w:rPr>
      <w:sz w:val="18"/>
      <w:szCs w:val="18"/>
    </w:rPr>
  </w:style>
  <w:style w:type="paragraph" w:styleId="a4">
    <w:name w:val="footer"/>
    <w:basedOn w:val="a"/>
    <w:link w:val="Char0"/>
    <w:uiPriority w:val="99"/>
    <w:qFormat/>
    <w:rsid w:val="007E4C2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7E4C2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sid w:val="007E4C2B"/>
    <w:rPr>
      <w:rFonts w:ascii="Times New Roman" w:eastAsia="宋体" w:hAnsi="Times New Roman" w:cs="Times New Roman"/>
      <w:szCs w:val="24"/>
    </w:rPr>
  </w:style>
  <w:style w:type="paragraph" w:styleId="a6">
    <w:name w:val="footnote text"/>
    <w:basedOn w:val="a"/>
    <w:link w:val="Char2"/>
    <w:uiPriority w:val="99"/>
    <w:semiHidden/>
    <w:unhideWhenUsed/>
    <w:rsid w:val="007E4C2B"/>
    <w:pPr>
      <w:snapToGrid w:val="0"/>
      <w:jc w:val="left"/>
    </w:pPr>
    <w:rPr>
      <w:rFonts w:ascii="Calibri" w:eastAsia="宋体" w:hAnsi="Calibri" w:cs="Times New Roman"/>
      <w:sz w:val="18"/>
      <w:szCs w:val="18"/>
    </w:rPr>
  </w:style>
  <w:style w:type="paragraph" w:styleId="2">
    <w:name w:val="toc 2"/>
    <w:basedOn w:val="a"/>
    <w:next w:val="a"/>
    <w:uiPriority w:val="39"/>
    <w:rsid w:val="007E4C2B"/>
    <w:pPr>
      <w:ind w:leftChars="200" w:left="420"/>
    </w:pPr>
    <w:rPr>
      <w:rFonts w:ascii="Times New Roman" w:eastAsia="宋体" w:hAnsi="Times New Roman" w:cs="Times New Roman"/>
      <w:szCs w:val="24"/>
    </w:rPr>
  </w:style>
  <w:style w:type="character" w:styleId="a7">
    <w:name w:val="footnote reference"/>
    <w:uiPriority w:val="99"/>
    <w:semiHidden/>
    <w:unhideWhenUsed/>
    <w:rsid w:val="007E4C2B"/>
    <w:rPr>
      <w:vertAlign w:val="superscript"/>
    </w:rPr>
  </w:style>
  <w:style w:type="character" w:customStyle="1" w:styleId="Char1">
    <w:name w:val="页眉 Char"/>
    <w:basedOn w:val="a0"/>
    <w:link w:val="a5"/>
    <w:uiPriority w:val="99"/>
    <w:rsid w:val="007E4C2B"/>
    <w:rPr>
      <w:rFonts w:ascii="Times New Roman" w:eastAsia="宋体" w:hAnsi="Times New Roman" w:cs="Times New Roman"/>
      <w:sz w:val="18"/>
      <w:szCs w:val="18"/>
    </w:rPr>
  </w:style>
  <w:style w:type="character" w:customStyle="1" w:styleId="Char0">
    <w:name w:val="页脚 Char"/>
    <w:basedOn w:val="a0"/>
    <w:link w:val="a4"/>
    <w:uiPriority w:val="99"/>
    <w:rsid w:val="007E4C2B"/>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E4C2B"/>
    <w:rPr>
      <w:sz w:val="18"/>
      <w:szCs w:val="18"/>
    </w:rPr>
  </w:style>
  <w:style w:type="paragraph" w:customStyle="1" w:styleId="Default">
    <w:name w:val="Default"/>
    <w:rsid w:val="007E4C2B"/>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sid w:val="007E4C2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92D51BB-CDEA-47ED-AE9F-E2C4E14927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13</cp:revision>
  <cp:lastPrinted>2019-02-18T02:45:00Z</cp:lastPrinted>
  <dcterms:created xsi:type="dcterms:W3CDTF">2019-02-13T02:12:00Z</dcterms:created>
  <dcterms:modified xsi:type="dcterms:W3CDTF">2019-02-15T05:53:00Z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