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廊坊市广阳区教育局2019年部门预算信息公开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5" w:name="_GoBack"/>
      <w:bookmarkEnd w:id="5"/>
      <w:r>
        <w:rPr>
          <w:rFonts w:hint="eastAsia" w:ascii="Times New Roman" w:hAnsi="Times New Roman" w:eastAsia="仿宋_GB2312"/>
          <w:sz w:val="32"/>
          <w:szCs w:val="32"/>
        </w:rPr>
        <w:t>预算法》、《地方预决算公开操作规程》和《河北省省级预算公开办法》规定，现将廊坊市广阳区教育局</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（一）贯彻执行党和国家的教育方针、政策和法规，研究草拟地方性教育有关规定，并组织实施。</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二）研究、提出教育事业的发展规划、年度计划、教育体制改革及教育发展方向、重点、结构、速度的思路和策略，并协调指导实施。负责普通及成人高等中等专业学校招生考试、自学考试和高中毕业会考、初中考试和高中阶段学校招生等管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三）综合管理基础教育、中等专业教育、职业与成人教育和幼儿教育工作；指导办学体制和学校内部体制改革；指导各类学校学生学籍管理等工作；负责指导各类学校思想政治工作、德育工作；体育卫生与艺术教育工作；国防教育工作；教育教学发展和研究及教育信息化工程实施工作；指导语言文字规范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（四）会同有关部门做学校布局和设置、教育经费筹措、教育拨款、教育投资及学校收费；代管区教育基金会日常工作。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（五）督查本区各地对教育法律、法规、方针、政策以及教育拨款，教育经费的执行使用情况；督查各有关单位履行教育职责和巩固提高“两基”工作；督导、评估办学水平和教育质量。</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六）规划并指导各类学校教师队伍建设工作；配合有关部门做好教师的培养培训、招聘、调配、晋升提拔作用工作；指导实施各级各类教师资格制度；负责教师初级职称评审和初中、小学、幼儿园教师资格认定送审上报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（七）协调有关部门做学校的统战、治安、保卫和社团管理工作。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（八）承办区政府和上级部门交办的其他事项。</w:t>
      </w: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廊坊市广阳区教育局</w:t>
            </w:r>
          </w:p>
        </w:tc>
        <w:tc>
          <w:tcPr>
            <w:tcW w:w="1134"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行政单位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广阳区第一幼儿园</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广阳区第二幼儿园</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广阳区第三幼儿园</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广阳区第四幼儿园</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广阳区第五幼儿园</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廊坊市第二小学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廊坊市逸夫小学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廊坊市第四小学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廊坊市第六小学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廊坊市第八小学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廊坊市第九小学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廊坊市第十一小学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廊坊市第十二小学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廊坊市第十三小学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廊坊市第十五小学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廊坊市第十八小学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廊坊市第二十三小学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廊坊市第二十五小学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廊坊市第三中学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廊坊市第六中学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廊坊市第九中学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廊坊市第十一中学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廊坊市第四职业中学</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jc w:val="center"/>
              <w:rPr>
                <w:rFonts w:ascii="仿宋_GB2312" w:eastAsia="仿宋_GB2312" w:cs="宋体"/>
                <w:szCs w:val="21"/>
              </w:rPr>
            </w:pPr>
            <w:r>
              <w:rPr>
                <w:rFonts w:hint="eastAsia" w:ascii="仿宋_GB2312" w:eastAsia="仿宋_GB2312"/>
                <w:color w:val="000000"/>
                <w:szCs w:val="21"/>
              </w:rPr>
              <w:t>广阳区教师进修学校</w:t>
            </w:r>
          </w:p>
        </w:tc>
        <w:tc>
          <w:tcPr>
            <w:tcW w:w="1134" w:type="dxa"/>
            <w:vAlign w:val="center"/>
          </w:tcPr>
          <w:p>
            <w:pPr>
              <w:jc w:val="center"/>
              <w:rPr>
                <w:rFonts w:ascii="仿宋_GB2312" w:eastAsia="仿宋_GB2312"/>
                <w:szCs w:val="21"/>
              </w:rPr>
            </w:pPr>
            <w:r>
              <w:rPr>
                <w:rFonts w:hint="eastAsia" w:ascii="仿宋_GB2312" w:eastAsia="仿宋_GB2312" w:cs="宋体"/>
                <w:kern w:val="0"/>
                <w:szCs w:val="21"/>
              </w:rPr>
              <w:t>事业单位</w:t>
            </w:r>
          </w:p>
        </w:tc>
        <w:tc>
          <w:tcPr>
            <w:tcW w:w="1276"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科级以下</w:t>
            </w:r>
          </w:p>
        </w:tc>
        <w:tc>
          <w:tcPr>
            <w:tcW w:w="2902" w:type="dxa"/>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按照预算管理有关规定，目前我区部门预算的编制实行综合预算制度，即全部收入和支出都反映在预算中。廊坊市广阳区教育局机关及所属事业单位的收支包含在部门预算中。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34858.19</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34858.19</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收支预算总表支出栏、基本支出表、项目支出表按经济分类和支出功能分类科目编制，反映廊坊市广阳区教育局年度部门预算中支出预算的总体情况。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34858.19</w:t>
      </w:r>
      <w:r>
        <w:rPr>
          <w:rFonts w:hint="eastAsia" w:ascii="Times New Roman" w:hAnsi="Times New Roman" w:eastAsia="仿宋_GB2312"/>
          <w:sz w:val="32"/>
          <w:szCs w:val="32"/>
        </w:rPr>
        <w:t>万元，其中基本支出</w:t>
      </w:r>
      <w:r>
        <w:rPr>
          <w:rFonts w:ascii="Times New Roman" w:hAnsi="Times New Roman" w:eastAsia="仿宋_GB2312"/>
          <w:sz w:val="32"/>
          <w:szCs w:val="32"/>
        </w:rPr>
        <w:t>28612.12</w:t>
      </w:r>
      <w:r>
        <w:rPr>
          <w:rFonts w:hint="eastAsia" w:ascii="Times New Roman" w:hAnsi="Times New Roman" w:eastAsia="仿宋_GB2312"/>
          <w:sz w:val="32"/>
          <w:szCs w:val="32"/>
        </w:rPr>
        <w:t>万元，包括人员经费</w:t>
      </w:r>
      <w:r>
        <w:rPr>
          <w:rFonts w:ascii="Times New Roman" w:hAnsi="Times New Roman" w:eastAsia="仿宋_GB2312"/>
          <w:sz w:val="32"/>
          <w:szCs w:val="32"/>
        </w:rPr>
        <w:t>27175.45</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1436.67</w:t>
      </w:r>
      <w:r>
        <w:rPr>
          <w:rFonts w:hint="eastAsia" w:ascii="Times New Roman" w:hAnsi="Times New Roman" w:eastAsia="仿宋_GB2312"/>
          <w:sz w:val="32"/>
          <w:szCs w:val="32"/>
        </w:rPr>
        <w:t>万元；项目支出</w:t>
      </w:r>
      <w:r>
        <w:rPr>
          <w:rFonts w:ascii="Times New Roman" w:hAnsi="Times New Roman" w:eastAsia="仿宋_GB2312"/>
          <w:sz w:val="32"/>
          <w:szCs w:val="32"/>
        </w:rPr>
        <w:t>6246.07</w:t>
      </w:r>
      <w:r>
        <w:rPr>
          <w:rFonts w:hint="eastAsia" w:ascii="Times New Roman" w:hAnsi="Times New Roman" w:eastAsia="仿宋_GB2312"/>
          <w:sz w:val="32"/>
          <w:szCs w:val="32"/>
        </w:rPr>
        <w:t>万元，包括本级支出</w:t>
      </w:r>
      <w:r>
        <w:rPr>
          <w:rFonts w:ascii="Times New Roman" w:hAnsi="Times New Roman" w:eastAsia="仿宋_GB2312"/>
          <w:sz w:val="32"/>
          <w:szCs w:val="32"/>
        </w:rPr>
        <w:t>6246.07</w:t>
      </w:r>
      <w:r>
        <w:rPr>
          <w:rFonts w:hint="eastAsia" w:ascii="Times New Roman" w:hAnsi="Times New Roman" w:eastAsia="仿宋_GB2312"/>
          <w:sz w:val="32"/>
          <w:szCs w:val="32"/>
        </w:rPr>
        <w:t>万元，</w:t>
      </w:r>
      <w:r>
        <w:rPr>
          <w:rFonts w:hint="eastAsia" w:ascii="仿宋_GB2312" w:eastAsia="仿宋_GB2312" w:cs="宋体"/>
          <w:color w:val="000000"/>
          <w:kern w:val="0"/>
          <w:sz w:val="32"/>
          <w:szCs w:val="32"/>
        </w:rPr>
        <w:t>主要为对下属学校的专项资金安排拨付。</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34858.19</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7</w:t>
      </w:r>
      <w:r>
        <w:rPr>
          <w:rFonts w:hint="eastAsia" w:ascii="Times New Roman" w:hAnsi="Times New Roman" w:eastAsia="仿宋_GB2312"/>
          <w:sz w:val="32"/>
          <w:szCs w:val="32"/>
        </w:rPr>
        <w:t>308</w:t>
      </w:r>
      <w:r>
        <w:rPr>
          <w:rFonts w:ascii="Times New Roman" w:hAnsi="Times New Roman" w:eastAsia="仿宋_GB2312"/>
          <w:sz w:val="32"/>
          <w:szCs w:val="32"/>
        </w:rPr>
        <w:t>.86</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2745.25</w:t>
      </w:r>
      <w:r>
        <w:rPr>
          <w:rFonts w:hint="eastAsia" w:ascii="Times New Roman" w:hAnsi="Times New Roman" w:eastAsia="仿宋_GB2312"/>
          <w:sz w:val="32"/>
          <w:szCs w:val="32"/>
        </w:rPr>
        <w:t>万元，主要为人员经费支出；项目支出增加</w:t>
      </w:r>
      <w:r>
        <w:rPr>
          <w:rFonts w:ascii="Times New Roman" w:hAnsi="Times New Roman" w:eastAsia="仿宋_GB2312"/>
          <w:sz w:val="32"/>
          <w:szCs w:val="32"/>
        </w:rPr>
        <w:t>4563.61</w:t>
      </w:r>
      <w:r>
        <w:rPr>
          <w:rFonts w:hint="eastAsia" w:ascii="Times New Roman" w:hAnsi="Times New Roman" w:eastAsia="仿宋_GB2312"/>
          <w:sz w:val="32"/>
          <w:szCs w:val="32"/>
        </w:rPr>
        <w:t>万元，主要为公办幼儿园落实生均公用经费及招聘合同制教师工资项目支出。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年，我部门机关运行经费共计安排302.56万元，主要用于办公区的日常维修、办公用房水电费、办公用房取暖费、办公用房物业管理费等日常运行支出。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2.19</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2.19</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2.19</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年相比减少0.11万元，其中，公务用车购置及运维费减少</w:t>
      </w:r>
      <w:r>
        <w:rPr>
          <w:rFonts w:ascii="Times New Roman" w:hAnsi="Times New Roman" w:eastAsia="仿宋_GB2312"/>
          <w:sz w:val="32"/>
          <w:szCs w:val="32"/>
        </w:rPr>
        <w:t>0.11</w:t>
      </w:r>
      <w:r>
        <w:rPr>
          <w:rFonts w:hint="eastAsia" w:ascii="Times New Roman" w:hAnsi="Times New Roman" w:eastAsia="仿宋_GB2312"/>
          <w:sz w:val="32"/>
          <w:szCs w:val="32"/>
        </w:rPr>
        <w:t>万元（其中：公务用车购置费减少</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0.11</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，主要原因是我单位切实落实勤俭节约各项规定，压减公车运行经费支出；公务接待费增减</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ascii="Times New Roman" w:hAnsi="Times New Roman" w:eastAsia="仿宋_GB2312"/>
          <w:sz w:val="32"/>
          <w:szCs w:val="32"/>
        </w:rPr>
        <w:t>与201</w:t>
      </w:r>
      <w:r>
        <w:rPr>
          <w:rFonts w:hint="eastAsia" w:ascii="Times New Roman" w:hAnsi="Times New Roman" w:eastAsia="仿宋_GB2312"/>
          <w:sz w:val="32"/>
          <w:szCs w:val="32"/>
        </w:rPr>
        <w:t>8</w:t>
      </w:r>
      <w:r>
        <w:rPr>
          <w:rFonts w:ascii="Times New Roman" w:hAnsi="Times New Roman" w:eastAsia="仿宋_GB2312"/>
          <w:sz w:val="32"/>
          <w:szCs w:val="32"/>
        </w:rPr>
        <w:t xml:space="preserve">年相比持平，无增减变化。 </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p>
      <w:pPr>
        <w:spacing w:line="500" w:lineRule="exact"/>
        <w:ind w:firstLine="560"/>
        <w:rPr>
          <w:rFonts w:ascii="仿宋_GB2312" w:eastAsia="仿宋_GB2312"/>
          <w:sz w:val="32"/>
          <w:szCs w:val="32"/>
        </w:rPr>
      </w:pPr>
      <w:r>
        <w:rPr>
          <w:sz w:val="28"/>
        </w:rPr>
        <w:t> </w:t>
      </w:r>
      <w:r>
        <w:rPr>
          <w:rFonts w:ascii="方正仿宋_GBK" w:eastAsia="方正仿宋_GBK"/>
          <w:sz w:val="28"/>
        </w:rPr>
        <w:t> </w:t>
      </w:r>
      <w:r>
        <w:rPr>
          <w:rFonts w:hint="eastAsia" w:ascii="仿宋_GB2312" w:eastAsia="仿宋_GB2312"/>
          <w:sz w:val="32"/>
          <w:szCs w:val="32"/>
        </w:rPr>
        <w:t>2019</w:t>
      </w:r>
      <w:r>
        <w:rPr>
          <w:rFonts w:hint="eastAsia" w:ascii="仿宋_GB2312" w:hAnsi="宋体" w:eastAsia="仿宋_GB2312"/>
          <w:sz w:val="32"/>
          <w:szCs w:val="32"/>
        </w:rPr>
        <w:t>年，我们将继续完善教育基础设施，推荐学校建设，加快提升装备水平；打算一流教师队伍，补充师资力量，提高专业素质，完善考核机制；优化教育教学管理；促进各类教育协调发展；营造和谐稳定的发展环境；开创党建工作新局面。</w:t>
      </w:r>
    </w:p>
    <w:p>
      <w:pPr>
        <w:spacing w:line="500" w:lineRule="exact"/>
        <w:ind w:firstLine="560"/>
        <w:rPr>
          <w:rFonts w:ascii="仿宋_GB2312" w:eastAsia="仿宋_GB2312"/>
          <w:sz w:val="32"/>
          <w:szCs w:val="32"/>
        </w:rPr>
      </w:pPr>
      <w:r>
        <w:rPr>
          <w:rFonts w:hint="eastAsia" w:ascii="仿宋_GB2312" w:eastAsia="仿宋_GB2312"/>
          <w:b/>
          <w:sz w:val="28"/>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一、学前教育</w:t>
      </w:r>
    </w:p>
    <w:p>
      <w:pPr>
        <w:spacing w:line="500" w:lineRule="exact"/>
        <w:ind w:firstLine="560"/>
        <w:rPr>
          <w:rFonts w:ascii="仿宋_GB2312" w:eastAsia="仿宋_GB2312"/>
          <w:sz w:val="32"/>
          <w:szCs w:val="32"/>
        </w:rPr>
      </w:pPr>
      <w:r>
        <w:rPr>
          <w:rFonts w:hint="eastAsia" w:ascii="仿宋_GB2312" w:eastAsia="仿宋_GB2312"/>
          <w:sz w:val="32"/>
          <w:szCs w:val="32"/>
        </w:rPr>
        <w:t>实施学前教育重点项目，支持和引导扩大学前教育资源，缓解当前存在的“入园难”、“入园贵”问题。增强资金配置的科学性，提高幼儿园入园率和扩大在园幼儿数,有效缓解“入园难”、“入园贵”等问题。严格落实公办幼儿园生均补助公用经费政策,加大学前教育政府投入。</w:t>
      </w:r>
    </w:p>
    <w:p>
      <w:pPr>
        <w:spacing w:line="500" w:lineRule="exact"/>
        <w:ind w:firstLine="560"/>
        <w:rPr>
          <w:rFonts w:ascii="仿宋_GB2312" w:eastAsia="仿宋_GB2312"/>
          <w:sz w:val="32"/>
          <w:szCs w:val="32"/>
        </w:rPr>
      </w:pPr>
      <w:r>
        <w:rPr>
          <w:rFonts w:hint="eastAsia" w:ascii="仿宋_GB2312" w:eastAsia="仿宋_GB2312"/>
          <w:sz w:val="32"/>
          <w:szCs w:val="32"/>
        </w:rPr>
        <w:t>结合学前教育工作开展情况，给予适当奖励性补助，用于支持普惠性民办幼儿园支付园舍租金，补充玩教具、保教和生活设施设备、校舍维修改造、弥补公用经费不足等。促使民办幼儿园提供普惠性服务，促使民办幼儿园自主发展，提高办园质量与水平，从而真正实现公办民办并举的学前教育体制，保障适龄儿童接受基本的、有质量的学前教育。</w:t>
      </w:r>
    </w:p>
    <w:p>
      <w:pPr>
        <w:spacing w:line="500" w:lineRule="exact"/>
        <w:ind w:firstLine="560"/>
        <w:rPr>
          <w:rFonts w:ascii="仿宋_GB2312" w:eastAsia="仿宋_GB2312"/>
          <w:sz w:val="32"/>
          <w:szCs w:val="32"/>
        </w:rPr>
      </w:pPr>
      <w:r>
        <w:rPr>
          <w:rFonts w:hint="eastAsia" w:ascii="仿宋_GB2312" w:eastAsia="仿宋_GB2312"/>
          <w:sz w:val="32"/>
          <w:szCs w:val="32"/>
        </w:rPr>
        <w:t>实施学前教育资助, 对在园的孤儿、烈士子女，优抚、低保家庭子女，纳入农村特困救助范围的家庭子女，父母一方死亡、离异的单亲贫困家庭子女，因受灾、疾病等原因导致家庭经济困难的儿童以及残疾儿童予以资助。帮助家庭经济困难儿童、孤儿和残疾儿童接受普惠性学前教育。</w:t>
      </w:r>
    </w:p>
    <w:p>
      <w:pPr>
        <w:spacing w:line="500" w:lineRule="exact"/>
        <w:ind w:firstLine="560"/>
        <w:rPr>
          <w:rFonts w:ascii="仿宋_GB2312" w:eastAsia="仿宋_GB2312"/>
          <w:sz w:val="32"/>
          <w:szCs w:val="32"/>
        </w:rPr>
      </w:pPr>
      <w:r>
        <w:rPr>
          <w:rFonts w:hint="eastAsia" w:ascii="仿宋_GB2312" w:eastAsia="仿宋_GB2312"/>
          <w:sz w:val="32"/>
          <w:szCs w:val="32"/>
        </w:rPr>
        <w:t>二、义务教育</w:t>
      </w:r>
    </w:p>
    <w:p>
      <w:pPr>
        <w:spacing w:line="500" w:lineRule="exact"/>
        <w:ind w:firstLine="560"/>
        <w:rPr>
          <w:rFonts w:ascii="仿宋_GB2312" w:eastAsia="仿宋_GB2312"/>
          <w:sz w:val="32"/>
          <w:szCs w:val="32"/>
        </w:rPr>
      </w:pPr>
      <w:r>
        <w:rPr>
          <w:rFonts w:hint="eastAsia" w:ascii="仿宋_GB2312" w:eastAsia="仿宋_GB2312"/>
          <w:sz w:val="32"/>
          <w:szCs w:val="32"/>
        </w:rPr>
        <w:t>以农村教育为重点，推进义务教育均衡发展，建立中小学校舍安全保障机制，改善薄弱学校办学条件，提高素质教育水平，开展丰富多彩的教学活动。促进公共教育资源向农村和经济欠发达地区倾斜。提高义务教育公用经费保障水平，改善办学条件，均衡配置基础教育资源，缩小城乡、区域、校际之间办学差距，推进标准化学校建设，实施数字化校园建设，加强学校文化建设，落实学生资助政策。</w:t>
      </w:r>
    </w:p>
    <w:p>
      <w:pPr>
        <w:spacing w:line="500" w:lineRule="exact"/>
        <w:ind w:firstLine="560"/>
        <w:rPr>
          <w:rFonts w:ascii="仿宋_GB2312" w:eastAsia="仿宋_GB2312"/>
          <w:sz w:val="32"/>
          <w:szCs w:val="32"/>
        </w:rPr>
      </w:pPr>
      <w:r>
        <w:rPr>
          <w:rFonts w:hint="eastAsia" w:ascii="仿宋_GB2312" w:eastAsia="仿宋_GB2312"/>
          <w:sz w:val="32"/>
          <w:szCs w:val="32"/>
        </w:rPr>
        <w:t>发展城市义务教育，除城市区中小学生学杂费，提高公用经费保障水平，落实两免一补政策，对接收进城务工农民工子女的学校进行补助。改善城区中小学办学条件。保障中小学公用经费水平逐年提高，解决大班额问题及入学难问题。</w:t>
      </w:r>
    </w:p>
    <w:p>
      <w:pPr>
        <w:spacing w:line="500" w:lineRule="exact"/>
        <w:ind w:firstLine="560"/>
        <w:rPr>
          <w:rFonts w:ascii="仿宋_GB2312" w:eastAsia="仿宋_GB2312"/>
          <w:sz w:val="32"/>
          <w:szCs w:val="32"/>
        </w:rPr>
      </w:pPr>
      <w:r>
        <w:rPr>
          <w:rFonts w:hint="eastAsia" w:ascii="仿宋_GB2312" w:eastAsia="仿宋_GB2312"/>
          <w:sz w:val="32"/>
          <w:szCs w:val="32"/>
        </w:rPr>
        <w:t>发展农村义务教育，推进农村义务教育经费保障机制改革，提高农村中小学公用经费水平，完善校舍维修改造长效机制，补助贫困寄宿生活生活费，为农村学生免费提供教科书。保障农村中小学正常运转，保证学校校舍安全，资助家庭经济困难寄宿学生，向农村义务教育学生免费提供教科书。</w:t>
      </w:r>
    </w:p>
    <w:p>
      <w:pPr>
        <w:spacing w:line="500" w:lineRule="exact"/>
        <w:ind w:firstLine="560"/>
        <w:rPr>
          <w:rFonts w:ascii="仿宋_GB2312" w:eastAsia="仿宋_GB2312"/>
          <w:sz w:val="32"/>
          <w:szCs w:val="32"/>
        </w:rPr>
      </w:pPr>
      <w:r>
        <w:rPr>
          <w:rFonts w:hint="eastAsia" w:ascii="仿宋_GB2312" w:eastAsia="仿宋_GB2312"/>
          <w:sz w:val="32"/>
          <w:szCs w:val="32"/>
        </w:rPr>
        <w:t>改善薄弱学校办学条件，保障义务教育阶段学校基本教学条件，改善学校生活设施，保障后勤社会化服务，解决学校大班额问题，开展学生社会实践活动，建立学生实践教育基地，推进学校教育信息化。使义务教育学校教学设施和生活设施满足基本教学需要，保障后勤社会化服务资金充足，使学校能够正常运转，超大班额现象基本消除，教师数量、素质、结构基本适应教学需要。</w:t>
      </w:r>
    </w:p>
    <w:p>
      <w:pPr>
        <w:spacing w:line="500" w:lineRule="exact"/>
        <w:ind w:firstLine="560"/>
        <w:rPr>
          <w:rFonts w:ascii="仿宋_GB2312" w:eastAsia="仿宋_GB2312"/>
          <w:sz w:val="32"/>
          <w:szCs w:val="32"/>
        </w:rPr>
      </w:pPr>
      <w:r>
        <w:rPr>
          <w:rFonts w:hint="eastAsia" w:ascii="仿宋_GB2312" w:eastAsia="仿宋_GB2312"/>
          <w:sz w:val="32"/>
          <w:szCs w:val="32"/>
        </w:rPr>
        <w:t>三、普通高中教育</w:t>
      </w:r>
    </w:p>
    <w:p>
      <w:pPr>
        <w:spacing w:line="500" w:lineRule="exact"/>
        <w:ind w:firstLine="560"/>
        <w:rPr>
          <w:rFonts w:ascii="仿宋_GB2312" w:eastAsia="仿宋_GB2312"/>
          <w:sz w:val="32"/>
          <w:szCs w:val="32"/>
        </w:rPr>
      </w:pPr>
      <w:r>
        <w:rPr>
          <w:rFonts w:hint="eastAsia" w:ascii="仿宋_GB2312" w:eastAsia="仿宋_GB2312"/>
          <w:sz w:val="32"/>
          <w:szCs w:val="32"/>
        </w:rPr>
        <w:t>执行普通高中国家助学金制度，改善普通高中办学条件，建立学生社会实践教育基地。改善办学条件，均衡配置基础教育资源，推进标准化学校建设，实施数字化校园建设，加强学校文化建设，并落实学生资助政策。</w:t>
      </w:r>
    </w:p>
    <w:p>
      <w:pPr>
        <w:spacing w:line="500" w:lineRule="exact"/>
        <w:ind w:firstLine="560"/>
        <w:rPr>
          <w:rFonts w:ascii="仿宋_GB2312" w:eastAsia="仿宋_GB2312"/>
          <w:sz w:val="32"/>
          <w:szCs w:val="32"/>
        </w:rPr>
      </w:pPr>
      <w:r>
        <w:rPr>
          <w:rFonts w:hint="eastAsia" w:ascii="仿宋_GB2312" w:eastAsia="仿宋_GB2312"/>
          <w:sz w:val="32"/>
          <w:szCs w:val="32"/>
        </w:rPr>
        <w:t>四、职业教育</w:t>
      </w:r>
    </w:p>
    <w:p>
      <w:pPr>
        <w:spacing w:line="500" w:lineRule="exact"/>
        <w:ind w:firstLine="560"/>
        <w:rPr>
          <w:rFonts w:ascii="仿宋_GB2312" w:eastAsia="仿宋_GB2312"/>
          <w:sz w:val="32"/>
          <w:szCs w:val="32"/>
        </w:rPr>
      </w:pPr>
      <w:r>
        <w:rPr>
          <w:rFonts w:hint="eastAsia" w:ascii="仿宋_GB2312" w:eastAsia="仿宋_GB2312"/>
          <w:sz w:val="32"/>
          <w:szCs w:val="32"/>
        </w:rPr>
        <w:t>大力发展职业教育，坚持以就业为导向，深化职业教育教学。改善职业院校办学条件，建设职业教育实训基地，深化校企合作、产教融合，落实学生资助、奖励政策。</w:t>
      </w:r>
    </w:p>
    <w:p>
      <w:pPr>
        <w:spacing w:line="500" w:lineRule="exact"/>
        <w:ind w:firstLine="560"/>
        <w:rPr>
          <w:rFonts w:ascii="仿宋_GB2312" w:eastAsia="仿宋_GB2312"/>
          <w:sz w:val="32"/>
          <w:szCs w:val="32"/>
        </w:rPr>
      </w:pPr>
      <w:r>
        <w:rPr>
          <w:rFonts w:hint="eastAsia" w:ascii="仿宋_GB2312" w:eastAsia="仿宋_GB2312"/>
          <w:sz w:val="32"/>
          <w:szCs w:val="32"/>
        </w:rPr>
        <w:t>提高中职学校办学能力，改善职业学校办学条件；落实中等职业学校免学费政策，资助家庭经济困难学生。校办学水平和综合实力进一步提高，公共服务体系建设进一步提升；实训基地和教学平台逐步增加。</w:t>
      </w:r>
    </w:p>
    <w:p>
      <w:pPr>
        <w:spacing w:line="500" w:lineRule="exact"/>
        <w:ind w:firstLine="560"/>
        <w:rPr>
          <w:rFonts w:ascii="仿宋_GB2312" w:eastAsia="仿宋_GB2312"/>
          <w:sz w:val="32"/>
          <w:szCs w:val="32"/>
        </w:rPr>
      </w:pPr>
      <w:r>
        <w:rPr>
          <w:rFonts w:hint="eastAsia" w:ascii="仿宋_GB2312" w:eastAsia="仿宋_GB2312"/>
          <w:sz w:val="32"/>
          <w:szCs w:val="32"/>
        </w:rPr>
        <w:t>五、成人和民办教育</w:t>
      </w:r>
    </w:p>
    <w:p>
      <w:pPr>
        <w:spacing w:line="500" w:lineRule="exact"/>
        <w:ind w:firstLine="560"/>
        <w:rPr>
          <w:rFonts w:ascii="仿宋_GB2312" w:eastAsia="仿宋_GB2312"/>
          <w:sz w:val="32"/>
          <w:szCs w:val="32"/>
        </w:rPr>
      </w:pPr>
      <w:r>
        <w:rPr>
          <w:rFonts w:hint="eastAsia" w:ascii="仿宋_GB2312" w:eastAsia="仿宋_GB2312"/>
          <w:sz w:val="32"/>
          <w:szCs w:val="32"/>
        </w:rPr>
        <w:t>加强民办教育的统筹规划和管理，完善民办教育政策措施，规范办学秩序，促进民办教育事业发展。构建学习型社会，发展成人教育、继续教育，促进民办教育发展，提高民办学校办学质量。</w:t>
      </w:r>
    </w:p>
    <w:p>
      <w:pPr>
        <w:spacing w:line="500" w:lineRule="exact"/>
        <w:ind w:firstLine="560"/>
        <w:rPr>
          <w:rFonts w:ascii="仿宋_GB2312" w:eastAsia="仿宋_GB2312"/>
          <w:sz w:val="32"/>
          <w:szCs w:val="32"/>
        </w:rPr>
      </w:pPr>
      <w:r>
        <w:rPr>
          <w:rFonts w:hint="eastAsia" w:ascii="仿宋_GB2312" w:eastAsia="仿宋_GB2312"/>
          <w:sz w:val="32"/>
          <w:szCs w:val="32"/>
        </w:rPr>
        <w:t>完善促进民办教育发展的优惠政策。对各类民办学校（幼儿园）管理者进行政策法规培训。发展民办非义务教育和多种形式的职业技能培训，办好一批高水平民办学校，科学、公平、合理确定民办学校奖励范围。对各类民办学校（幼儿园）管理者进行政策法规培训，实现举办者依法规范办学，教育行政执法人员依法行政。</w:t>
      </w:r>
    </w:p>
    <w:p>
      <w:pPr>
        <w:spacing w:line="500" w:lineRule="exact"/>
        <w:ind w:firstLine="560"/>
        <w:rPr>
          <w:rFonts w:ascii="仿宋_GB2312" w:eastAsia="仿宋_GB2312"/>
          <w:sz w:val="32"/>
          <w:szCs w:val="32"/>
        </w:rPr>
      </w:pPr>
      <w:r>
        <w:rPr>
          <w:rFonts w:hint="eastAsia" w:ascii="仿宋_GB2312" w:eastAsia="仿宋_GB2312"/>
          <w:sz w:val="32"/>
          <w:szCs w:val="32"/>
        </w:rPr>
        <w:t>六、教师队伍建设</w:t>
      </w:r>
    </w:p>
    <w:p>
      <w:pPr>
        <w:spacing w:line="500" w:lineRule="exact"/>
        <w:ind w:firstLine="560"/>
        <w:rPr>
          <w:rFonts w:ascii="仿宋_GB2312" w:eastAsia="仿宋_GB2312"/>
          <w:sz w:val="32"/>
          <w:szCs w:val="32"/>
        </w:rPr>
      </w:pPr>
      <w:r>
        <w:rPr>
          <w:rFonts w:hint="eastAsia" w:ascii="仿宋_GB2312" w:eastAsia="仿宋_GB2312"/>
          <w:sz w:val="32"/>
          <w:szCs w:val="32"/>
        </w:rPr>
        <w:t>组织开展教师和行政干部队伍建设工作。完成中小学骨干、学科教师培训，高层次、优秀人才引进计划，聘请中小学高水平高素质教师来我校任教，提高特殊群体教师待遇。</w:t>
      </w:r>
    </w:p>
    <w:p>
      <w:pPr>
        <w:spacing w:line="500" w:lineRule="exact"/>
        <w:ind w:firstLine="560"/>
        <w:rPr>
          <w:rFonts w:ascii="仿宋_GB2312" w:eastAsia="仿宋_GB2312"/>
          <w:sz w:val="32"/>
          <w:szCs w:val="32"/>
        </w:rPr>
      </w:pPr>
      <w:r>
        <w:rPr>
          <w:rFonts w:hint="eastAsia" w:ascii="仿宋_GB2312" w:eastAsia="仿宋_GB2312"/>
          <w:sz w:val="32"/>
          <w:szCs w:val="32"/>
        </w:rPr>
        <w:t>加强教师培养与培训，展幼儿园骨干教师，中小学骨干、学科教师，特教学校教师，中小学校长等专项培训，完成中小学教师国家级培训计划。开展学校安全管理人员业务培训和法制培训。培训中小学骨干教师、学科教师等人才，提高中小学教师的业务水平和教学能力。</w:t>
      </w:r>
    </w:p>
    <w:p>
      <w:pPr>
        <w:spacing w:line="500" w:lineRule="exact"/>
        <w:ind w:firstLine="560"/>
        <w:rPr>
          <w:rFonts w:ascii="仿宋_GB2312" w:eastAsia="仿宋_GB2312"/>
          <w:sz w:val="32"/>
          <w:szCs w:val="32"/>
        </w:rPr>
      </w:pPr>
      <w:r>
        <w:rPr>
          <w:rFonts w:hint="eastAsia" w:ascii="仿宋_GB2312" w:eastAsia="仿宋_GB2312"/>
          <w:sz w:val="32"/>
          <w:szCs w:val="32"/>
        </w:rPr>
        <w:t>七、教育政务管理</w:t>
      </w:r>
    </w:p>
    <w:p>
      <w:pPr>
        <w:spacing w:line="500" w:lineRule="exact"/>
        <w:ind w:firstLine="560"/>
        <w:rPr>
          <w:rFonts w:ascii="仿宋_GB2312" w:eastAsia="仿宋_GB2312"/>
          <w:sz w:val="32"/>
          <w:szCs w:val="32"/>
        </w:rPr>
      </w:pPr>
      <w:r>
        <w:rPr>
          <w:rFonts w:hint="eastAsia" w:ascii="仿宋_GB2312" w:eastAsia="仿宋_GB2312"/>
          <w:sz w:val="32"/>
          <w:szCs w:val="32"/>
        </w:rPr>
        <w:t>负责教育系统综合业务管理和机关综合事务管理。依法行政，构建人民群众满意、勤政廉洁的政府部门；保障工作正常高效运行，相关工作顺利开展。</w:t>
      </w:r>
    </w:p>
    <w:p>
      <w:pPr>
        <w:spacing w:line="500" w:lineRule="exact"/>
        <w:ind w:firstLine="560"/>
        <w:rPr>
          <w:rFonts w:ascii="仿宋_GB2312" w:eastAsia="仿宋_GB2312"/>
          <w:sz w:val="32"/>
          <w:szCs w:val="32"/>
        </w:rPr>
      </w:pPr>
      <w:r>
        <w:rPr>
          <w:rFonts w:hint="eastAsia" w:ascii="仿宋_GB2312" w:eastAsia="仿宋_GB2312"/>
          <w:sz w:val="32"/>
          <w:szCs w:val="32"/>
        </w:rPr>
        <w:t>综合业务管理，做好教育政策制定、教育改革、教育科研、教育信息化建设等工作。做好各项教育管理工作。</w:t>
      </w:r>
    </w:p>
    <w:p>
      <w:pPr>
        <w:spacing w:line="500" w:lineRule="exact"/>
        <w:ind w:firstLine="560"/>
        <w:rPr>
          <w:rFonts w:ascii="仿宋_GB2312" w:eastAsia="仿宋_GB2312"/>
          <w:sz w:val="32"/>
          <w:szCs w:val="32"/>
        </w:rPr>
      </w:pPr>
      <w:r>
        <w:rPr>
          <w:rFonts w:hint="eastAsia" w:ascii="仿宋_GB2312" w:eastAsia="仿宋_GB2312"/>
          <w:sz w:val="32"/>
          <w:szCs w:val="32"/>
        </w:rPr>
        <w:t>综合事物管理，做好会议培训组织，内部信息化建设与维护，财务和资产管理，标准化建设，基础设施维修，大型设备购置，人事、党务以及老干部管理等工作。负责直属事业单位管理工作。保障机关工作正常高效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ind w:firstLine="560"/>
        <w:rPr>
          <w:rFonts w:ascii="Times New Roman" w:hAnsi="Times New Roman" w:eastAsia="楷体_GB2312"/>
          <w:b/>
          <w:sz w:val="32"/>
          <w:szCs w:val="32"/>
        </w:rPr>
      </w:pPr>
      <w:r>
        <w:rPr>
          <w:rFonts w:hint="eastAsia" w:ascii="Times New Roman" w:hAnsi="Times New Roman" w:eastAsia="楷体_GB2312"/>
          <w:b/>
          <w:sz w:val="32"/>
          <w:szCs w:val="32"/>
        </w:rPr>
        <w:t>部门职责及工作活动绩效目标指标：</w:t>
      </w:r>
    </w:p>
    <w:p>
      <w:pPr>
        <w:spacing w:line="584" w:lineRule="exact"/>
        <w:jc w:val="center"/>
        <w:outlineLvl w:val="0"/>
        <w:rPr>
          <w:rFonts w:ascii="Times New Roman" w:hAnsi="Times New Roman" w:eastAsia="仿宋_GB2312"/>
          <w:b/>
          <w:sz w:val="32"/>
        </w:rPr>
      </w:pPr>
      <w:bookmarkStart w:id="1" w:name="_Toc504489147"/>
      <w:r>
        <w:rPr>
          <w:rFonts w:ascii="Times New Roman" w:hAnsi="Times New Roman" w:eastAsia="仿宋_GB2312"/>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430廊坊市广阳区教育局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一、学前教育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172.00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实施学前教育重点项目，支持和引导扩大学前教育资源，缓解当前存在的“入园难”、“入园贵”问题。</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增强资金配置的科学性，提高幼儿园入园率和扩大在园幼儿数,有效缓解“入园难”、“入园贵”等问题。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1、扩大教育资源</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164.00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幼儿园办公、教学条件，全面实行无线网络办公和教学。购置优质的幼儿学习和生活用品、食材等。为教师提供优质的学习和教育资源，以提高教师教育教学水平。充分开展各类主题活动，让孩子在参与和玩耍中，体验学习知识的快乐。</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扩大学前教育资源，保证园舍的安全，配备必要的玩教具、保教和生活设施设备，加强教师专业技术和职业素质的培训及提高，提升学前教育水平。对偏远地区适龄儿童和家长提供灵活多样的学前教育巡回指导。帮助家庭经济困难儿童、孤儿和残疾儿童接受普惠性学前教育。</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组织开展丰富多彩的教师、幼儿主题活动数量（次）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增加农村公办幼儿园数量。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在园幼儿增长数量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购置科学、全面、安全的教育教学材料数量（册）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2、实施民办幼儿园综合奖补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结合学前教育工作开展情况，给予适当奖励性补助，用于支持普惠性民办幼儿园支付园舍租金，补充玩教具、保教和生活设施设备、校舍维修改造、弥补公用经费不足等。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促使民办幼儿园提供普惠性服务，促使民办幼儿园自主发展，提高办园质量与水平，从而真正实现公办民办并举的学前教育体制，保障适龄儿童接受基本的、有质量的学前教育。</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幼儿毛入园率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在园幼儿增长数量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增加民办幼儿园数量。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3、实施学前教育资助</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8.00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普惠性幼儿园在园的孤儿、烈士子女，优抚、低保家庭子女，纳入农村特困救助范围的家庭子女，父母一方死亡、离异的单亲贫困家庭子女，因受灾、疾病等原因导致家庭经济困难的儿童以及残疾儿童予以资助。</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帮助家庭经济困难儿童、孤儿和残疾儿童接受普惠性学前教育。</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在园幼儿增长数量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贫困幼儿资助比例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幼儿毛入园率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5658.00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以农村教育为重点，推进义务教育均衡发展，建立中小学校舍安全保障机制，改善薄弱学校办学条件，提高素质教育水平，开展丰富多彩的教学活动。促进公共教育资源向农村和经济欠发达地区倾斜。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提高义务教育公用经费保障水平，改善办学条件，均衡配置基础教育资源，缩小城乡、区域、校际之间办学差距，推进标准化学校建设，实施数字化校园建设，加强学校文化建设，落实学生资助政策。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1、发展城市义务教育</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5390.00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免除城市区中小学生学杂费，提高公用经费保障水平，为贫困中小学生免费提供教科书，对接收进城务工农民工子女的学校进行补助。改善城区中小学办学条件。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保障中小学公用经费水平逐年提高，解决大班额问题及入学难问题。</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初中入学率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接受进城务工随迁子女就学人数（人）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增加中小学  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小学入学率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2、发展农村义务教育</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268.00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推进农村义务教育经费保障机制改革，提高农村中小学公用经费水平，完善校舍维修改造长效机制，补助贫困寄宿生活生活费，为农村学生免费提供教科书。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保障农村中小学正常运转，保证学校校舍安全，资助家庭经济困难寄宿学生，向农村义务教育学生免费提供教科书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农村义务教育学生免费提供教科书数量（册）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补助贫困寄宿生生活费人数比例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小学入学率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3、改善薄弱学校办学条件</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保障义务教育阶段学校基本教学条件，改善学校生活设施，保障后勤社会化服务，解决学校大班额问题，开展学生社会实践活动，建立学生实践教育基地，推进学校教育信息化。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使义务教育学校教学设施和生活设施满足基本教学需要，保障后勤社会化服务资金充足，使学校能够正常运转，超大班额现象基本消除，教师数量、素质、结构基本适应教学需要。</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新建、改建、扩建义务教育学校（所）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小学生生均校舍面积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初中生均校舍面积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初中生均设备金额</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小学生生均设备金额</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4、提升特殊教育保障水平</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保证教学设备设施配备齐全，保障学生校园安全，支持贫困学生和爱心家园学生完成学业。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改善办学条件，配置基础教育资源</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资源配置率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新建、改建、扩建义务教育学校（所）</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小学生生均校舍面积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5、开展教师教研及学生德育活动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开展各类课题研究、校本研究，加强教师培训和教学交流，加强德育培训与研究，举办各类教育教学活动。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提高教师教学水平，调动教师积极性，培养专家型教师人才，提高学生的综合素质。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师生优秀率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实训室及教学平台更新改造个数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社会培训人次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三、普通高中教育</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执行普通高中国家助学金制度，改善普通高中办学条件，建立学生社会实践教育基地。</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改善办学条件，均衡配置基础教育资源，推进标准化学校建设，实施数字化校园建设，加强学校文化建设，并落实学生资助政策。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1、改善办学条件和学生资助</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改善高中学校办学条件，保障后勤社会化服务，对贫困高中学生发放助学金，建立学生社会实践教育基地。</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为后勤社会化服务提供资金保障，推动高中教育发展，扩大高中教育规模；确保贫困高中学生顺利完成学业，为高等学校输送合格人才。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资助高中贫困学生数比例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困难学生辍学率（%）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高中毛入学率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四、职业教育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185.92</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大力发展职业教育，坚持以就业为导向，深化职业教育教学改革，增强职业教育发展活力。</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改善职业院校办学条件，建设职业教育实训基地，深化校企合作、产教融合，落实学生资助、奖励政策。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1、提高中职学校办学能力</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34.00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改善职业学校办学条件；落实中等职业学校免学费政策，资助家庭经济困难学生。</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学校办学水平和综合实力进一步提高，公共服务体系建设进一步提升；实训基地和教学平台逐步增加。</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困难学生辍学率（%）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新增购置中职教学设备数量（台）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校舍面积占在校生数的比例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实训室及教学平台更新改造个数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2、提升教育教学服务水平</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151.92</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提高教育教学水平；提升服务管理水平；提高服务区域经济发展的能力。</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深化校企合作立足廊坊，服务京津冀协同发展的能力进一步提高；教育教学服务管理水平进一步提高。</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社会培训人次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就业率（%）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师生优秀率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五、成人和民办教育</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加强民办教育的统筹规划和管理，完善民办教育政策措施，规范办学秩序，促进民办教育事业发展。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构建学习型社会，发展成人教育、继续教育，促进民办教育发展，提高民办学校办学质量。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1、实施民办学校综合奖补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完善促进民办教育发展的优惠政策。对各类民办学校（幼儿园）管理者进行政策法规培训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展民办非义务教育和多种形式的职业技能培训，办好一批高水平民办学校，科学、公平、合理确定民办学校奖励范围。对各类民办学校（幼儿园）管理者进行政策法规培训，实现举办者依法规范办学，教育行政执法人员依法行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培训民办学校（幼儿园）管理者   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社会培训人次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就业率（%）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2、社区教育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利用电大教育平台开展社区教育</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提高社区居民幸福指数</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开展社区教育规模人数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社区教育满意度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社会培训人次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3、学历教育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利用开放教育、网络教育平台，发展学历教育</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完成教学任务，提高公民受教育水平。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校本部招生规模人数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县级电大招生规模人数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教学质量优秀率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学生毕业率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六、教师队伍建设</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230.00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组织开展教师和行政干部队伍建设工作。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完成中小学骨干、学科教师培训，高层次、优秀人才引进计划，聘请中小学高水平高素质教师来我校任教，提高特殊群体教师待遇。</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1、教师培养与培训</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开展幼儿园骨干教师，中小学骨干、学科教师，特教学校教师，中小学校长等专项培训，完成中小学教师国家级培训计划。开展学校安全管理人员业务培训和法制培训。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培训中小学骨干教师、学科教师等   人才，提高中小学教师的业务水平和教学能力。</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培训中小学校长人数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2、高水平人才培养与引进</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为教师发展创造条件，鼓励教师积极参加各级各类的教学活动，提供展示自我的舞台，培养省市级名师和特级教师，并建立高水平人才引进机制。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培养高层次人才和优秀创新团队数   个，验收优秀率达到   %,培养具有创新能力的高水平教学人才队伍，构建科学合理的队伍结构。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引进高层次人才人数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研究成果数量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待遇发放到位率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3、教研与科研</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开展科研工作，以科研促教学。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培养高层次人才和培养具有创新能力的高水平科研人才队伍。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引进高层次人才人数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研究成果数量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待遇发放到位率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4、提高教师待遇</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180.00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为保证教师队伍稳定性及教学工作的顺利开展，提高在编教师及外聘教师待遇。</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提高全体教师待遇。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引进高层次人才人数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研究成果数量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待遇发放到位率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七、教育政务管理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0.15</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负责教育系统综合业务管理和机关综合事务管理。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依法行政，构建人民群众满意、勤政廉洁的政府部门；保障工作正常高效运行，相关工作顺利开展。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做好教育政策制定、教育改革、教育科研、教育信息化建设等工作。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做好各项教育管理工作。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局机关职能执行率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大于80%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介于80%和70%之间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介于70%和50之间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在活动中的获奖率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参与度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2、综合事物管理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0.15</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做好会议培训组织，内部信息化建设与维护，财务和资产管理，标准化建设，基础设施维修，大型设备购置，人事、党务以及老干部管理等工作。负责直属企事业单位管理工作。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保障机关工作正常高效运转。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bl>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hint="eastAsia" w:ascii="Times New Roman" w:hAnsi="黑体" w:eastAsia="黑体"/>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六、政府采购预算情况</w:t>
      </w:r>
    </w:p>
    <w:p>
      <w:pPr>
        <w:spacing w:line="584" w:lineRule="exact"/>
        <w:ind w:firstLine="640" w:firstLineChars="200"/>
        <w:outlineLvl w:val="0"/>
        <w:rPr>
          <w:rFonts w:hint="eastAsia" w:ascii="Times New Roman" w:hAnsi="Times New Roman" w:eastAsia="仿宋_GB2312"/>
          <w:sz w:val="32"/>
          <w:szCs w:val="24"/>
        </w:rPr>
      </w:pP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年，我部门安排政府采购预算108.02万元。具体内容见下表。</w:t>
      </w:r>
      <w:bookmarkEnd w:id="2"/>
      <w:bookmarkStart w:id="3" w:name="_Toc504489153"/>
    </w:p>
    <w:p>
      <w:pPr>
        <w:spacing w:line="584" w:lineRule="exact"/>
        <w:ind w:firstLine="640" w:firstLineChars="200"/>
        <w:jc w:val="center"/>
        <w:outlineLvl w:val="0"/>
        <w:rPr>
          <w:rFonts w:hint="eastAsia" w:ascii="Times New Roman" w:hAnsi="Times New Roman" w:eastAsia="仿宋_GB2312"/>
          <w:sz w:val="32"/>
          <w:szCs w:val="24"/>
        </w:rPr>
      </w:pPr>
      <w:bookmarkStart w:id="4" w:name="_Toc1749084"/>
      <w:r>
        <w:rPr>
          <w:rFonts w:hint="eastAsia" w:ascii="方正小标宋_GBK" w:eastAsia="方正小标宋_GBK"/>
          <w:sz w:val="32"/>
        </w:rPr>
        <w:t>部门政府采购预算</w:t>
      </w:r>
      <w:bookmarkEnd w:id="4"/>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8"/>
        <w:gridCol w:w="1059"/>
        <w:gridCol w:w="934"/>
        <w:gridCol w:w="1371"/>
        <w:gridCol w:w="721"/>
        <w:gridCol w:w="846"/>
        <w:gridCol w:w="809"/>
        <w:gridCol w:w="922"/>
        <w:gridCol w:w="922"/>
        <w:gridCol w:w="922"/>
        <w:gridCol w:w="922"/>
        <w:gridCol w:w="925"/>
        <w:gridCol w:w="925"/>
        <w:gridCol w:w="8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2"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430</w:t>
            </w:r>
            <w:r>
              <w:rPr>
                <w:rFonts w:hint="eastAsia" w:ascii="方正小标宋_GBK" w:eastAsia="方正小标宋_GBK"/>
                <w:sz w:val="24"/>
              </w:rPr>
              <w:t>廊坊市广阳区教育局</w:t>
            </w:r>
          </w:p>
        </w:tc>
        <w:tc>
          <w:tcPr>
            <w:tcW w:w="2298"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17" w:type="pct"/>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34"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38"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1"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98" w:type="pct"/>
            <w:gridSpan w:val="7"/>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7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51" w:type="pct"/>
            <w:gridSpan w:val="5"/>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17"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0" w:type="pct"/>
            <w:vMerge w:val="continue"/>
            <w:shd w:val="clear" w:color="auto" w:fill="auto"/>
            <w:vAlign w:val="center"/>
          </w:tcPr>
          <w:p>
            <w:pPr>
              <w:spacing w:line="300" w:lineRule="exact"/>
              <w:jc w:val="left"/>
              <w:outlineLvl w:val="0"/>
            </w:pPr>
          </w:p>
        </w:tc>
        <w:tc>
          <w:tcPr>
            <w:tcW w:w="377" w:type="pct"/>
            <w:vMerge w:val="continue"/>
            <w:shd w:val="clear" w:color="auto" w:fill="auto"/>
            <w:vAlign w:val="center"/>
          </w:tcPr>
          <w:p>
            <w:pPr>
              <w:spacing w:line="300" w:lineRule="exact"/>
              <w:jc w:val="left"/>
              <w:outlineLvl w:val="0"/>
            </w:pPr>
          </w:p>
        </w:tc>
        <w:tc>
          <w:tcPr>
            <w:tcW w:w="334" w:type="pct"/>
            <w:vMerge w:val="continue"/>
            <w:shd w:val="clear" w:color="auto" w:fill="auto"/>
            <w:vAlign w:val="center"/>
          </w:tcPr>
          <w:p>
            <w:pPr>
              <w:spacing w:line="300" w:lineRule="exact"/>
              <w:jc w:val="left"/>
              <w:outlineLvl w:val="0"/>
            </w:pPr>
          </w:p>
        </w:tc>
        <w:tc>
          <w:tcPr>
            <w:tcW w:w="338"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61" w:type="pct"/>
            <w:vMerge w:val="continue"/>
            <w:shd w:val="clear" w:color="auto" w:fill="auto"/>
            <w:vAlign w:val="center"/>
          </w:tcPr>
          <w:p>
            <w:pPr>
              <w:spacing w:line="300" w:lineRule="exact"/>
              <w:jc w:val="left"/>
              <w:outlineLvl w:val="0"/>
            </w:pPr>
          </w:p>
        </w:tc>
        <w:tc>
          <w:tcPr>
            <w:tcW w:w="290" w:type="pct"/>
            <w:vMerge w:val="continue"/>
            <w:shd w:val="clear" w:color="auto" w:fill="auto"/>
            <w:vAlign w:val="center"/>
          </w:tcPr>
          <w:p>
            <w:pPr>
              <w:spacing w:line="300" w:lineRule="exact"/>
              <w:jc w:val="left"/>
              <w:outlineLvl w:val="0"/>
            </w:pPr>
          </w:p>
        </w:tc>
        <w:tc>
          <w:tcPr>
            <w:tcW w:w="330" w:type="pct"/>
            <w:vMerge w:val="continue"/>
            <w:shd w:val="clear" w:color="auto" w:fill="auto"/>
            <w:vAlign w:val="center"/>
          </w:tcPr>
          <w:p>
            <w:pPr>
              <w:spacing w:line="300" w:lineRule="exact"/>
              <w:jc w:val="left"/>
              <w:outlineLvl w:val="0"/>
            </w:pP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3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31"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17" w:type="pct"/>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108.02</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108.02</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108.02</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廊坊市广阳区教育局小计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4.20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4.20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4.20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203.01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203.01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203.01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制冷空调设备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A020523</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2.40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廊坊市广阳区第一幼儿园小计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1.18</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1.18</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1.18</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114.66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0.59</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1.18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1.18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1.18</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廊坊市逸夫小学小计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13.64</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13.64</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13.64</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个</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2.24</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2.24</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2.24</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计算机网络设备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A020102</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9.00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4.50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0.15</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0.90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19.76</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投影仪</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A020202</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廊坊市第六小学小计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16.00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32.23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触控一体机</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A020208</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16.00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廊坊市第八小学小计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17.20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17.20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17.20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39.70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0.06</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7.20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39.70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廊坊市第十小学小计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14.70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14.70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14.70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29.07</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490.00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0.03</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14.70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14.70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14.70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廊坊市第十二小学小计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10.70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10.70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10.70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42.53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300.00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42.53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42.53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42.53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42.53</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廊坊市第十三小学小计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7.80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7.80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7.80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12.01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150.00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12.01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3.60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12.01</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A02010601</w:t>
            </w:r>
          </w:p>
        </w:tc>
        <w:tc>
          <w:tcPr>
            <w:tcW w:w="261" w:type="pct"/>
            <w:shd w:val="clear" w:color="auto" w:fill="auto"/>
            <w:vAlign w:val="center"/>
          </w:tcPr>
          <w:p>
            <w:pPr>
              <w:spacing w:line="300" w:lineRule="exact"/>
              <w:jc w:val="left"/>
              <w:rPr>
                <w:rFonts w:ascii="方正书宋_GBK" w:eastAsia="方正书宋_GBK"/>
              </w:rPr>
            </w:pP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廊坊市第三中学小计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13.00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13.00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31.20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60.00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31.20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31.20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160.00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3.20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廊坊市第十八小学小计</w:t>
            </w:r>
          </w:p>
        </w:tc>
        <w:tc>
          <w:tcPr>
            <w:tcW w:w="377" w:type="pct"/>
            <w:shd w:val="clear" w:color="auto" w:fill="auto"/>
            <w:vAlign w:val="center"/>
          </w:tcPr>
          <w:p>
            <w:pPr>
              <w:spacing w:line="300" w:lineRule="exact"/>
              <w:jc w:val="right"/>
              <w:rPr>
                <w:rFonts w:ascii="方正书宋_GBK" w:eastAsia="方正书宋_GBK"/>
                <w:b/>
              </w:rPr>
            </w:pPr>
          </w:p>
        </w:tc>
        <w:tc>
          <w:tcPr>
            <w:tcW w:w="334" w:type="pct"/>
            <w:shd w:val="clear" w:color="auto" w:fill="auto"/>
            <w:vAlign w:val="center"/>
          </w:tcPr>
          <w:p>
            <w:pPr>
              <w:spacing w:line="300" w:lineRule="exact"/>
              <w:jc w:val="left"/>
              <w:rPr>
                <w:rFonts w:ascii="方正书宋_GBK" w:eastAsia="方正书宋_GBK"/>
                <w:b/>
              </w:rPr>
            </w:pPr>
          </w:p>
        </w:tc>
        <w:tc>
          <w:tcPr>
            <w:tcW w:w="338"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left"/>
              <w:rPr>
                <w:rFonts w:ascii="方正书宋_GBK" w:eastAsia="方正书宋_GBK"/>
                <w:b/>
              </w:rPr>
            </w:pPr>
          </w:p>
        </w:tc>
        <w:tc>
          <w:tcPr>
            <w:tcW w:w="261" w:type="pct"/>
            <w:shd w:val="clear" w:color="auto" w:fill="auto"/>
            <w:vAlign w:val="center"/>
          </w:tcPr>
          <w:p>
            <w:pPr>
              <w:spacing w:line="300" w:lineRule="exact"/>
              <w:jc w:val="right"/>
              <w:rPr>
                <w:rFonts w:ascii="方正书宋_GBK" w:eastAsia="方正书宋_GBK"/>
                <w:b/>
              </w:rPr>
            </w:pPr>
          </w:p>
        </w:tc>
        <w:tc>
          <w:tcPr>
            <w:tcW w:w="290" w:type="pct"/>
            <w:shd w:val="clear" w:color="auto" w:fill="auto"/>
            <w:vAlign w:val="center"/>
          </w:tcPr>
          <w:p>
            <w:pPr>
              <w:spacing w:line="300" w:lineRule="exact"/>
              <w:jc w:val="right"/>
              <w:rPr>
                <w:rFonts w:ascii="方正书宋_GBK" w:eastAsia="方正书宋_GBK"/>
                <w:b/>
              </w:rPr>
            </w:pP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30" w:type="pct"/>
            <w:shd w:val="clear" w:color="auto" w:fill="auto"/>
            <w:vAlign w:val="center"/>
          </w:tcPr>
          <w:p>
            <w:pPr>
              <w:spacing w:line="300" w:lineRule="exact"/>
              <w:jc w:val="right"/>
              <w:rPr>
                <w:rFonts w:ascii="方正书宋_GBK" w:eastAsia="方正书宋_GBK"/>
                <w:b/>
              </w:rPr>
            </w:pPr>
            <w:r>
              <w:rPr>
                <w:rFonts w:ascii="方正书宋_GBK" w:eastAsia="方正书宋_GBK"/>
                <w:b/>
              </w:rPr>
              <w:t>9.60</w:t>
            </w:r>
          </w:p>
        </w:tc>
        <w:tc>
          <w:tcPr>
            <w:tcW w:w="330"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31" w:type="pct"/>
            <w:shd w:val="clear" w:color="auto" w:fill="auto"/>
            <w:vAlign w:val="center"/>
          </w:tcPr>
          <w:p>
            <w:pPr>
              <w:spacing w:line="300" w:lineRule="exact"/>
              <w:jc w:val="right"/>
              <w:rPr>
                <w:rFonts w:ascii="方正书宋_GBK" w:eastAsia="方正书宋_GBK"/>
                <w:b/>
              </w:rPr>
            </w:pPr>
          </w:p>
        </w:tc>
        <w:tc>
          <w:tcPr>
            <w:tcW w:w="317" w:type="pct"/>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21.00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A020101</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4.80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21.00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0.08</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0.80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77" w:type="pct"/>
            <w:shd w:val="clear" w:color="auto" w:fill="auto"/>
            <w:vAlign w:val="center"/>
          </w:tcPr>
          <w:p>
            <w:pPr>
              <w:spacing w:line="300" w:lineRule="exact"/>
              <w:jc w:val="right"/>
              <w:rPr>
                <w:rFonts w:ascii="方正书宋_GBK" w:eastAsia="方正书宋_GBK"/>
              </w:rPr>
            </w:pPr>
            <w:r>
              <w:rPr>
                <w:rFonts w:ascii="方正书宋_GBK" w:eastAsia="方正书宋_GBK"/>
              </w:rPr>
              <w:t>21.00</w:t>
            </w:r>
          </w:p>
        </w:tc>
        <w:tc>
          <w:tcPr>
            <w:tcW w:w="33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38" w:type="pct"/>
            <w:shd w:val="clear" w:color="auto" w:fill="auto"/>
            <w:vAlign w:val="center"/>
          </w:tcPr>
          <w:p>
            <w:pPr>
              <w:spacing w:line="300" w:lineRule="exact"/>
              <w:jc w:val="left"/>
              <w:rPr>
                <w:rFonts w:ascii="方正书宋_GBK" w:eastAsia="方正书宋_GBK"/>
              </w:rPr>
            </w:pPr>
            <w:r>
              <w:rPr>
                <w:rFonts w:ascii="方正书宋_GBK" w:eastAsia="方正书宋_GBK"/>
              </w:rPr>
              <w:t>A06</w:t>
            </w:r>
          </w:p>
        </w:tc>
        <w:tc>
          <w:tcPr>
            <w:tcW w:w="261"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套</w:t>
            </w:r>
          </w:p>
        </w:tc>
        <w:tc>
          <w:tcPr>
            <w:tcW w:w="261" w:type="pct"/>
            <w:shd w:val="clear" w:color="auto" w:fill="auto"/>
            <w:vAlign w:val="center"/>
          </w:tcPr>
          <w:p>
            <w:pPr>
              <w:spacing w:line="300" w:lineRule="exact"/>
              <w:jc w:val="right"/>
              <w:rPr>
                <w:rFonts w:ascii="方正书宋_GBK" w:eastAsia="方正书宋_GBK"/>
              </w:rPr>
            </w:pPr>
            <w:r>
              <w:rPr>
                <w:rFonts w:ascii="方正书宋_GBK" w:eastAsia="方正书宋_GBK"/>
              </w:rPr>
              <w:t>200.00</w:t>
            </w:r>
          </w:p>
        </w:tc>
        <w:tc>
          <w:tcPr>
            <w:tcW w:w="290" w:type="pct"/>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30"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31" w:type="pct"/>
            <w:shd w:val="clear" w:color="auto" w:fill="auto"/>
            <w:vAlign w:val="center"/>
          </w:tcPr>
          <w:p>
            <w:pPr>
              <w:spacing w:line="300" w:lineRule="exact"/>
              <w:jc w:val="right"/>
              <w:rPr>
                <w:rFonts w:ascii="方正书宋_GBK" w:eastAsia="方正书宋_GBK"/>
              </w:rPr>
            </w:pPr>
          </w:p>
        </w:tc>
        <w:tc>
          <w:tcPr>
            <w:tcW w:w="317" w:type="pct"/>
            <w:shd w:val="clear" w:color="auto" w:fill="auto"/>
            <w:vAlign w:val="center"/>
          </w:tcPr>
          <w:p>
            <w:pPr>
              <w:spacing w:line="300" w:lineRule="exact"/>
              <w:jc w:val="right"/>
              <w:rPr>
                <w:rFonts w:ascii="方正书宋_GBK" w:eastAsia="方正书宋_GBK"/>
              </w:rPr>
            </w:pPr>
          </w:p>
        </w:tc>
      </w:tr>
      <w:bookmarkEnd w:id="3"/>
    </w:tbl>
    <w:p>
      <w:pPr>
        <w:spacing w:line="584" w:lineRule="exact"/>
        <w:jc w:val="left"/>
        <w:outlineLvl w:val="0"/>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廊坊市广阳区教育局（含所属单位）上年末固定资产金额为</w:t>
      </w:r>
      <w:r>
        <w:rPr>
          <w:rFonts w:ascii="Times New Roman" w:hAnsi="Times New Roman" w:eastAsia="仿宋_GB2312"/>
          <w:sz w:val="32"/>
          <w:szCs w:val="32"/>
        </w:rPr>
        <w:t>13472.09</w:t>
      </w:r>
      <w:r>
        <w:rPr>
          <w:rFonts w:hint="eastAsia" w:ascii="Times New Roman" w:hAnsi="Times New Roman" w:eastAsia="仿宋_GB2312"/>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编制部门：430廊坊市广阳区教育局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仿宋_GB2312" w:hAnsi="Times New Roman" w:eastAsia="仿宋_GB2312"/>
                <w:kern w:val="0"/>
                <w:sz w:val="22"/>
              </w:rPr>
            </w:pPr>
            <w:r>
              <w:rPr>
                <w:rFonts w:hint="eastAsia" w:ascii="仿宋_GB2312" w:hAnsi="Times New Roman" w:eastAsia="仿宋_GB2312"/>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13472.09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100270.2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6495.07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97629.2</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6369.12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103.34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 w:val="22"/>
              </w:rPr>
            </w:pPr>
            <w:r>
              <w:rPr>
                <w:rFonts w:hint="eastAsia" w:ascii="仿宋_GB2312" w:hAnsi="Times New Roman" w:eastAsia="仿宋_GB2312"/>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 w:val="22"/>
              </w:rPr>
            </w:pPr>
            <w:r>
              <w:rPr>
                <w:rFonts w:hint="eastAsia" w:ascii="仿宋_GB2312" w:hAnsi="Times New Roman" w:eastAsia="仿宋_GB2312"/>
                <w:sz w:val="22"/>
              </w:rPr>
              <w:t>6873.68</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18</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23A9"/>
    <w:rsid w:val="000053CC"/>
    <w:rsid w:val="00005A37"/>
    <w:rsid w:val="00037AF6"/>
    <w:rsid w:val="000410F2"/>
    <w:rsid w:val="0004565F"/>
    <w:rsid w:val="00063BBB"/>
    <w:rsid w:val="00072187"/>
    <w:rsid w:val="00075D5F"/>
    <w:rsid w:val="0008180F"/>
    <w:rsid w:val="00093DA3"/>
    <w:rsid w:val="000A2A0D"/>
    <w:rsid w:val="000B529B"/>
    <w:rsid w:val="000C24E6"/>
    <w:rsid w:val="000C3A19"/>
    <w:rsid w:val="000E4305"/>
    <w:rsid w:val="000F0D09"/>
    <w:rsid w:val="000F41B1"/>
    <w:rsid w:val="001245BB"/>
    <w:rsid w:val="001251A3"/>
    <w:rsid w:val="0015229A"/>
    <w:rsid w:val="00157D89"/>
    <w:rsid w:val="00160266"/>
    <w:rsid w:val="001643E8"/>
    <w:rsid w:val="00176C13"/>
    <w:rsid w:val="001919C4"/>
    <w:rsid w:val="0019723B"/>
    <w:rsid w:val="001A0943"/>
    <w:rsid w:val="001B5C1D"/>
    <w:rsid w:val="001C5C45"/>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025C"/>
    <w:rsid w:val="00325215"/>
    <w:rsid w:val="0033339C"/>
    <w:rsid w:val="00335660"/>
    <w:rsid w:val="003A087E"/>
    <w:rsid w:val="003B6D37"/>
    <w:rsid w:val="0040134D"/>
    <w:rsid w:val="00414BD3"/>
    <w:rsid w:val="00424943"/>
    <w:rsid w:val="0042727E"/>
    <w:rsid w:val="0043175C"/>
    <w:rsid w:val="00437296"/>
    <w:rsid w:val="00451590"/>
    <w:rsid w:val="00451871"/>
    <w:rsid w:val="004706DE"/>
    <w:rsid w:val="00472923"/>
    <w:rsid w:val="00477125"/>
    <w:rsid w:val="00486DCD"/>
    <w:rsid w:val="0049120C"/>
    <w:rsid w:val="004B0C3A"/>
    <w:rsid w:val="004C49A8"/>
    <w:rsid w:val="004C58D3"/>
    <w:rsid w:val="004D5788"/>
    <w:rsid w:val="004E3066"/>
    <w:rsid w:val="004E419C"/>
    <w:rsid w:val="004E4447"/>
    <w:rsid w:val="004E74CD"/>
    <w:rsid w:val="00524EFD"/>
    <w:rsid w:val="00526015"/>
    <w:rsid w:val="00572067"/>
    <w:rsid w:val="00573562"/>
    <w:rsid w:val="00590ECE"/>
    <w:rsid w:val="005C0E90"/>
    <w:rsid w:val="005D0C27"/>
    <w:rsid w:val="005D37CA"/>
    <w:rsid w:val="005F5714"/>
    <w:rsid w:val="005F7AE1"/>
    <w:rsid w:val="0060296B"/>
    <w:rsid w:val="00611D03"/>
    <w:rsid w:val="00614A29"/>
    <w:rsid w:val="00651BA2"/>
    <w:rsid w:val="00654FB9"/>
    <w:rsid w:val="00673D76"/>
    <w:rsid w:val="006854F0"/>
    <w:rsid w:val="006B1C4A"/>
    <w:rsid w:val="006B610D"/>
    <w:rsid w:val="006C1968"/>
    <w:rsid w:val="006C206A"/>
    <w:rsid w:val="006D644A"/>
    <w:rsid w:val="006E2F0E"/>
    <w:rsid w:val="006E49F5"/>
    <w:rsid w:val="007013C8"/>
    <w:rsid w:val="00721005"/>
    <w:rsid w:val="00727C84"/>
    <w:rsid w:val="0074338E"/>
    <w:rsid w:val="00753836"/>
    <w:rsid w:val="0075393C"/>
    <w:rsid w:val="00754592"/>
    <w:rsid w:val="00776C08"/>
    <w:rsid w:val="00790ABF"/>
    <w:rsid w:val="007B49AA"/>
    <w:rsid w:val="007C219A"/>
    <w:rsid w:val="007E1DA8"/>
    <w:rsid w:val="007E4B05"/>
    <w:rsid w:val="007F1335"/>
    <w:rsid w:val="007F5EAA"/>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21BA"/>
    <w:rsid w:val="00966C5C"/>
    <w:rsid w:val="009676A1"/>
    <w:rsid w:val="00973104"/>
    <w:rsid w:val="009842F6"/>
    <w:rsid w:val="00984E9A"/>
    <w:rsid w:val="00987B45"/>
    <w:rsid w:val="00995BF0"/>
    <w:rsid w:val="00996540"/>
    <w:rsid w:val="009A16D5"/>
    <w:rsid w:val="009A353D"/>
    <w:rsid w:val="009A6B14"/>
    <w:rsid w:val="009B0B77"/>
    <w:rsid w:val="009B0BD6"/>
    <w:rsid w:val="009B511E"/>
    <w:rsid w:val="009B5215"/>
    <w:rsid w:val="009C6C86"/>
    <w:rsid w:val="009D37D3"/>
    <w:rsid w:val="009D3807"/>
    <w:rsid w:val="00A16E6C"/>
    <w:rsid w:val="00A40F60"/>
    <w:rsid w:val="00A44E3D"/>
    <w:rsid w:val="00A72D2E"/>
    <w:rsid w:val="00A74447"/>
    <w:rsid w:val="00A74CE5"/>
    <w:rsid w:val="00A77500"/>
    <w:rsid w:val="00A82088"/>
    <w:rsid w:val="00A8536F"/>
    <w:rsid w:val="00A911E7"/>
    <w:rsid w:val="00A939D9"/>
    <w:rsid w:val="00AB77AA"/>
    <w:rsid w:val="00AC0E98"/>
    <w:rsid w:val="00AC4748"/>
    <w:rsid w:val="00AD5259"/>
    <w:rsid w:val="00B01D36"/>
    <w:rsid w:val="00B078CD"/>
    <w:rsid w:val="00B12CD3"/>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D459F"/>
    <w:rsid w:val="00BE356A"/>
    <w:rsid w:val="00BF3D52"/>
    <w:rsid w:val="00C005B2"/>
    <w:rsid w:val="00C01630"/>
    <w:rsid w:val="00C1565C"/>
    <w:rsid w:val="00C21E0F"/>
    <w:rsid w:val="00C362CA"/>
    <w:rsid w:val="00C37A99"/>
    <w:rsid w:val="00C772C1"/>
    <w:rsid w:val="00C93D22"/>
    <w:rsid w:val="00C9766A"/>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06569"/>
    <w:rsid w:val="00E167C7"/>
    <w:rsid w:val="00E440CF"/>
    <w:rsid w:val="00E55B78"/>
    <w:rsid w:val="00E55F2D"/>
    <w:rsid w:val="00E76361"/>
    <w:rsid w:val="00E84020"/>
    <w:rsid w:val="00E849BA"/>
    <w:rsid w:val="00E95F08"/>
    <w:rsid w:val="00EB7A80"/>
    <w:rsid w:val="00EC47F6"/>
    <w:rsid w:val="00EE4821"/>
    <w:rsid w:val="00EE6D6D"/>
    <w:rsid w:val="00EF08C9"/>
    <w:rsid w:val="00EF535E"/>
    <w:rsid w:val="00F15CF0"/>
    <w:rsid w:val="00F471F7"/>
    <w:rsid w:val="00F66032"/>
    <w:rsid w:val="00F73A3E"/>
    <w:rsid w:val="00F77349"/>
    <w:rsid w:val="00F83B96"/>
    <w:rsid w:val="00F8441D"/>
    <w:rsid w:val="00F87C1E"/>
    <w:rsid w:val="00F958C2"/>
    <w:rsid w:val="00FA740E"/>
    <w:rsid w:val="00FC06C7"/>
    <w:rsid w:val="00FD5DB4"/>
    <w:rsid w:val="00FE1724"/>
    <w:rsid w:val="00FE465F"/>
    <w:rsid w:val="00FE753C"/>
    <w:rsid w:val="00FF2346"/>
    <w:rsid w:val="2E9B7BDC"/>
    <w:rsid w:val="63AB1E01"/>
    <w:rsid w:val="68494F11"/>
    <w:rsid w:val="71CC6B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99"/>
    <w:rPr>
      <w:rFonts w:ascii="Times New Roman" w:hAnsi="Times New Roman"/>
      <w:szCs w:val="24"/>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qFormat/>
    <w:uiPriority w:val="99"/>
    <w:pPr>
      <w:ind w:left="420" w:leftChars="200"/>
    </w:pPr>
    <w:rPr>
      <w:rFonts w:ascii="Times New Roman" w:hAnsi="Times New Roman"/>
      <w:szCs w:val="24"/>
    </w:rPr>
  </w:style>
  <w:style w:type="character" w:styleId="10">
    <w:name w:val="footnote reference"/>
    <w:basedOn w:val="9"/>
    <w:semiHidden/>
    <w:qFormat/>
    <w:uiPriority w:val="99"/>
    <w:rPr>
      <w:rFonts w:cs="Times New Roman"/>
      <w:vertAlign w:val="superscript"/>
    </w:rPr>
  </w:style>
  <w:style w:type="character" w:customStyle="1" w:styleId="11">
    <w:name w:val="页眉 Char"/>
    <w:basedOn w:val="9"/>
    <w:link w:val="4"/>
    <w:qFormat/>
    <w:locked/>
    <w:uiPriority w:val="99"/>
    <w:rPr>
      <w:rFonts w:ascii="Times New Roman" w:hAnsi="Times New Roman" w:eastAsia="宋体" w:cs="Times New Roman"/>
      <w:sz w:val="18"/>
      <w:szCs w:val="18"/>
    </w:rPr>
  </w:style>
  <w:style w:type="character" w:customStyle="1" w:styleId="12">
    <w:name w:val="页脚 Char"/>
    <w:basedOn w:val="9"/>
    <w:link w:val="3"/>
    <w:qFormat/>
    <w:locked/>
    <w:uiPriority w:val="99"/>
    <w:rPr>
      <w:rFonts w:ascii="Times New Roman" w:hAnsi="Times New Roman" w:eastAsia="宋体" w:cs="Times New Roman"/>
      <w:sz w:val="18"/>
      <w:szCs w:val="18"/>
    </w:rPr>
  </w:style>
  <w:style w:type="character" w:customStyle="1" w:styleId="13">
    <w:name w:val="批注框文本 Char"/>
    <w:basedOn w:val="9"/>
    <w:link w:val="2"/>
    <w:semiHidden/>
    <w:qFormat/>
    <w:locked/>
    <w:uiPriority w:val="99"/>
    <w:rPr>
      <w:rFonts w:cs="Times New Roman"/>
      <w:sz w:val="18"/>
      <w:szCs w:val="18"/>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1676</Words>
  <Characters>9555</Characters>
  <Lines>79</Lines>
  <Paragraphs>22</Paragraphs>
  <TotalTime>1</TotalTime>
  <ScaleCrop>false</ScaleCrop>
  <LinksUpToDate>false</LinksUpToDate>
  <CharactersWithSpaces>11209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2024-01-17T09:42:13Z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D17994C0047E4503A2FB5E55E4521E58</vt:lpwstr>
  </property>
</Properties>
</file>