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distribute"/>
        <w:rPr>
          <w:rFonts w:ascii="Times New Roman" w:hAnsi="Times New Roman" w:eastAsia="仿宋_GB2312" w:cs="Times New Roman"/>
          <w:sz w:val="44"/>
          <w:szCs w:val="44"/>
        </w:rPr>
      </w:pPr>
    </w:p>
    <w:p>
      <w:pPr>
        <w:spacing w:line="584" w:lineRule="exact"/>
        <w:ind w:firstLine="880" w:firstLineChars="200"/>
        <w:jc w:val="center"/>
        <w:rPr>
          <w:rFonts w:ascii="方正小标宋简体" w:hAnsi="Times New Roman" w:eastAsia="方正小标宋简体" w:cs="Times New Roman"/>
          <w:sz w:val="44"/>
          <w:szCs w:val="44"/>
        </w:rPr>
      </w:pPr>
      <w:bookmarkStart w:id="3" w:name="_GoBack"/>
      <w:r>
        <w:rPr>
          <w:rFonts w:hint="eastAsia" w:ascii="方正小标宋简体" w:hAnsi="Times New Roman" w:eastAsia="方正小标宋简体" w:cs="Times New Roman"/>
          <w:sz w:val="44"/>
          <w:szCs w:val="44"/>
        </w:rPr>
        <w:t>廊坊市广阳区司法局2019年部门预算信息公开</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（一）贯彻落实国家有关司法工作的法律、法规及司法行政工作方针政策；制订全区司法行政系统规章、制度，编制全区司法行政工作中期规划、年度计划并组织实施。</w:t>
      </w:r>
    </w:p>
    <w:p>
      <w:pPr>
        <w:snapToGrid w:val="0"/>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（二）承担全面依法治区重大问题的政策研究。组织协调有关方面提出全面依法治区中长期规划建议，负责有关重大决策部署督察工作。</w:t>
      </w:r>
    </w:p>
    <w:p>
      <w:pPr>
        <w:snapToGrid w:val="0"/>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（三）负责区政府各部门、各乡镇（街道）规范性文件的备案审查工作。负责对区政府政策措施、规范性文件和合同协议的合法性审核工作；承办区政府交办的涉法事务；负责区政府规章的编纂工作。</w:t>
      </w:r>
    </w:p>
    <w:p>
      <w:pPr>
        <w:snapToGrid w:val="0"/>
        <w:spacing w:line="600" w:lineRule="exact"/>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四）承担统筹推进全区法治政府建设的责任。指导、监督区政府各部门、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（五）承担统筹规划全区法治社会建设的责任。负责拟订全区法治宣传教育规划，组织实施普法宣传工作；推动全区人民参与和促进法治建设；指导全区依法治理和法治创建工作。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（六）负责全区社区矫正工作；负责全区刑满释放人员帮教安置工作。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七）负责制定全区公共法律服务体系建设规划并指导实施，统筹和布局城乡、区域法律服务资源。负责全区各乡镇（街道）司法所建设和人民调解工作、基层法律服务、人民陪审员选任工作、人民监督员选任工作、指导全区人民调解员协会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（八）指导、监督全区司法鉴定工作、法律援助工作、村居法律顾问工作、全区律师工作和法律服务所管理工作。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(九)管理和指导全区司法行政系统的队伍建设和思想政治工作；规划、协调、指导全区法治人才队伍建设相关工作。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（十）负责机关与下属单位的经费、国有资产、警车、物资、财务、装备、设施、场所等保障与监督工作。</w:t>
      </w:r>
    </w:p>
    <w:p>
      <w:pPr>
        <w:snapToGrid w:val="0"/>
        <w:spacing w:line="600" w:lineRule="exact"/>
        <w:ind w:firstLine="480" w:firstLineChars="15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(十一) 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仿宋_GB2312" w:hAnsi="仿宋" w:eastAsia="仿宋_GB2312" w:cs="宋体"/>
                <w:kern w:val="0"/>
                <w:szCs w:val="21"/>
              </w:rPr>
            </w:pPr>
            <w:r>
              <w:rPr>
                <w:rFonts w:hint="eastAsia" w:ascii="仿宋_GB2312" w:hAnsi="仿宋" w:eastAsia="仿宋_GB2312" w:cs="宋体"/>
                <w:kern w:val="0"/>
                <w:szCs w:val="21"/>
              </w:rPr>
              <w:t>廊坊市广阳区司法局</w:t>
            </w:r>
          </w:p>
        </w:tc>
        <w:tc>
          <w:tcPr>
            <w:tcW w:w="1134" w:type="dxa"/>
            <w:shd w:val="clear" w:color="auto" w:fill="auto"/>
            <w:vAlign w:val="center"/>
          </w:tcPr>
          <w:p>
            <w:pPr>
              <w:widowControl/>
              <w:spacing w:line="225" w:lineRule="atLeast"/>
              <w:jc w:val="center"/>
              <w:rPr>
                <w:rFonts w:ascii="仿宋_GB2312" w:hAnsi="仿宋" w:eastAsia="仿宋_GB2312" w:cs="宋体"/>
                <w:kern w:val="0"/>
                <w:szCs w:val="21"/>
              </w:rPr>
            </w:pPr>
            <w:r>
              <w:rPr>
                <w:rFonts w:hint="eastAsia" w:ascii="仿宋_GB2312" w:hAnsi="仿宋" w:eastAsia="仿宋_GB2312" w:cs="宋体"/>
                <w:kern w:val="0"/>
                <w:szCs w:val="21"/>
              </w:rPr>
              <w:t>行政单位</w:t>
            </w:r>
          </w:p>
        </w:tc>
        <w:tc>
          <w:tcPr>
            <w:tcW w:w="1276" w:type="dxa"/>
            <w:shd w:val="clear" w:color="auto" w:fill="auto"/>
            <w:vAlign w:val="center"/>
          </w:tcPr>
          <w:p>
            <w:pPr>
              <w:widowControl/>
              <w:spacing w:line="225" w:lineRule="atLeast"/>
              <w:jc w:val="center"/>
              <w:rPr>
                <w:rFonts w:ascii="仿宋_GB2312" w:hAnsi="仿宋" w:eastAsia="仿宋_GB2312" w:cs="宋体"/>
                <w:kern w:val="0"/>
                <w:szCs w:val="21"/>
              </w:rPr>
            </w:pPr>
            <w:r>
              <w:rPr>
                <w:rFonts w:hint="eastAsia" w:ascii="仿宋_GB2312" w:hAnsi="仿宋" w:eastAsia="仿宋_GB2312" w:cs="宋体"/>
                <w:kern w:val="0"/>
                <w:szCs w:val="21"/>
              </w:rPr>
              <w:t>正科级</w:t>
            </w:r>
          </w:p>
        </w:tc>
        <w:tc>
          <w:tcPr>
            <w:tcW w:w="2902" w:type="dxa"/>
            <w:shd w:val="clear" w:color="auto" w:fill="auto"/>
            <w:vAlign w:val="center"/>
          </w:tcPr>
          <w:p>
            <w:pPr>
              <w:widowControl/>
              <w:spacing w:line="225" w:lineRule="atLeast"/>
              <w:jc w:val="center"/>
              <w:rPr>
                <w:rFonts w:ascii="仿宋_GB2312" w:hAnsi="仿宋" w:eastAsia="仿宋_GB2312" w:cs="宋体"/>
                <w:kern w:val="0"/>
                <w:szCs w:val="21"/>
              </w:rPr>
            </w:pPr>
            <w:r>
              <w:rPr>
                <w:rFonts w:hint="eastAsia" w:ascii="仿宋_GB2312" w:hAnsi="仿宋" w:eastAsia="仿宋_GB2312" w:cs="宋体"/>
                <w:kern w:val="0"/>
                <w:szCs w:val="21"/>
              </w:rPr>
              <w:t>财政拨款（行政）</w:t>
            </w:r>
          </w:p>
        </w:tc>
      </w:tr>
    </w:tbl>
    <w:p>
      <w:pPr>
        <w:spacing w:line="584" w:lineRule="exact"/>
        <w:ind w:firstLine="627" w:firstLineChars="196"/>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widowControl/>
        <w:spacing w:line="360" w:lineRule="atLeast"/>
        <w:ind w:firstLine="640" w:firstLineChars="200"/>
        <w:jc w:val="left"/>
        <w:rPr>
          <w:rFonts w:ascii="仿宋_GB2312" w:hAnsi="Times New Roman" w:eastAsia="仿宋_GB2312" w:cs="Times New Roman"/>
          <w:sz w:val="32"/>
          <w:szCs w:val="32"/>
        </w:rPr>
      </w:pPr>
      <w:r>
        <w:rPr>
          <w:rFonts w:hint="eastAsia" w:ascii="仿宋_GB2312" w:hAnsi="仿宋" w:eastAsia="仿宋_GB2312" w:cs="宋体"/>
          <w:color w:val="000000"/>
          <w:kern w:val="0"/>
          <w:sz w:val="32"/>
          <w:szCs w:val="32"/>
        </w:rPr>
        <w:t>2019年预算收入576.17万元，其中：一般公共预算收入576.17万元，</w:t>
      </w:r>
      <w:r>
        <w:rPr>
          <w:rFonts w:ascii="Times New Roman" w:hAnsi="Times New Roman" w:eastAsia="仿宋_GB2312" w:cs="Times New Roman"/>
          <w:sz w:val="32"/>
          <w:szCs w:val="32"/>
        </w:rPr>
        <w:t>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仿宋_GB2312" w:hAnsi="Times New Roman" w:eastAsia="仿宋_GB2312" w:cs="Times New Roman"/>
          <w:sz w:val="32"/>
          <w:szCs w:val="32"/>
        </w:rPr>
        <w:t>。</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2、支出说明</w:t>
      </w:r>
    </w:p>
    <w:p>
      <w:pPr>
        <w:ind w:firstLine="640"/>
        <w:rPr>
          <w:rFonts w:ascii="仿宋_GB2312" w:hAnsi="仿宋" w:eastAsia="仿宋_GB2312" w:cs="宋体"/>
          <w:color w:val="000000"/>
          <w:kern w:val="0"/>
          <w:sz w:val="32"/>
          <w:szCs w:val="32"/>
        </w:rPr>
      </w:pPr>
      <w:r>
        <w:rPr>
          <w:rFonts w:hint="eastAsia" w:ascii="仿宋_GB2312" w:hAnsi="Times New Roman" w:eastAsia="仿宋_GB2312" w:cs="Times New Roman"/>
          <w:sz w:val="32"/>
          <w:szCs w:val="32"/>
        </w:rPr>
        <w:t>收支预算总表支出栏、基本支出表、项目支出表按经济分类和支出功能分类科目编制，反映廊坊市广阳区司法局2019年度部门预算中支出预算的总体情况。2019年支出预算576.17万元，其中基本支出572.57万元，包括人员经费535.68万元和日常公用经费36.89万元；项目支出3.6万元，包括本级支出3.6万元</w:t>
      </w:r>
      <w:r>
        <w:rPr>
          <w:rFonts w:hint="eastAsia" w:ascii="仿宋_GB2312" w:hAnsi="仿宋" w:eastAsia="仿宋_GB2312" w:cs="宋体"/>
          <w:color w:val="000000"/>
          <w:kern w:val="0"/>
          <w:sz w:val="32"/>
          <w:szCs w:val="32"/>
        </w:rPr>
        <w:t xml:space="preserve">主要为司法运行费用支出等。 </w:t>
      </w:r>
    </w:p>
    <w:p>
      <w:pPr>
        <w:spacing w:line="584" w:lineRule="exact"/>
        <w:ind w:firstLine="640"/>
        <w:rPr>
          <w:rFonts w:ascii="仿宋_GB2312" w:hAnsi="Times New Roman" w:eastAsia="仿宋_GB2312" w:cs="Times New Roman"/>
          <w:b/>
          <w:sz w:val="32"/>
          <w:szCs w:val="32"/>
        </w:rPr>
      </w:pPr>
      <w:r>
        <w:rPr>
          <w:rFonts w:hint="eastAsia" w:ascii="仿宋_GB2312"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hint="eastAsia" w:ascii="仿宋_GB2312" w:hAnsi="仿宋" w:eastAsia="仿宋_GB2312" w:cs="宋体"/>
          <w:color w:val="000000"/>
          <w:kern w:val="0"/>
          <w:sz w:val="32"/>
          <w:szCs w:val="32"/>
        </w:rPr>
        <w:t>2019年预算收支安排576.17万元，较2018年预算增加109.83万元，</w:t>
      </w:r>
      <w:r>
        <w:rPr>
          <w:rFonts w:ascii="Times New Roman" w:hAnsi="Times New Roman" w:eastAsia="仿宋_GB2312" w:cs="Times New Roman"/>
          <w:sz w:val="32"/>
          <w:szCs w:val="32"/>
        </w:rPr>
        <w:t>其中：基本支出增加</w:t>
      </w:r>
      <w:r>
        <w:rPr>
          <w:rFonts w:hint="eastAsia" w:ascii="Times New Roman" w:hAnsi="Times New Roman" w:eastAsia="仿宋_GB2312" w:cs="Times New Roman"/>
          <w:sz w:val="32"/>
          <w:szCs w:val="32"/>
        </w:rPr>
        <w:t>170.06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员经费支出；项目支出减少</w:t>
      </w:r>
      <w:r>
        <w:rPr>
          <w:rFonts w:hint="eastAsia" w:ascii="Times New Roman" w:hAnsi="Times New Roman" w:eastAsia="仿宋_GB2312" w:cs="Times New Roman"/>
          <w:sz w:val="32"/>
          <w:szCs w:val="32"/>
        </w:rPr>
        <w:t>60.23</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普法宣传经费、社区矫正经费、政法公检法司转移支付资金</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_GB2312" w:hAnsi="仿宋" w:eastAsia="仿宋_GB2312" w:cs="宋体"/>
          <w:color w:val="000000"/>
          <w:kern w:val="0"/>
          <w:sz w:val="32"/>
          <w:szCs w:val="32"/>
        </w:rPr>
      </w:pPr>
      <w:r>
        <w:rPr>
          <w:rFonts w:hint="eastAsia" w:ascii="仿宋_GB2312" w:hAnsi="Times New Roman" w:eastAsia="仿宋_GB2312" w:cs="Times New Roman"/>
          <w:sz w:val="32"/>
          <w:szCs w:val="32"/>
        </w:rPr>
        <w:t>2019年，我部门机关运行经费共计安排0.93万元，</w:t>
      </w:r>
      <w:r>
        <w:rPr>
          <w:rFonts w:hint="eastAsia" w:ascii="仿宋_GB2312" w:hAnsi="仿宋" w:eastAsia="仿宋_GB2312" w:cs="宋体"/>
          <w:color w:val="000000"/>
          <w:kern w:val="0"/>
          <w:sz w:val="32"/>
          <w:szCs w:val="32"/>
        </w:rPr>
        <w:t>主要用于机关办公区的日常维修、办公用房水电费、办公用房取暖费、办公用房物业管理费等日常运行支出。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仿宋_GB2312" w:hAnsi="黑体" w:eastAsia="仿宋_GB2312" w:cs="Times New Roman"/>
          <w:sz w:val="32"/>
          <w:szCs w:val="32"/>
        </w:rPr>
      </w:pPr>
      <w:r>
        <w:rPr>
          <w:rFonts w:hint="eastAsia" w:ascii="仿宋_GB2312" w:hAnsi="黑体" w:eastAsia="仿宋_GB2312" w:cs="Times New Roman"/>
          <w:sz w:val="32"/>
          <w:szCs w:val="32"/>
        </w:rPr>
        <w:t>四、财政拨款“三公”经费预算情况及增减变化原因</w:t>
      </w:r>
    </w:p>
    <w:p>
      <w:pPr>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2019年，我部门财政拨款“三公”经费预算安排8.74万元。其中，因公出国（境）费0万元；公务用车购置及运维费8.74万元（其中：公务用车购置费为0万元，公务用车运维费8.74万元)；公务接待费0万元。与2018年相比增加1.84万元，其中，公务用车购置及运维费增加1.84万元（其中：公务用车购置0万元，公务用车运维费增加1.84万元)，主要原因是机关职能业务大量增加，所以公车运行经费有所增加；公务接待费0万元，与2018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hint="eastAsia"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84" w:lineRule="exact"/>
        <w:ind w:firstLine="640" w:firstLineChars="200"/>
        <w:jc w:val="left"/>
        <w:rPr>
          <w:rFonts w:hint="eastAsia" w:ascii="Times New Roman" w:hAnsi="Times New Roman" w:eastAsia="楷体_GB2312" w:cs="Times New Roman"/>
          <w:b/>
          <w:sz w:val="32"/>
          <w:szCs w:val="32"/>
        </w:rPr>
      </w:pPr>
      <w:r>
        <w:rPr>
          <w:rFonts w:hint="eastAsia" w:ascii="仿宋_GB2312" w:eastAsia="仿宋_GB2312"/>
          <w:sz w:val="32"/>
          <w:szCs w:val="32"/>
        </w:rPr>
        <w:t>2019年全区司法行政工作将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p>
    <w:p>
      <w:pPr>
        <w:ind w:firstLine="645"/>
        <w:jc w:val="left"/>
        <w:rPr>
          <w:rFonts w:hint="eastAsia" w:ascii="楷体_GB2312" w:eastAsia="楷体_GB2312"/>
          <w:b/>
          <w:sz w:val="32"/>
          <w:szCs w:val="32"/>
        </w:rPr>
      </w:pPr>
      <w:r>
        <w:rPr>
          <w:rFonts w:hint="eastAsia" w:ascii="楷体_GB2312" w:eastAsia="楷体_GB2312"/>
          <w:b/>
          <w:sz w:val="32"/>
          <w:szCs w:val="32"/>
        </w:rPr>
        <w:t>职责分类绩效目标：</w:t>
      </w:r>
    </w:p>
    <w:p>
      <w:pPr>
        <w:ind w:firstLine="645"/>
        <w:jc w:val="left"/>
        <w:rPr>
          <w:rFonts w:hint="eastAsia" w:ascii="仿宋_GB2312" w:eastAsia="仿宋_GB2312"/>
          <w:sz w:val="32"/>
          <w:szCs w:val="32"/>
        </w:rPr>
      </w:pPr>
      <w:r>
        <w:rPr>
          <w:rFonts w:hint="eastAsia" w:ascii="仿宋_GB2312" w:eastAsia="仿宋_GB2312"/>
          <w:sz w:val="32"/>
          <w:szCs w:val="32"/>
        </w:rPr>
        <w:t>（一）贯彻落实国家有关司法工作的法律、法规及司法行政工作方针政策；制订全区司法行政系统规章、制度，编制全区司法行政工作中期规划、年度计划并组织实施。</w:t>
      </w:r>
    </w:p>
    <w:p>
      <w:pPr>
        <w:ind w:firstLine="645"/>
        <w:jc w:val="left"/>
        <w:rPr>
          <w:rFonts w:hint="eastAsia" w:ascii="仿宋_GB2312" w:eastAsia="仿宋_GB2312"/>
          <w:sz w:val="32"/>
          <w:szCs w:val="32"/>
        </w:rPr>
      </w:pPr>
      <w:r>
        <w:rPr>
          <w:rFonts w:hint="eastAsia" w:ascii="仿宋_GB2312" w:eastAsia="仿宋_GB2312"/>
          <w:sz w:val="32"/>
          <w:szCs w:val="32"/>
        </w:rPr>
        <w:t>（二）制订全区法制宣传、普及法律常识的规划并组织实施，指导全区各单位、各部门、各行业法制宣传、依法治理工作。</w:t>
      </w:r>
    </w:p>
    <w:p>
      <w:pPr>
        <w:ind w:firstLine="645"/>
        <w:jc w:val="left"/>
        <w:rPr>
          <w:rFonts w:hint="eastAsia" w:ascii="仿宋_GB2312" w:eastAsia="仿宋_GB2312"/>
          <w:sz w:val="32"/>
          <w:szCs w:val="32"/>
        </w:rPr>
      </w:pPr>
      <w:r>
        <w:rPr>
          <w:rFonts w:hint="eastAsia" w:ascii="仿宋_GB2312" w:eastAsia="仿宋_GB2312"/>
          <w:sz w:val="32"/>
          <w:szCs w:val="32"/>
        </w:rPr>
        <w:t>（三）负责全区社区矫正工作。</w:t>
      </w:r>
    </w:p>
    <w:p>
      <w:pPr>
        <w:ind w:firstLine="645"/>
        <w:jc w:val="left"/>
        <w:rPr>
          <w:rFonts w:hint="eastAsia" w:ascii="仿宋_GB2312" w:eastAsia="仿宋_GB2312"/>
          <w:sz w:val="32"/>
          <w:szCs w:val="32"/>
        </w:rPr>
      </w:pPr>
      <w:r>
        <w:rPr>
          <w:rFonts w:hint="eastAsia" w:ascii="仿宋_GB2312" w:eastAsia="仿宋_GB2312"/>
          <w:sz w:val="32"/>
          <w:szCs w:val="32"/>
        </w:rPr>
        <w:t>（四）指导、监督全区律师工作和法律顾问工作，对全区法律服务所进行管理。</w:t>
      </w:r>
    </w:p>
    <w:p>
      <w:pPr>
        <w:ind w:firstLine="645"/>
        <w:jc w:val="left"/>
        <w:rPr>
          <w:rFonts w:hint="eastAsia" w:ascii="仿宋_GB2312" w:eastAsia="仿宋_GB2312"/>
          <w:sz w:val="32"/>
          <w:szCs w:val="32"/>
        </w:rPr>
      </w:pPr>
      <w:r>
        <w:rPr>
          <w:rFonts w:hint="eastAsia" w:ascii="仿宋_GB2312" w:eastAsia="仿宋_GB2312"/>
          <w:sz w:val="32"/>
          <w:szCs w:val="32"/>
        </w:rPr>
        <w:t>（五）指导、监督各乡镇（街办处）司法所、法律服务所建设和人民调解、基层法律服务和安置帮教工作；指导全区人民调解员协会工作。</w:t>
      </w:r>
    </w:p>
    <w:p>
      <w:pPr>
        <w:ind w:firstLine="645"/>
        <w:jc w:val="left"/>
        <w:rPr>
          <w:rFonts w:hint="eastAsia" w:ascii="仿宋_GB2312" w:eastAsia="仿宋_GB2312"/>
          <w:sz w:val="32"/>
          <w:szCs w:val="32"/>
        </w:rPr>
      </w:pPr>
      <w:r>
        <w:rPr>
          <w:rFonts w:hint="eastAsia" w:ascii="仿宋_GB2312" w:eastAsia="仿宋_GB2312"/>
          <w:sz w:val="32"/>
          <w:szCs w:val="32"/>
        </w:rPr>
        <w:t>（六）监督管理全区的法律援助工作。</w:t>
      </w:r>
    </w:p>
    <w:p>
      <w:pPr>
        <w:ind w:firstLine="645"/>
        <w:jc w:val="left"/>
        <w:rPr>
          <w:rFonts w:hint="eastAsia" w:ascii="仿宋_GB2312" w:eastAsia="仿宋_GB2312"/>
          <w:sz w:val="32"/>
          <w:szCs w:val="32"/>
        </w:rPr>
      </w:pPr>
      <w:r>
        <w:rPr>
          <w:rFonts w:hint="eastAsia" w:ascii="仿宋_GB2312" w:eastAsia="仿宋_GB2312"/>
          <w:sz w:val="32"/>
          <w:szCs w:val="32"/>
        </w:rPr>
        <w:t>（七）负责机关和下属单位的经费、国有资产进行管理和监督。</w:t>
      </w:r>
    </w:p>
    <w:p>
      <w:pPr>
        <w:ind w:firstLine="645"/>
        <w:jc w:val="left"/>
        <w:rPr>
          <w:rFonts w:hint="eastAsia" w:ascii="仿宋_GB2312" w:eastAsia="仿宋_GB2312"/>
          <w:sz w:val="32"/>
          <w:szCs w:val="32"/>
        </w:rPr>
      </w:pPr>
      <w:r>
        <w:rPr>
          <w:rFonts w:hint="eastAsia" w:ascii="仿宋_GB2312" w:eastAsia="仿宋_GB2312"/>
          <w:sz w:val="32"/>
          <w:szCs w:val="32"/>
        </w:rPr>
        <w:t>（八）指导、监督全区司法鉴定人和司法鉴定机构工作。</w:t>
      </w:r>
    </w:p>
    <w:p>
      <w:pPr>
        <w:ind w:firstLine="645"/>
        <w:jc w:val="left"/>
        <w:rPr>
          <w:rFonts w:hint="eastAsia" w:ascii="仿宋_GB2312" w:eastAsia="仿宋_GB2312"/>
          <w:sz w:val="32"/>
          <w:szCs w:val="32"/>
        </w:rPr>
      </w:pPr>
      <w:r>
        <w:rPr>
          <w:rFonts w:hint="eastAsia" w:ascii="仿宋_GB2312" w:eastAsia="仿宋_GB2312"/>
          <w:sz w:val="32"/>
          <w:szCs w:val="32"/>
        </w:rPr>
        <w:t>（九）管理和指导全区司法行政系统的队伍建设和思想政治工作；负责全区司法行政系统警务管理和警务督察工作。</w:t>
      </w:r>
    </w:p>
    <w:p>
      <w:pPr>
        <w:ind w:firstLine="645"/>
        <w:jc w:val="left"/>
        <w:rPr>
          <w:rFonts w:hint="eastAsia" w:ascii="仿宋_GB2312" w:eastAsia="仿宋_GB2312"/>
          <w:sz w:val="32"/>
          <w:szCs w:val="32"/>
        </w:rPr>
      </w:pPr>
      <w:r>
        <w:rPr>
          <w:rFonts w:hint="eastAsia" w:ascii="仿宋_GB2312" w:eastAsia="仿宋_GB2312"/>
          <w:sz w:val="32"/>
          <w:szCs w:val="32"/>
        </w:rPr>
        <w:t>（十）承担区政府和上级机关交办的其他事项。</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r>
        <w:rPr>
          <w:rFonts w:ascii="Times New Roman" w:hAnsi="Times New Roman" w:eastAsia="仿宋_GB2312" w:cs="Times New Roman"/>
          <w:b/>
          <w:sz w:val="32"/>
        </w:rPr>
        <w:t>部门职责-工作活动绩效目标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sz w:val="24"/>
              </w:rPr>
            </w:pPr>
            <w:r>
              <w:rPr>
                <w:rFonts w:hint="eastAsia" w:ascii="仿宋_GB2312" w:eastAsia="仿宋_GB2312"/>
                <w:sz w:val="24"/>
              </w:rPr>
              <w:t>375廊坊市广阳区司法局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hint="eastAsia" w:ascii="仿宋_GB2312" w:eastAsia="仿宋_GB2312"/>
              </w:rPr>
            </w:pPr>
          </w:p>
        </w:tc>
        <w:tc>
          <w:tcPr>
            <w:tcW w:w="1276" w:type="dxa"/>
            <w:vMerge w:val="continue"/>
            <w:shd w:val="clear" w:color="auto" w:fill="auto"/>
            <w:vAlign w:val="center"/>
          </w:tcPr>
          <w:p>
            <w:pPr>
              <w:spacing w:line="300" w:lineRule="exact"/>
              <w:jc w:val="left"/>
              <w:outlineLvl w:val="0"/>
              <w:rPr>
                <w:rFonts w:hint="eastAsia" w:ascii="仿宋_GB2312" w:eastAsia="仿宋_GB2312"/>
              </w:rPr>
            </w:pPr>
          </w:p>
        </w:tc>
        <w:tc>
          <w:tcPr>
            <w:tcW w:w="2976" w:type="dxa"/>
            <w:vMerge w:val="continue"/>
            <w:shd w:val="clear" w:color="auto" w:fill="auto"/>
            <w:vAlign w:val="center"/>
          </w:tcPr>
          <w:p>
            <w:pPr>
              <w:spacing w:line="300" w:lineRule="exact"/>
              <w:jc w:val="left"/>
              <w:outlineLvl w:val="0"/>
              <w:rPr>
                <w:rFonts w:hint="eastAsia" w:ascii="仿宋_GB2312" w:eastAsia="仿宋_GB2312"/>
              </w:rPr>
            </w:pPr>
          </w:p>
        </w:tc>
        <w:tc>
          <w:tcPr>
            <w:tcW w:w="2976" w:type="dxa"/>
            <w:vMerge w:val="continue"/>
            <w:shd w:val="clear" w:color="auto" w:fill="auto"/>
            <w:vAlign w:val="center"/>
          </w:tcPr>
          <w:p>
            <w:pPr>
              <w:spacing w:line="300" w:lineRule="exact"/>
              <w:jc w:val="left"/>
              <w:outlineLvl w:val="0"/>
              <w:rPr>
                <w:rFonts w:hint="eastAsia" w:ascii="仿宋_GB2312" w:eastAsia="仿宋_GB2312"/>
              </w:rPr>
            </w:pPr>
          </w:p>
        </w:tc>
        <w:tc>
          <w:tcPr>
            <w:tcW w:w="1417" w:type="dxa"/>
            <w:vMerge w:val="continue"/>
            <w:shd w:val="clear" w:color="auto" w:fill="auto"/>
            <w:vAlign w:val="center"/>
          </w:tcPr>
          <w:p>
            <w:pPr>
              <w:spacing w:line="300" w:lineRule="exact"/>
              <w:jc w:val="left"/>
              <w:outlineLvl w:val="0"/>
              <w:rPr>
                <w:rFonts w:hint="eastAsia" w:ascii="仿宋_GB2312" w:eastAsia="仿宋_GB2312"/>
              </w:rPr>
            </w:pPr>
          </w:p>
        </w:tc>
        <w:tc>
          <w:tcPr>
            <w:tcW w:w="737" w:type="dxa"/>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hint="eastAsia"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一、司法行政管理</w:t>
            </w:r>
          </w:p>
        </w:tc>
        <w:tc>
          <w:tcPr>
            <w:tcW w:w="1276"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3.60</w:t>
            </w:r>
          </w:p>
        </w:tc>
        <w:tc>
          <w:tcPr>
            <w:tcW w:w="2976"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贯彻落实国家司法行政工作方针政策；拟订有关法规规章，制定全区司法行政中长期规划并组织实施。</w:t>
            </w:r>
          </w:p>
        </w:tc>
        <w:tc>
          <w:tcPr>
            <w:tcW w:w="2976"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提升全区司法行政管理水平</w:t>
            </w:r>
          </w:p>
        </w:tc>
        <w:tc>
          <w:tcPr>
            <w:tcW w:w="1417" w:type="dxa"/>
            <w:shd w:val="clear" w:color="auto" w:fill="auto"/>
            <w:vAlign w:val="center"/>
          </w:tcPr>
          <w:p>
            <w:pPr>
              <w:spacing w:line="300" w:lineRule="exact"/>
              <w:jc w:val="left"/>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1、普法宣传</w:t>
            </w:r>
          </w:p>
        </w:tc>
        <w:tc>
          <w:tcPr>
            <w:tcW w:w="1276" w:type="dxa"/>
            <w:vMerge w:val="restart"/>
            <w:shd w:val="clear" w:color="auto" w:fill="auto"/>
            <w:vAlign w:val="center"/>
          </w:tcPr>
          <w:p>
            <w:pPr>
              <w:spacing w:line="300" w:lineRule="exact"/>
              <w:jc w:val="left"/>
              <w:rPr>
                <w:rFonts w:hint="eastAsia" w:ascii="仿宋_GB2312" w:eastAsia="仿宋_GB2312"/>
                <w:szCs w:val="21"/>
              </w:rPr>
            </w:pP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拟订全区法制宣传教育规划并组织实施；指导全市法制宣传、依法治理工作；组织、指导法制宣传报道；组织全区司法行政系统的宣传；承担全区法制教育领导小组办公室工作。</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提高全区人民法律意识和法律素质，增强法治化管理水平，促进全区民主与法制建设。</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组织领导干部及行政执法人员法治培训次数</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≥6</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组织主题宣传活动场次</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督导检查和验收次数</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网络舆情处置率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宣传资料印刷与散发宣传资料</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普法考核通过率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2、律师公证管理</w:t>
            </w:r>
          </w:p>
        </w:tc>
        <w:tc>
          <w:tcPr>
            <w:tcW w:w="1276" w:type="dxa"/>
            <w:vMerge w:val="restart"/>
            <w:shd w:val="clear" w:color="auto" w:fill="auto"/>
            <w:vAlign w:val="center"/>
          </w:tcPr>
          <w:p>
            <w:pPr>
              <w:spacing w:line="300" w:lineRule="exact"/>
              <w:jc w:val="left"/>
              <w:rPr>
                <w:rFonts w:hint="eastAsia" w:ascii="仿宋_GB2312" w:eastAsia="仿宋_GB2312"/>
                <w:szCs w:val="21"/>
              </w:rPr>
            </w:pP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指导、监督全区律师工作、公证工作并承担相应责任；指导全区律师协会、全区公证员协会。</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充分发挥法律服务职能，规范律师、公证行业管理。</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机构年检率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≥21</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协会指导工作完成情况</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提供法律咨询数量</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年检机构满意率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3、基层司法业务指导</w:t>
            </w:r>
          </w:p>
        </w:tc>
        <w:tc>
          <w:tcPr>
            <w:tcW w:w="12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3.60</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指导、监督全区社区矫正、人民调解、安置帮教、基层法律服务和基层司法所工作，负责全区基层法律服务工作者执业核准；会同人民法院指导人民陪审员工作；指导人民调解员协会工作。</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深化人民调解、社区矫正和安置帮教工作，最大限度降低重新违法犯罪和社会不稳定因素发生率。</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人民调解案件数</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≥310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≥270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再犯罪减低率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＜0.3%</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政府购买方式</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服刑人员信息核查率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入矫人员司法e通手机定位监管</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≥240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≥230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积极推进司法所外观标识规范化、所务管理规范化、办公设施齐备、网络平台，与京津冀协</w:t>
            </w:r>
            <w:r>
              <w:rPr>
                <w:rFonts w:hint="eastAsia" w:ascii="仿宋_GB2312" w:eastAsia="仿宋_GB2312"/>
                <w:szCs w:val="21"/>
                <w:lang w:eastAsia="zh-CN"/>
              </w:rPr>
              <w:t>同</w:t>
            </w:r>
            <w:r>
              <w:rPr>
                <w:rFonts w:hint="eastAsia" w:ascii="仿宋_GB2312" w:eastAsia="仿宋_GB2312"/>
                <w:szCs w:val="21"/>
              </w:rPr>
              <w:t>发展</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社区矫正人员集中教育率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强化与北京接边全区辖5个乡镇、5个办事处</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人民调解民调通·领导通</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新入矫人员心理矫正到课率、合格率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人民调解委员会指导工作完成情况</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安置帮教率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4、法律援助</w:t>
            </w:r>
          </w:p>
        </w:tc>
        <w:tc>
          <w:tcPr>
            <w:tcW w:w="1276" w:type="dxa"/>
            <w:vMerge w:val="restart"/>
            <w:shd w:val="clear" w:color="auto" w:fill="auto"/>
            <w:vAlign w:val="center"/>
          </w:tcPr>
          <w:p>
            <w:pPr>
              <w:spacing w:line="300" w:lineRule="exact"/>
              <w:jc w:val="left"/>
              <w:rPr>
                <w:rFonts w:hint="eastAsia" w:ascii="仿宋_GB2312" w:eastAsia="仿宋_GB2312"/>
                <w:szCs w:val="21"/>
              </w:rPr>
            </w:pP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指导、检查全区法律援助工作；规划法律援助事业发展布局；监督管理全区法律援助机构和法律援助从业人员；办理法律援助案件，政府购买法律服务；管理“7803148”法律援助专线。</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建立完善的法律援助法律法规体系、工作体制和机制，扩大法律援助覆盖面，推动全区法律援助工作长足发展。</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政府购买法律服务一村（居委会）一律师</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≥221</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≥210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法律援助案件指派率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法律援助案件受理数</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≥43</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印制法律援助宣传资料</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法律援助咨询解答率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≥600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法律援助案件群众满意度</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5、司法鉴定管理</w:t>
            </w:r>
          </w:p>
        </w:tc>
        <w:tc>
          <w:tcPr>
            <w:tcW w:w="1276" w:type="dxa"/>
            <w:vMerge w:val="restart"/>
            <w:shd w:val="clear" w:color="auto" w:fill="auto"/>
            <w:vAlign w:val="center"/>
          </w:tcPr>
          <w:p>
            <w:pPr>
              <w:spacing w:line="300" w:lineRule="exact"/>
              <w:jc w:val="left"/>
              <w:rPr>
                <w:rFonts w:hint="eastAsia" w:ascii="仿宋_GB2312" w:eastAsia="仿宋_GB2312"/>
                <w:szCs w:val="21"/>
              </w:rPr>
            </w:pP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拟定全区司法鉴定管理规定和技术规范；完成全区司法鉴定人和司法鉴定机构登记管理工作；负责区级司法鉴定机构的遴选和管理工作；指导面向社会的司法鉴定资质管理、质量管理和司法鉴定人继续教育培训。</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规范司法鉴定机构和司法鉴定人的管理，提高司法鉴定人员素质，促进司法鉴定的公正、公平。</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年度新许可司法鉴定人参加转岗培训率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司法鉴定抽查率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参加司法鉴定人培训率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司法鉴定机构年检率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6、一村（居）一法律顾问</w:t>
            </w:r>
          </w:p>
        </w:tc>
        <w:tc>
          <w:tcPr>
            <w:tcW w:w="1276" w:type="dxa"/>
            <w:vMerge w:val="restart"/>
            <w:shd w:val="clear" w:color="auto" w:fill="auto"/>
            <w:vAlign w:val="center"/>
          </w:tcPr>
          <w:p>
            <w:pPr>
              <w:spacing w:line="300" w:lineRule="exact"/>
              <w:jc w:val="left"/>
              <w:rPr>
                <w:rFonts w:hint="eastAsia" w:ascii="仿宋_GB2312" w:eastAsia="仿宋_GB2312"/>
                <w:szCs w:val="21"/>
              </w:rPr>
            </w:pP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指导、协助做好村（居）自治管理、协助村（居）委会做好疑难矛盾纠纷排查调解工作</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实现全区“一村（居）一法律顾问”的工作目标，使村（居）法律服务更加便民快捷。</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政府购买法律服务一村（居委会）一律师</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提供法律咨询数量</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≥600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积极推进完善与司法调解衔接联动机制。促进诉讼与人民调解程序的无缝对接，增强人民调解工作的公信力。</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二、司法政务管理</w:t>
            </w:r>
          </w:p>
        </w:tc>
        <w:tc>
          <w:tcPr>
            <w:tcW w:w="1276" w:type="dxa"/>
            <w:shd w:val="clear" w:color="auto" w:fill="auto"/>
            <w:vAlign w:val="center"/>
          </w:tcPr>
          <w:p>
            <w:pPr>
              <w:spacing w:line="300" w:lineRule="exact"/>
              <w:jc w:val="left"/>
              <w:rPr>
                <w:rFonts w:hint="eastAsia" w:ascii="仿宋_GB2312" w:eastAsia="仿宋_GB2312"/>
                <w:szCs w:val="21"/>
              </w:rPr>
            </w:pPr>
          </w:p>
        </w:tc>
        <w:tc>
          <w:tcPr>
            <w:tcW w:w="2976"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负责系统综合业务管理和机关直属事业单位综合事务管理。</w:t>
            </w:r>
          </w:p>
        </w:tc>
        <w:tc>
          <w:tcPr>
            <w:tcW w:w="2976"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提高司法行政系统执法能力</w:t>
            </w:r>
          </w:p>
        </w:tc>
        <w:tc>
          <w:tcPr>
            <w:tcW w:w="1417" w:type="dxa"/>
            <w:shd w:val="clear" w:color="auto" w:fill="auto"/>
            <w:vAlign w:val="center"/>
          </w:tcPr>
          <w:p>
            <w:pPr>
              <w:spacing w:line="300" w:lineRule="exact"/>
              <w:jc w:val="left"/>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c>
          <w:tcPr>
            <w:tcW w:w="737" w:type="dxa"/>
            <w:shd w:val="clear" w:color="auto" w:fill="auto"/>
            <w:vAlign w:val="center"/>
          </w:tcPr>
          <w:p>
            <w:pPr>
              <w:spacing w:line="300" w:lineRule="exact"/>
              <w:jc w:val="center"/>
              <w:rPr>
                <w:rFonts w:hint="eastAsia"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hint="eastAsia" w:ascii="仿宋_GB2312" w:eastAsia="仿宋_GB2312"/>
                <w:szCs w:val="21"/>
              </w:rPr>
            </w:pP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负责系统物资装备管理；中央国债资金管理；指导监督系统计划财务工作；指导监督系统队伍建设；负责系统警务管理和警务督察工作。</w:t>
            </w:r>
          </w:p>
        </w:tc>
        <w:tc>
          <w:tcPr>
            <w:tcW w:w="2976" w:type="dxa"/>
            <w:vMerge w:val="restart"/>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加强机关后勤保障，确保正常办公环境需要</w:t>
            </w: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监督率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各项保障工作完成率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≥98%</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≥92%</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_GB2312" w:eastAsia="仿宋_GB2312"/>
                <w:b/>
                <w:szCs w:val="21"/>
              </w:rPr>
            </w:pPr>
          </w:p>
        </w:tc>
        <w:tc>
          <w:tcPr>
            <w:tcW w:w="12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2976" w:type="dxa"/>
            <w:vMerge w:val="continue"/>
            <w:shd w:val="clear" w:color="auto" w:fill="auto"/>
            <w:vAlign w:val="center"/>
          </w:tcPr>
          <w:p>
            <w:pPr>
              <w:spacing w:line="300" w:lineRule="exact"/>
              <w:jc w:val="left"/>
              <w:rPr>
                <w:rFonts w:hint="eastAsia" w:ascii="仿宋_GB2312" w:eastAsia="仿宋_GB2312"/>
                <w:szCs w:val="21"/>
              </w:rPr>
            </w:pPr>
          </w:p>
        </w:tc>
        <w:tc>
          <w:tcPr>
            <w:tcW w:w="1417" w:type="dxa"/>
            <w:shd w:val="clear" w:color="auto" w:fill="auto"/>
            <w:vAlign w:val="center"/>
          </w:tcPr>
          <w:p>
            <w:pPr>
              <w:spacing w:line="300" w:lineRule="exact"/>
              <w:jc w:val="left"/>
              <w:rPr>
                <w:rFonts w:hint="eastAsia" w:ascii="仿宋_GB2312" w:eastAsia="仿宋_GB2312"/>
                <w:szCs w:val="21"/>
              </w:rPr>
            </w:pPr>
            <w:r>
              <w:rPr>
                <w:rFonts w:hint="eastAsia" w:ascii="仿宋_GB2312" w:eastAsia="仿宋_GB2312"/>
                <w:szCs w:val="21"/>
              </w:rPr>
              <w:t>按时办结率</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＜0.5</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hint="eastAsia" w:ascii="仿宋_GB2312" w:eastAsia="仿宋_GB2312"/>
                <w:szCs w:val="21"/>
              </w:rPr>
            </w:pPr>
            <w:r>
              <w:rPr>
                <w:rFonts w:hint="eastAsia" w:ascii="仿宋_GB2312" w:eastAsia="仿宋_GB2312"/>
                <w:szCs w:val="21"/>
              </w:rPr>
              <w:t>≥1</w:t>
            </w:r>
          </w:p>
        </w:tc>
      </w:tr>
    </w:tbl>
    <w:p>
      <w:pPr>
        <w:spacing w:line="584" w:lineRule="exact"/>
        <w:jc w:val="center"/>
        <w:outlineLvl w:val="0"/>
        <w:rPr>
          <w:rFonts w:ascii="Times New Roman" w:hAnsi="Times New Roman" w:eastAsia="仿宋_GB2312" w:cs="Times New Roman"/>
          <w:b/>
          <w:sz w:val="32"/>
        </w:rPr>
      </w:pPr>
    </w:p>
    <w:p>
      <w:pPr>
        <w:spacing w:line="584" w:lineRule="exact"/>
        <w:jc w:val="center"/>
        <w:outlineLvl w:val="0"/>
        <w:rPr>
          <w:rFonts w:hint="eastAsia" w:ascii="Times New Roman" w:hAnsi="Times New Roman" w:eastAsia="仿宋_GB2312" w:cs="Times New Roman"/>
          <w:b/>
          <w:sz w:val="32"/>
        </w:rPr>
      </w:pPr>
    </w:p>
    <w:bookmarkEnd w:id="0"/>
    <w:p>
      <w:pPr>
        <w:autoSpaceDE w:val="0"/>
        <w:autoSpaceDN w:val="0"/>
        <w:adjustRightInd w:val="0"/>
        <w:spacing w:line="584" w:lineRule="exact"/>
        <w:jc w:val="left"/>
        <w:rPr>
          <w:rFonts w:hint="eastAsia"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bookmarkStart w:id="2" w:name="_Toc504489153"/>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hAnsi="Times New Roman" w:eastAsia="仿宋_GB2312" w:cs="Times New Roman"/>
                <w:sz w:val="24"/>
              </w:rPr>
            </w:pPr>
            <w:r>
              <w:rPr>
                <w:rFonts w:hint="eastAsia" w:ascii="仿宋_GB2312" w:hAnsi="Times New Roman" w:eastAsia="仿宋_GB2312" w:cs="Times New Roman"/>
                <w:sz w:val="24"/>
              </w:rPr>
              <w:t>375廊坊市广阳区司法局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294.17</w:t>
      </w:r>
      <w:r>
        <w:rPr>
          <w:rFonts w:ascii="Times New Roman" w:hAnsi="Times New Roman" w:eastAsia="仿宋_GB2312" w:cs="Times New Roman"/>
          <w:sz w:val="32"/>
          <w:szCs w:val="32"/>
        </w:rPr>
        <w:t>万元，本年度我部门无拟购置固定资产。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375</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广阳区司法</w:t>
            </w:r>
            <w:r>
              <w:rPr>
                <w:rFonts w:ascii="Times New Roman" w:hAnsi="Times New Roman" w:eastAsia="仿宋_GB2312" w:cs="Times New Roman"/>
                <w:kern w:val="0"/>
                <w:sz w:val="22"/>
              </w:rPr>
              <w:t>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294.17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41.46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175.71</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544E6"/>
    <w:rsid w:val="00072187"/>
    <w:rsid w:val="00075D5F"/>
    <w:rsid w:val="0008180F"/>
    <w:rsid w:val="00093DA3"/>
    <w:rsid w:val="000B529B"/>
    <w:rsid w:val="000C24E6"/>
    <w:rsid w:val="000C3A19"/>
    <w:rsid w:val="000E4305"/>
    <w:rsid w:val="000F0D09"/>
    <w:rsid w:val="000F1A98"/>
    <w:rsid w:val="00122250"/>
    <w:rsid w:val="00124083"/>
    <w:rsid w:val="001245BB"/>
    <w:rsid w:val="001251A3"/>
    <w:rsid w:val="0015229A"/>
    <w:rsid w:val="00160266"/>
    <w:rsid w:val="001643E8"/>
    <w:rsid w:val="00167DC0"/>
    <w:rsid w:val="00176C13"/>
    <w:rsid w:val="001919C4"/>
    <w:rsid w:val="0019723B"/>
    <w:rsid w:val="001A0943"/>
    <w:rsid w:val="001B5C1D"/>
    <w:rsid w:val="001D4B12"/>
    <w:rsid w:val="001E0757"/>
    <w:rsid w:val="001E6DDC"/>
    <w:rsid w:val="001E70E9"/>
    <w:rsid w:val="001F5C92"/>
    <w:rsid w:val="001F70F7"/>
    <w:rsid w:val="001F7873"/>
    <w:rsid w:val="001F7F32"/>
    <w:rsid w:val="00200A1D"/>
    <w:rsid w:val="00230E48"/>
    <w:rsid w:val="00241FD4"/>
    <w:rsid w:val="00246317"/>
    <w:rsid w:val="00251B12"/>
    <w:rsid w:val="00265318"/>
    <w:rsid w:val="00265F39"/>
    <w:rsid w:val="00282387"/>
    <w:rsid w:val="002835D7"/>
    <w:rsid w:val="00290FD6"/>
    <w:rsid w:val="00292821"/>
    <w:rsid w:val="00296113"/>
    <w:rsid w:val="002A61B3"/>
    <w:rsid w:val="002A673A"/>
    <w:rsid w:val="002C5E13"/>
    <w:rsid w:val="002C62BC"/>
    <w:rsid w:val="002E0EB8"/>
    <w:rsid w:val="002F3E58"/>
    <w:rsid w:val="0030542C"/>
    <w:rsid w:val="00311B7A"/>
    <w:rsid w:val="003126B6"/>
    <w:rsid w:val="003128CD"/>
    <w:rsid w:val="00313D9C"/>
    <w:rsid w:val="00325215"/>
    <w:rsid w:val="0033339C"/>
    <w:rsid w:val="00335660"/>
    <w:rsid w:val="003B6D37"/>
    <w:rsid w:val="00414BD3"/>
    <w:rsid w:val="00424943"/>
    <w:rsid w:val="0042727E"/>
    <w:rsid w:val="00431087"/>
    <w:rsid w:val="0043175C"/>
    <w:rsid w:val="00437296"/>
    <w:rsid w:val="00451590"/>
    <w:rsid w:val="00451871"/>
    <w:rsid w:val="00451F0F"/>
    <w:rsid w:val="004706DE"/>
    <w:rsid w:val="00472923"/>
    <w:rsid w:val="00486DCD"/>
    <w:rsid w:val="0049120C"/>
    <w:rsid w:val="004B0C3A"/>
    <w:rsid w:val="004C49A8"/>
    <w:rsid w:val="004C58D3"/>
    <w:rsid w:val="004D5788"/>
    <w:rsid w:val="004E29CC"/>
    <w:rsid w:val="004E3066"/>
    <w:rsid w:val="004E419C"/>
    <w:rsid w:val="004E74CD"/>
    <w:rsid w:val="00524EFD"/>
    <w:rsid w:val="00572067"/>
    <w:rsid w:val="00573562"/>
    <w:rsid w:val="00590ECE"/>
    <w:rsid w:val="005C0E90"/>
    <w:rsid w:val="005D0C27"/>
    <w:rsid w:val="005D1C3A"/>
    <w:rsid w:val="005D37CA"/>
    <w:rsid w:val="005F5714"/>
    <w:rsid w:val="005F7AE1"/>
    <w:rsid w:val="00611D03"/>
    <w:rsid w:val="00614A29"/>
    <w:rsid w:val="00651BA2"/>
    <w:rsid w:val="00654FB9"/>
    <w:rsid w:val="00673D76"/>
    <w:rsid w:val="006854F0"/>
    <w:rsid w:val="006B1C4A"/>
    <w:rsid w:val="006B610D"/>
    <w:rsid w:val="006C206A"/>
    <w:rsid w:val="006E3CF6"/>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15C8"/>
    <w:rsid w:val="00852B0D"/>
    <w:rsid w:val="0085425A"/>
    <w:rsid w:val="00862CE4"/>
    <w:rsid w:val="00864B7F"/>
    <w:rsid w:val="00881692"/>
    <w:rsid w:val="00882539"/>
    <w:rsid w:val="008858FF"/>
    <w:rsid w:val="008A6576"/>
    <w:rsid w:val="008B2D7E"/>
    <w:rsid w:val="008B3CC5"/>
    <w:rsid w:val="008B52CD"/>
    <w:rsid w:val="008C7C4D"/>
    <w:rsid w:val="008E4261"/>
    <w:rsid w:val="008E70D4"/>
    <w:rsid w:val="008F4662"/>
    <w:rsid w:val="0090563F"/>
    <w:rsid w:val="00905D08"/>
    <w:rsid w:val="00925753"/>
    <w:rsid w:val="00937F8B"/>
    <w:rsid w:val="009425F4"/>
    <w:rsid w:val="00943BD8"/>
    <w:rsid w:val="00950BAC"/>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2383A"/>
    <w:rsid w:val="00A341D8"/>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02C7E"/>
    <w:rsid w:val="00C1565C"/>
    <w:rsid w:val="00C21E0F"/>
    <w:rsid w:val="00C362CA"/>
    <w:rsid w:val="00C37A99"/>
    <w:rsid w:val="00C772C1"/>
    <w:rsid w:val="00C93D22"/>
    <w:rsid w:val="00CA7176"/>
    <w:rsid w:val="00CB0EE6"/>
    <w:rsid w:val="00CB51D7"/>
    <w:rsid w:val="00CC75B0"/>
    <w:rsid w:val="00CD2773"/>
    <w:rsid w:val="00CE01BA"/>
    <w:rsid w:val="00CE143B"/>
    <w:rsid w:val="00CE3A91"/>
    <w:rsid w:val="00D07DBA"/>
    <w:rsid w:val="00D23C16"/>
    <w:rsid w:val="00D27003"/>
    <w:rsid w:val="00D324AD"/>
    <w:rsid w:val="00D34536"/>
    <w:rsid w:val="00D71240"/>
    <w:rsid w:val="00D9307A"/>
    <w:rsid w:val="00DB4322"/>
    <w:rsid w:val="00DD1D0C"/>
    <w:rsid w:val="00DE186D"/>
    <w:rsid w:val="00E03E17"/>
    <w:rsid w:val="00E167C7"/>
    <w:rsid w:val="00E440CF"/>
    <w:rsid w:val="00E46095"/>
    <w:rsid w:val="00E55B78"/>
    <w:rsid w:val="00E76361"/>
    <w:rsid w:val="00E825EC"/>
    <w:rsid w:val="00E84020"/>
    <w:rsid w:val="00EB7144"/>
    <w:rsid w:val="00EB7A80"/>
    <w:rsid w:val="00EC47F6"/>
    <w:rsid w:val="00EE51BE"/>
    <w:rsid w:val="00EE6D6D"/>
    <w:rsid w:val="00EF08C9"/>
    <w:rsid w:val="00EF535E"/>
    <w:rsid w:val="00F15CF0"/>
    <w:rsid w:val="00F26A41"/>
    <w:rsid w:val="00F421D6"/>
    <w:rsid w:val="00F471F7"/>
    <w:rsid w:val="00F66032"/>
    <w:rsid w:val="00F83B96"/>
    <w:rsid w:val="00F8441D"/>
    <w:rsid w:val="00F87C1E"/>
    <w:rsid w:val="00F958C2"/>
    <w:rsid w:val="00FA740E"/>
    <w:rsid w:val="00FC06C7"/>
    <w:rsid w:val="00FD5DB4"/>
    <w:rsid w:val="00FE1724"/>
    <w:rsid w:val="00FE753C"/>
    <w:rsid w:val="00FF2346"/>
    <w:rsid w:val="03DE0B75"/>
    <w:rsid w:val="0FA55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rPr>
      <w:rFonts w:ascii="Calibri" w:hAnsi="Calibri" w:eastAsia="宋体" w:cs="Ari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03676-9B9B-4B81-8E7E-78DC763F189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889</Words>
  <Characters>5072</Characters>
  <Lines>42</Lines>
  <Paragraphs>11</Paragraphs>
  <TotalTime>269</TotalTime>
  <ScaleCrop>false</ScaleCrop>
  <LinksUpToDate>false</LinksUpToDate>
  <CharactersWithSpaces>5950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2024-07-19T08:33:43Z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9B4F8CA810B44750A51D13078E396953</vt:lpwstr>
  </property>
</Properties>
</file>