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廊坊市广阳区审计局2019年部门预算信息公开</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r>
        <w:rPr>
          <w:rFonts w:hint="eastAsia" w:ascii="Times New Roman" w:hAnsi="Times New Roman" w:eastAsia="仿宋_GB2312"/>
          <w:sz w:val="32"/>
          <w:szCs w:val="32"/>
        </w:rPr>
        <w:t>预算法》、《地方预决算公开操作规程》和《河北省省级预算公开办法》规定，现将廊坊市广阳区审计局</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bookmarkStart w:id="4" w:name="_GoBack"/>
      <w:bookmarkEnd w:id="4"/>
    </w:p>
    <w:p>
      <w:pPr>
        <w:spacing w:line="584" w:lineRule="exact"/>
        <w:ind w:firstLine="640" w:firstLineChars="200"/>
        <w:rPr>
          <w:rFonts w:ascii="Times New Roman" w:hAnsi="Times New Roman" w:eastAsia="仿宋_GB2312"/>
          <w:sz w:val="32"/>
          <w:szCs w:val="32"/>
        </w:rPr>
      </w:pPr>
      <w:r>
        <w:rPr>
          <w:rFonts w:hint="eastAsia" w:ascii="仿宋_GB2312" w:eastAsia="仿宋_GB2312"/>
          <w:sz w:val="32"/>
          <w:szCs w:val="32"/>
        </w:rPr>
        <w:t>广阳区审计局是区政府依法行使审计监督权的行政机关。主要职责是：编制全区年度审计工作计划，确定年度工作重点；制定审计规章制度并监督执行情况。向区政府报告和向区政府有关部门通报审计情况，提出制定和完善有关政策法规、工作措施的建议。依据《中华人民共和国审计法》及《中华人民共和国审计法实施条例》规定，直接进行下列审计：</w:t>
      </w:r>
      <w:r>
        <w:rPr>
          <w:rFonts w:ascii="仿宋_GB2312" w:eastAsia="仿宋_GB2312"/>
          <w:sz w:val="32"/>
          <w:szCs w:val="32"/>
        </w:rPr>
        <w:t>1</w:t>
      </w:r>
      <w:r>
        <w:rPr>
          <w:rFonts w:hint="eastAsia" w:ascii="仿宋_GB2312" w:eastAsia="仿宋_GB2312"/>
          <w:sz w:val="32"/>
          <w:szCs w:val="32"/>
        </w:rPr>
        <w:t>、区本级财政预算执行情况和其他财政收支。</w:t>
      </w:r>
      <w:r>
        <w:rPr>
          <w:rFonts w:ascii="仿宋_GB2312" w:eastAsia="仿宋_GB2312"/>
          <w:sz w:val="32"/>
          <w:szCs w:val="32"/>
        </w:rPr>
        <w:t>2</w:t>
      </w:r>
      <w:r>
        <w:rPr>
          <w:rFonts w:hint="eastAsia" w:ascii="仿宋_GB2312" w:eastAsia="仿宋_GB2312"/>
          <w:sz w:val="32"/>
          <w:szCs w:val="32"/>
        </w:rPr>
        <w:t>、区直各部门、事业单位及下属单位的财务收支。</w:t>
      </w:r>
      <w:r>
        <w:rPr>
          <w:rFonts w:ascii="仿宋_GB2312" w:eastAsia="仿宋_GB2312"/>
          <w:sz w:val="32"/>
          <w:szCs w:val="32"/>
        </w:rPr>
        <w:t>3</w:t>
      </w:r>
      <w:r>
        <w:rPr>
          <w:rFonts w:hint="eastAsia" w:ascii="仿宋_GB2312" w:eastAsia="仿宋_GB2312"/>
          <w:sz w:val="32"/>
          <w:szCs w:val="32"/>
        </w:rPr>
        <w:t>、乡（镇）人民政府预算执行情况和决算。</w:t>
      </w:r>
      <w:r>
        <w:rPr>
          <w:rFonts w:ascii="仿宋_GB2312" w:eastAsia="仿宋_GB2312"/>
          <w:sz w:val="32"/>
          <w:szCs w:val="32"/>
        </w:rPr>
        <w:t>4</w:t>
      </w:r>
      <w:r>
        <w:rPr>
          <w:rFonts w:hint="eastAsia" w:ascii="仿宋_GB2312" w:eastAsia="仿宋_GB2312"/>
          <w:sz w:val="32"/>
          <w:szCs w:val="32"/>
        </w:rPr>
        <w:t>、区政府部门和乡（镇）人民政府预算外财政收支。</w:t>
      </w:r>
      <w:r>
        <w:rPr>
          <w:rFonts w:ascii="仿宋_GB2312" w:eastAsia="仿宋_GB2312"/>
          <w:sz w:val="32"/>
          <w:szCs w:val="32"/>
        </w:rPr>
        <w:t>5</w:t>
      </w:r>
      <w:r>
        <w:rPr>
          <w:rFonts w:hint="eastAsia" w:ascii="仿宋_GB2312" w:eastAsia="仿宋_GB2312"/>
          <w:sz w:val="32"/>
          <w:szCs w:val="32"/>
        </w:rPr>
        <w:t>、区属地方金融、保险机构及分支机构的资产、负债和损益状况；上级审计机关安排的国有金融机构，非银行金融机构资产、负债和损益状况。</w:t>
      </w:r>
      <w:r>
        <w:rPr>
          <w:rFonts w:ascii="仿宋_GB2312" w:eastAsia="仿宋_GB2312"/>
          <w:sz w:val="32"/>
          <w:szCs w:val="32"/>
        </w:rPr>
        <w:t>6</w:t>
      </w:r>
      <w:r>
        <w:rPr>
          <w:rFonts w:hint="eastAsia" w:ascii="仿宋_GB2312" w:eastAsia="仿宋_GB2312"/>
          <w:sz w:val="32"/>
          <w:szCs w:val="32"/>
        </w:rPr>
        <w:t>、区政府管理的和受区政府委托由社会团体管理的社会保障基金、环境保护资金、社会捐赠资金及其它有关基金、资金的财务收支。</w:t>
      </w:r>
      <w:r>
        <w:rPr>
          <w:rFonts w:ascii="仿宋_GB2312" w:eastAsia="仿宋_GB2312"/>
          <w:sz w:val="32"/>
          <w:szCs w:val="32"/>
        </w:rPr>
        <w:t>7</w:t>
      </w:r>
      <w:r>
        <w:rPr>
          <w:rFonts w:hint="eastAsia" w:ascii="仿宋_GB2312" w:eastAsia="仿宋_GB2312"/>
          <w:sz w:val="32"/>
          <w:szCs w:val="32"/>
        </w:rPr>
        <w:t>、上级审计机关授权的国际组织和外国政府援助、贷款项目的财务收支。</w:t>
      </w:r>
      <w:r>
        <w:rPr>
          <w:rFonts w:ascii="仿宋_GB2312" w:eastAsia="仿宋_GB2312"/>
          <w:sz w:val="32"/>
          <w:szCs w:val="32"/>
        </w:rPr>
        <w:t>8</w:t>
      </w:r>
      <w:r>
        <w:rPr>
          <w:rFonts w:hint="eastAsia" w:ascii="仿宋_GB2312" w:eastAsia="仿宋_GB2312"/>
          <w:sz w:val="32"/>
          <w:szCs w:val="32"/>
        </w:rPr>
        <w:t>、区属境外企业、合资合作企业的资产、负债和损益状况。</w:t>
      </w:r>
      <w:r>
        <w:rPr>
          <w:rFonts w:ascii="仿宋_GB2312" w:eastAsia="仿宋_GB2312"/>
          <w:sz w:val="32"/>
          <w:szCs w:val="32"/>
        </w:rPr>
        <w:t>9</w:t>
      </w:r>
      <w:r>
        <w:rPr>
          <w:rFonts w:hint="eastAsia" w:ascii="仿宋_GB2312" w:eastAsia="仿宋_GB2312"/>
          <w:sz w:val="32"/>
          <w:szCs w:val="32"/>
        </w:rPr>
        <w:t>、区属国有企业、国有控股企业的资产、负债和损益状况。</w:t>
      </w:r>
      <w:r>
        <w:rPr>
          <w:rFonts w:ascii="仿宋_GB2312" w:eastAsia="仿宋_GB2312"/>
          <w:sz w:val="32"/>
          <w:szCs w:val="32"/>
        </w:rPr>
        <w:t>10</w:t>
      </w:r>
      <w:r>
        <w:rPr>
          <w:rFonts w:hint="eastAsia" w:ascii="仿宋_GB2312" w:eastAsia="仿宋_GB2312"/>
          <w:sz w:val="32"/>
          <w:szCs w:val="32"/>
        </w:rPr>
        <w:t>、对政府投资和以政府投资为主的建设项目的预算或概算执行情况和决算。</w:t>
      </w:r>
      <w:r>
        <w:rPr>
          <w:rFonts w:ascii="仿宋_GB2312" w:eastAsia="仿宋_GB2312"/>
          <w:sz w:val="32"/>
          <w:szCs w:val="32"/>
        </w:rPr>
        <w:t>11</w:t>
      </w:r>
      <w:r>
        <w:rPr>
          <w:rFonts w:hint="eastAsia" w:ascii="仿宋_GB2312" w:eastAsia="仿宋_GB2312"/>
          <w:sz w:val="32"/>
          <w:szCs w:val="32"/>
        </w:rPr>
        <w:t>、其它法律法规规定的审计事项。</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r>
              <w:rPr>
                <w:rFonts w:hint="eastAsia" w:ascii="Times New Roman" w:hAnsi="Times New Roman" w:eastAsia="仿宋_GB2312"/>
              </w:rPr>
              <w:t>廊坊市广阳区审计局</w:t>
            </w:r>
          </w:p>
        </w:tc>
        <w:tc>
          <w:tcPr>
            <w:tcW w:w="1134" w:type="dxa"/>
            <w:vAlign w:val="center"/>
          </w:tcPr>
          <w:p>
            <w:pPr>
              <w:spacing w:line="584" w:lineRule="exact"/>
              <w:jc w:val="center"/>
              <w:rPr>
                <w:rFonts w:ascii="Times New Roman" w:hAnsi="Times New Roman" w:eastAsia="仿宋_GB2312"/>
              </w:rPr>
            </w:pPr>
            <w:r>
              <w:rPr>
                <w:rFonts w:hint="eastAsia" w:ascii="Times New Roman" w:hAnsi="Times New Roman" w:eastAsia="仿宋_GB2312"/>
              </w:rPr>
              <w:t>行政单位</w:t>
            </w:r>
          </w:p>
        </w:tc>
        <w:tc>
          <w:tcPr>
            <w:tcW w:w="1276" w:type="dxa"/>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财政拨款</w:t>
            </w:r>
          </w:p>
        </w:tc>
      </w:tr>
    </w:tbl>
    <w:p>
      <w:pPr>
        <w:spacing w:line="584"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363.79</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363.79</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收支预算总表支出栏、基本支出表、项目支出表按经济分类和支出功能分类科目编制，反映廊坊市广阳区审计局年度部门预算中支出预算的总体情况。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363.79</w:t>
      </w:r>
      <w:r>
        <w:rPr>
          <w:rFonts w:hint="eastAsia" w:ascii="Times New Roman" w:hAnsi="Times New Roman" w:eastAsia="仿宋_GB2312"/>
          <w:sz w:val="32"/>
          <w:szCs w:val="32"/>
        </w:rPr>
        <w:t>万元，其中基本支出</w:t>
      </w:r>
      <w:r>
        <w:rPr>
          <w:rFonts w:ascii="Times New Roman" w:hAnsi="Times New Roman" w:eastAsia="仿宋_GB2312"/>
          <w:sz w:val="32"/>
          <w:szCs w:val="32"/>
        </w:rPr>
        <w:t>363.79</w:t>
      </w:r>
      <w:r>
        <w:rPr>
          <w:rFonts w:hint="eastAsia" w:ascii="Times New Roman" w:hAnsi="Times New Roman" w:eastAsia="仿宋_GB2312"/>
          <w:sz w:val="32"/>
          <w:szCs w:val="32"/>
        </w:rPr>
        <w:t>万元，包括人员经费</w:t>
      </w:r>
      <w:r>
        <w:rPr>
          <w:rFonts w:ascii="Times New Roman" w:hAnsi="Times New Roman" w:eastAsia="仿宋_GB2312"/>
          <w:sz w:val="32"/>
          <w:szCs w:val="32"/>
        </w:rPr>
        <w:t>336.23</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27.56</w:t>
      </w:r>
      <w:r>
        <w:rPr>
          <w:rFonts w:hint="eastAsia" w:ascii="Times New Roman" w:hAnsi="Times New Roman" w:eastAsia="仿宋_GB2312"/>
          <w:sz w:val="32"/>
          <w:szCs w:val="32"/>
        </w:rPr>
        <w:t>万元；项目支出</w:t>
      </w:r>
      <w:r>
        <w:rPr>
          <w:rFonts w:ascii="Times New Roman" w:hAnsi="Times New Roman" w:eastAsia="仿宋_GB2312"/>
          <w:sz w:val="32"/>
          <w:szCs w:val="32"/>
        </w:rPr>
        <w:t>0</w:t>
      </w:r>
      <w:r>
        <w:rPr>
          <w:rFonts w:hint="eastAsia" w:ascii="Times New Roman" w:hAnsi="Times New Roman" w:eastAsia="仿宋_GB2312"/>
          <w:sz w:val="32"/>
          <w:szCs w:val="32"/>
        </w:rPr>
        <w:t>万元，包括本级支出</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363.79</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22.37</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22.37</w:t>
      </w:r>
      <w:r>
        <w:rPr>
          <w:rFonts w:hint="eastAsia" w:ascii="Times New Roman" w:hAnsi="Times New Roman" w:eastAsia="仿宋_GB2312"/>
          <w:sz w:val="32"/>
          <w:szCs w:val="32"/>
        </w:rPr>
        <w:t>万元，主要为人员经费支出；项目支出减少1</w:t>
      </w:r>
      <w:r>
        <w:rPr>
          <w:rFonts w:ascii="Times New Roman" w:hAnsi="Times New Roman" w:eastAsia="仿宋_GB2312"/>
          <w:sz w:val="32"/>
          <w:szCs w:val="32"/>
        </w:rPr>
        <w:t>0</w:t>
      </w:r>
      <w:r>
        <w:rPr>
          <w:rFonts w:hint="eastAsia" w:ascii="Times New Roman" w:hAnsi="Times New Roman" w:eastAsia="仿宋_GB2312"/>
          <w:sz w:val="32"/>
          <w:szCs w:val="32"/>
        </w:rPr>
        <w:t>万元，主要为审计业务费项目支出。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w:t>
      </w:r>
      <w:r>
        <w:rPr>
          <w:rFonts w:ascii="Times New Roman" w:hAnsi="Times New Roman" w:eastAsia="仿宋_GB2312"/>
          <w:sz w:val="32"/>
          <w:szCs w:val="32"/>
        </w:rPr>
        <w:t>1.02</w:t>
      </w:r>
      <w:r>
        <w:rPr>
          <w:rFonts w:hint="eastAsia" w:ascii="Times New Roman" w:hAnsi="Times New Roman" w:eastAsia="仿宋_GB2312"/>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2.19</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2.19</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2.19</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万元，其中，公务用车购置及运维费减少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万元（其中：公务用车购置费减少</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万元，公务用车运维费减少</w:t>
      </w:r>
      <w:r>
        <w:rPr>
          <w:rFonts w:ascii="Times New Roman" w:hAnsi="Times New Roman" w:eastAsia="仿宋_GB2312"/>
          <w:sz w:val="32"/>
          <w:szCs w:val="32"/>
        </w:rPr>
        <w:t>0.11</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，主要原因是我部门切实落实勤俭节约各项规定，压减公车运行经费支出；公务接待费增减0万元，与</w:t>
      </w:r>
      <w:r>
        <w:rPr>
          <w:rFonts w:ascii="Times New Roman" w:hAnsi="Times New Roman" w:eastAsia="仿宋_GB2312"/>
          <w:sz w:val="32"/>
          <w:szCs w:val="32"/>
        </w:rPr>
        <w:t>2018</w:t>
      </w:r>
      <w:r>
        <w:rPr>
          <w:rFonts w:hint="eastAsia" w:ascii="Times New Roman" w:hAnsi="Times New Roman" w:eastAsia="仿宋_GB2312"/>
          <w:sz w:val="32"/>
          <w:szCs w:val="32"/>
        </w:rPr>
        <w:t>年相比持平，无增减变化。</w:t>
      </w:r>
    </w:p>
    <w:p>
      <w:pPr>
        <w:spacing w:line="584"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我局将在完成相关审计机构改革的基础上，理顺各种关系，持续贯彻落实党的十九大精神，按照上级审计机关的部署和要求，围绕区委、区政府工作中心，力争做到“五个强化”，全面履行审计职责，不断加强党风廉政建设、机关作风建设、意识形态和精神文明建设，提升审计质量，防范审计风险，力争为我区经济社会健康发展</w:t>
      </w:r>
      <w:r>
        <w:rPr>
          <w:rFonts w:hint="eastAsia" w:ascii="仿宋_GB2312" w:eastAsia="仿宋_GB2312"/>
          <w:sz w:val="32"/>
          <w:szCs w:val="32"/>
          <w:lang w:eastAsia="zh-CN"/>
        </w:rPr>
        <w:t>作出更大贡献</w:t>
      </w:r>
      <w:r>
        <w:rPr>
          <w:rFonts w:hint="eastAsia" w:ascii="仿宋_GB2312" w:eastAsia="仿宋_GB2312"/>
          <w:sz w:val="32"/>
          <w:szCs w:val="32"/>
        </w:rPr>
        <w:t>。</w:t>
      </w:r>
    </w:p>
    <w:p>
      <w:pPr>
        <w:jc w:val="left"/>
        <w:rPr>
          <w:rFonts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审计业务。审计部门主管全区审计工作。通过对公共资金、国有资产、国有资源、领导干部经济责任履行情况进行审计，实现审计监督全覆盖，促进国家治理现代化和国民经济健康发展。主要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pPr>
        <w:spacing w:line="500" w:lineRule="exact"/>
        <w:ind w:firstLine="560"/>
        <w:rPr>
          <w:rFonts w:ascii="仿宋_GB2312" w:eastAsia="仿宋_GB2312"/>
          <w:sz w:val="32"/>
          <w:szCs w:val="32"/>
        </w:rPr>
      </w:pPr>
      <w:r>
        <w:rPr>
          <w:rFonts w:hint="eastAsia" w:ascii="仿宋_GB2312" w:eastAsia="仿宋_GB2312"/>
          <w:sz w:val="32"/>
          <w:szCs w:val="32"/>
        </w:rPr>
        <w:t>（二）审计管理。审计部门进行内部审计管理和审计法制管理。通过建立健全法规，加大内部审计管理制度提高审计质量和审计机关法制管理水平。制定内部审计措施并组织落实；制定内部审计业务规章、制度、管理办法等并开展监督检查；指导内部审计业务，受理内审业务咨询，提高内部审计质量；协调内部审计和国家审计间工作，保障内部审计工作的顺利进行；控制费用标准严格。</w:t>
      </w:r>
    </w:p>
    <w:p>
      <w:pPr>
        <w:spacing w:line="500" w:lineRule="exact"/>
        <w:ind w:firstLine="560"/>
        <w:rPr>
          <w:rFonts w:ascii="仿宋_GB2312" w:eastAsia="仿宋_GB2312"/>
          <w:sz w:val="32"/>
          <w:szCs w:val="32"/>
        </w:rPr>
      </w:pPr>
      <w:r>
        <w:rPr>
          <w:rFonts w:hint="eastAsia" w:ascii="仿宋_GB2312" w:eastAsia="仿宋_GB2312"/>
          <w:sz w:val="32"/>
          <w:szCs w:val="32"/>
        </w:rPr>
        <w:t>（三）审计政务管理。主要包括系统综合业务管理和机关综合事务管理。充分发挥参谋助手作用和综合协调作用，推进审计事业科学协调发展。具体分为：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00" w:lineRule="exact"/>
        <w:ind w:firstLine="560"/>
        <w:rPr>
          <w:rFonts w:ascii="Times New Roman" w:hAnsi="Times New Roman" w:eastAsia="楷体_GB2312"/>
          <w:b/>
          <w:sz w:val="32"/>
          <w:szCs w:val="32"/>
        </w:rPr>
      </w:pPr>
      <w:r>
        <w:rPr>
          <w:rFonts w:hint="eastAsia" w:ascii="Times New Roman" w:hAnsi="Times New Roman" w:eastAsia="楷体_GB2312"/>
          <w:b/>
          <w:sz w:val="32"/>
          <w:szCs w:val="32"/>
        </w:rPr>
        <w:t>部门职责及工作活动绩效目标指标：</w:t>
      </w:r>
    </w:p>
    <w:p>
      <w:pPr>
        <w:spacing w:line="584" w:lineRule="exact"/>
        <w:jc w:val="center"/>
        <w:outlineLvl w:val="0"/>
        <w:rPr>
          <w:rFonts w:ascii="Times New Roman" w:hAnsi="Times New Roman" w:eastAsia="仿宋_GB2312"/>
          <w:b/>
          <w:sz w:val="32"/>
        </w:rPr>
      </w:pPr>
      <w:bookmarkStart w:id="1" w:name="_Toc504489147"/>
      <w:r>
        <w:rPr>
          <w:rFonts w:ascii="Times New Roman" w:hAnsi="Times New Roman" w:eastAsia="仿宋_GB2312"/>
          <w:b/>
          <w:sz w:val="32"/>
        </w:rPr>
        <w:t>部门职责-工作活动绩效目标</w:t>
      </w:r>
      <w:bookmarkEnd w:id="1"/>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231廊坊市广阳区审计局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一、审计业务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主管广阳区审计工作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主管全区审计工作。通过对公共资金、国有资产、国有资源、领导干部经济责任履行情况进行审计，实现审计监督全覆盖，促进国家治理现代化和国民经济健康发展。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1、审计业务、专项审计调查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专项审计完成率（%）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审计计划完成率（%）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审计决定落实率（%）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二、审计管理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进行内部审计管理和审计法制管理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进行内部审计管理和审计法制管理。通过建立健全法规，加大内部审计管理制度提高审计质量和审计机关法制管理水平。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1、内部审计管理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受理内审业务咨询，提高内部审计质量；协调内部审计和国家审计间工作，保障内部审计工作的顺利进行；控制费用标准严格。</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制定内部审计措施及业务规章制度应用率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各项措施制度落实比率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内审业务办结率（%）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三、审计政务管理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包括系统综合业务管理和机关综合事务管理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包括系统综合业务管理和机关综合事务管理。充分发挥参谋助手作用和综合协调作用，推进审计事业科学协调发展。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组织开展信息化建设、教育培训、审计理论研究，抓好新闻宣传和文化建设、政务信息公开，开展审计服务和业务咨询。</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信息保障安全有效，信息化建设稳步推进；加强宣传引导；提高人员业务水平；促进审计文化研究，推动审计事业发展。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信息宣传数量（次）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信息化建设完成率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bl>
    <w:p>
      <w:pPr>
        <w:spacing w:line="584" w:lineRule="exact"/>
        <w:jc w:val="left"/>
        <w:outlineLvl w:val="0"/>
        <w:rPr>
          <w:rFonts w:ascii="Times New Roman" w:hAnsi="Times New Roman" w:eastAsia="仿宋_GB2312"/>
        </w:rPr>
        <w:sectPr>
          <w:footerReference r:id="rId5" w:type="first"/>
          <w:headerReference r:id="rId3" w:type="default"/>
          <w:footerReference r:id="rId4" w:type="default"/>
          <w:pgSz w:w="16839" w:h="11907" w:orient="landscape"/>
          <w:pgMar w:top="1020" w:right="1361" w:bottom="1020" w:left="1361" w:header="851" w:footer="992" w:gutter="0"/>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六、政府采购预算情况</w:t>
      </w:r>
    </w:p>
    <w:p>
      <w:pPr>
        <w:spacing w:line="584" w:lineRule="exact"/>
        <w:ind w:firstLine="640" w:firstLineChars="200"/>
        <w:outlineLvl w:val="0"/>
        <w:rPr>
          <w:rFonts w:ascii="Times New Roman" w:hAnsi="Times New Roman" w:eastAsia="仿宋_GB2312"/>
          <w:sz w:val="32"/>
          <w:szCs w:val="24"/>
        </w:rPr>
      </w:pP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w:t>
      </w:r>
      <w:bookmarkEnd w:id="2"/>
      <w:bookmarkStart w:id="3" w:name="_Toc504489153"/>
      <w:r>
        <w:rPr>
          <w:rFonts w:ascii="Times New Roman" w:hAnsi="Times New Roman" w:eastAsia="仿宋_GB2312"/>
          <w:sz w:val="32"/>
          <w:szCs w:val="24"/>
        </w:rPr>
        <w:t>我部门安排政府采购预算</w:t>
      </w:r>
      <w:r>
        <w:rPr>
          <w:rFonts w:hint="eastAsia" w:ascii="Times New Roman" w:hAnsi="Times New Roman" w:eastAsia="仿宋_GB2312"/>
          <w:sz w:val="32"/>
          <w:szCs w:val="24"/>
        </w:rPr>
        <w:t>0</w:t>
      </w:r>
      <w:r>
        <w:rPr>
          <w:rFonts w:ascii="Times New Roman" w:hAnsi="Times New Roman" w:eastAsia="仿宋_GB2312"/>
          <w:sz w:val="32"/>
          <w:szCs w:val="24"/>
        </w:rPr>
        <w:t>万元。具体内容见下表。</w:t>
      </w:r>
    </w:p>
    <w:p>
      <w:pPr>
        <w:spacing w:line="584" w:lineRule="exact"/>
        <w:ind w:firstLine="640" w:firstLineChars="200"/>
        <w:jc w:val="center"/>
        <w:outlineLvl w:val="0"/>
        <w:rPr>
          <w:rFonts w:ascii="Times New Roman" w:hAnsi="Times New Roman" w:eastAsia="仿宋_GB2312"/>
          <w:sz w:val="32"/>
        </w:rPr>
      </w:pPr>
      <w:r>
        <w:rPr>
          <w:rFonts w:hint="eastAsia" w:ascii="Times New Roman" w:hAnsi="Times New Roman" w:eastAsia="仿宋_GB2312"/>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vAlign w:val="center"/>
          </w:tcPr>
          <w:p>
            <w:pPr>
              <w:spacing w:line="584" w:lineRule="exact"/>
              <w:jc w:val="left"/>
              <w:rPr>
                <w:rFonts w:ascii="仿宋_GB2312" w:hAnsi="Times New Roman" w:eastAsia="仿宋_GB2312"/>
                <w:sz w:val="24"/>
              </w:rPr>
            </w:pPr>
            <w:r>
              <w:rPr>
                <w:rFonts w:hint="eastAsia" w:ascii="仿宋_GB2312" w:hAnsi="Times New Roman" w:eastAsia="仿宋_GB2312"/>
                <w:sz w:val="24"/>
              </w:rPr>
              <w:t>231廊坊市广阳区审计局</w:t>
            </w:r>
          </w:p>
        </w:tc>
        <w:tc>
          <w:tcPr>
            <w:tcW w:w="2194" w:type="pct"/>
            <w:gridSpan w:val="7"/>
            <w:tcBorders>
              <w:top w:val="single" w:color="FFFFFF" w:sz="6" w:space="0"/>
              <w:left w:val="single" w:color="FFFFFF" w:sz="6" w:space="0"/>
              <w:right w:val="single" w:color="FFFFFF" w:sz="6" w:space="0"/>
            </w:tcBorders>
            <w:vAlign w:val="center"/>
          </w:tcPr>
          <w:p>
            <w:pPr>
              <w:spacing w:line="584" w:lineRule="exact"/>
              <w:jc w:val="right"/>
              <w:rPr>
                <w:rFonts w:ascii="仿宋_GB2312" w:hAnsi="Times New Roman" w:eastAsia="仿宋_GB2312"/>
                <w:sz w:val="24"/>
              </w:rPr>
            </w:pPr>
            <w:r>
              <w:rPr>
                <w:rFonts w:hint="eastAsia" w:ascii="仿宋_GB2312" w:hAnsi="Times New Roman"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政府采购项目来源</w:t>
            </w:r>
          </w:p>
        </w:tc>
        <w:tc>
          <w:tcPr>
            <w:tcW w:w="320"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采购物品名称</w:t>
            </w:r>
          </w:p>
        </w:tc>
        <w:tc>
          <w:tcPr>
            <w:tcW w:w="471"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政府采购目录序号</w:t>
            </w:r>
          </w:p>
        </w:tc>
        <w:tc>
          <w:tcPr>
            <w:tcW w:w="247"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数量单位</w:t>
            </w:r>
          </w:p>
        </w:tc>
        <w:tc>
          <w:tcPr>
            <w:tcW w:w="254"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数量</w:t>
            </w:r>
          </w:p>
        </w:tc>
        <w:tc>
          <w:tcPr>
            <w:tcW w:w="32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单价</w:t>
            </w:r>
          </w:p>
        </w:tc>
        <w:tc>
          <w:tcPr>
            <w:tcW w:w="2194" w:type="pct"/>
            <w:gridSpan w:val="7"/>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项目名称</w:t>
            </w:r>
          </w:p>
        </w:tc>
        <w:tc>
          <w:tcPr>
            <w:tcW w:w="363"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预算资金</w:t>
            </w:r>
          </w:p>
        </w:tc>
        <w:tc>
          <w:tcPr>
            <w:tcW w:w="320" w:type="pct"/>
            <w:vMerge w:val="continue"/>
            <w:vAlign w:val="center"/>
          </w:tcPr>
          <w:p/>
        </w:tc>
        <w:tc>
          <w:tcPr>
            <w:tcW w:w="471" w:type="pct"/>
            <w:vMerge w:val="continue"/>
            <w:vAlign w:val="center"/>
          </w:tcPr>
          <w:p/>
        </w:tc>
        <w:tc>
          <w:tcPr>
            <w:tcW w:w="247" w:type="pct"/>
            <w:vMerge w:val="continue"/>
            <w:vAlign w:val="center"/>
          </w:tcPr>
          <w:p/>
        </w:tc>
        <w:tc>
          <w:tcPr>
            <w:tcW w:w="254" w:type="pct"/>
            <w:vMerge w:val="continue"/>
            <w:vAlign w:val="center"/>
          </w:tcPr>
          <w:p/>
        </w:tc>
        <w:tc>
          <w:tcPr>
            <w:tcW w:w="326" w:type="pct"/>
            <w:vMerge w:val="continue"/>
            <w:vAlign w:val="center"/>
          </w:tcPr>
          <w:p/>
        </w:tc>
        <w:tc>
          <w:tcPr>
            <w:tcW w:w="328"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总计</w:t>
            </w:r>
          </w:p>
        </w:tc>
        <w:tc>
          <w:tcPr>
            <w:tcW w:w="1563" w:type="pct"/>
            <w:gridSpan w:val="5"/>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当年部门预算安排资金</w:t>
            </w:r>
          </w:p>
        </w:tc>
        <w:tc>
          <w:tcPr>
            <w:tcW w:w="302" w:type="pct"/>
            <w:vMerge w:val="restar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vAlign w:val="center"/>
          </w:tcPr>
          <w:p/>
        </w:tc>
        <w:tc>
          <w:tcPr>
            <w:tcW w:w="363" w:type="pct"/>
            <w:vMerge w:val="continue"/>
            <w:vAlign w:val="center"/>
          </w:tcPr>
          <w:p/>
        </w:tc>
        <w:tc>
          <w:tcPr>
            <w:tcW w:w="320" w:type="pct"/>
            <w:vMerge w:val="continue"/>
            <w:vAlign w:val="center"/>
          </w:tcPr>
          <w:p/>
        </w:tc>
        <w:tc>
          <w:tcPr>
            <w:tcW w:w="471" w:type="pct"/>
            <w:vMerge w:val="continue"/>
            <w:vAlign w:val="center"/>
          </w:tcPr>
          <w:p/>
        </w:tc>
        <w:tc>
          <w:tcPr>
            <w:tcW w:w="247" w:type="pct"/>
            <w:vMerge w:val="continue"/>
            <w:vAlign w:val="center"/>
          </w:tcPr>
          <w:p/>
        </w:tc>
        <w:tc>
          <w:tcPr>
            <w:tcW w:w="254" w:type="pct"/>
            <w:vMerge w:val="continue"/>
            <w:vAlign w:val="center"/>
          </w:tcPr>
          <w:p/>
        </w:tc>
        <w:tc>
          <w:tcPr>
            <w:tcW w:w="326" w:type="pct"/>
            <w:vMerge w:val="continue"/>
            <w:vAlign w:val="center"/>
          </w:tcPr>
          <w:p/>
        </w:tc>
        <w:tc>
          <w:tcPr>
            <w:tcW w:w="328" w:type="pct"/>
            <w:vMerge w:val="continue"/>
            <w:vAlign w:val="center"/>
          </w:tcPr>
          <w:p/>
        </w:tc>
        <w:tc>
          <w:tcPr>
            <w:tcW w:w="328"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合计</w:t>
            </w:r>
          </w:p>
        </w:tc>
        <w:tc>
          <w:tcPr>
            <w:tcW w:w="328"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一般公共预算拨款</w:t>
            </w:r>
          </w:p>
        </w:tc>
        <w:tc>
          <w:tcPr>
            <w:tcW w:w="271"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基金预算拨款</w:t>
            </w:r>
          </w:p>
        </w:tc>
        <w:tc>
          <w:tcPr>
            <w:tcW w:w="317"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财政专户核拨</w:t>
            </w:r>
          </w:p>
        </w:tc>
        <w:tc>
          <w:tcPr>
            <w:tcW w:w="319"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其他来源收入</w:t>
            </w:r>
          </w:p>
        </w:tc>
        <w:tc>
          <w:tcPr>
            <w:tcW w:w="302" w:type="pct"/>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合　计</w:t>
            </w:r>
          </w:p>
        </w:tc>
        <w:tc>
          <w:tcPr>
            <w:tcW w:w="363" w:type="pct"/>
            <w:vAlign w:val="center"/>
          </w:tcPr>
          <w:p>
            <w:pPr>
              <w:spacing w:line="584" w:lineRule="exact"/>
              <w:jc w:val="right"/>
              <w:rPr>
                <w:rFonts w:ascii="Times New Roman" w:hAnsi="Times New Roman" w:eastAsia="仿宋_GB2312"/>
                <w:b/>
              </w:rPr>
            </w:pPr>
          </w:p>
        </w:tc>
        <w:tc>
          <w:tcPr>
            <w:tcW w:w="320" w:type="pct"/>
            <w:vAlign w:val="center"/>
          </w:tcPr>
          <w:p>
            <w:pPr>
              <w:spacing w:line="584" w:lineRule="exact"/>
              <w:jc w:val="left"/>
              <w:rPr>
                <w:rFonts w:ascii="Times New Roman" w:hAnsi="Times New Roman" w:eastAsia="仿宋_GB2312"/>
                <w:b/>
              </w:rPr>
            </w:pPr>
          </w:p>
        </w:tc>
        <w:tc>
          <w:tcPr>
            <w:tcW w:w="471" w:type="pct"/>
            <w:vAlign w:val="center"/>
          </w:tcPr>
          <w:p>
            <w:pPr>
              <w:spacing w:line="584" w:lineRule="exact"/>
              <w:jc w:val="left"/>
              <w:rPr>
                <w:rFonts w:ascii="Times New Roman" w:hAnsi="Times New Roman" w:eastAsia="仿宋_GB2312"/>
                <w:b/>
              </w:rPr>
            </w:pPr>
          </w:p>
        </w:tc>
        <w:tc>
          <w:tcPr>
            <w:tcW w:w="247" w:type="pct"/>
            <w:vAlign w:val="center"/>
          </w:tcPr>
          <w:p>
            <w:pPr>
              <w:spacing w:line="584" w:lineRule="exact"/>
              <w:jc w:val="left"/>
              <w:rPr>
                <w:rFonts w:ascii="Times New Roman" w:hAnsi="Times New Roman" w:eastAsia="仿宋_GB2312"/>
                <w:b/>
              </w:rPr>
            </w:pPr>
          </w:p>
        </w:tc>
        <w:tc>
          <w:tcPr>
            <w:tcW w:w="254" w:type="pct"/>
            <w:vAlign w:val="center"/>
          </w:tcPr>
          <w:p>
            <w:pPr>
              <w:spacing w:line="584" w:lineRule="exact"/>
              <w:jc w:val="right"/>
              <w:rPr>
                <w:rFonts w:ascii="Times New Roman" w:hAnsi="Times New Roman" w:eastAsia="仿宋_GB2312"/>
                <w:b/>
              </w:rPr>
            </w:pPr>
          </w:p>
        </w:tc>
        <w:tc>
          <w:tcPr>
            <w:tcW w:w="326"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271" w:type="pct"/>
            <w:vAlign w:val="center"/>
          </w:tcPr>
          <w:p>
            <w:pPr>
              <w:spacing w:line="584" w:lineRule="exact"/>
              <w:jc w:val="right"/>
              <w:rPr>
                <w:rFonts w:ascii="Times New Roman" w:hAnsi="Times New Roman" w:eastAsia="仿宋_GB2312"/>
                <w:b/>
              </w:rPr>
            </w:pPr>
          </w:p>
        </w:tc>
        <w:tc>
          <w:tcPr>
            <w:tcW w:w="317" w:type="pct"/>
            <w:vAlign w:val="center"/>
          </w:tcPr>
          <w:p>
            <w:pPr>
              <w:spacing w:line="584" w:lineRule="exact"/>
              <w:jc w:val="right"/>
              <w:rPr>
                <w:rFonts w:ascii="Times New Roman" w:hAnsi="Times New Roman" w:eastAsia="仿宋_GB2312"/>
                <w:b/>
              </w:rPr>
            </w:pPr>
          </w:p>
        </w:tc>
        <w:tc>
          <w:tcPr>
            <w:tcW w:w="319" w:type="pct"/>
            <w:vAlign w:val="center"/>
          </w:tcPr>
          <w:p>
            <w:pPr>
              <w:spacing w:line="584" w:lineRule="exact"/>
              <w:jc w:val="right"/>
              <w:rPr>
                <w:rFonts w:ascii="Times New Roman" w:hAnsi="Times New Roman" w:eastAsia="仿宋_GB2312"/>
                <w:b/>
              </w:rPr>
            </w:pPr>
          </w:p>
        </w:tc>
        <w:tc>
          <w:tcPr>
            <w:tcW w:w="302"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center"/>
              <w:rPr>
                <w:rFonts w:ascii="Times New Roman" w:hAnsi="Times New Roman" w:eastAsia="仿宋_GB2312"/>
                <w:b/>
              </w:rPr>
            </w:pPr>
          </w:p>
        </w:tc>
        <w:tc>
          <w:tcPr>
            <w:tcW w:w="363" w:type="pct"/>
            <w:vAlign w:val="center"/>
          </w:tcPr>
          <w:p>
            <w:pPr>
              <w:spacing w:line="584" w:lineRule="exact"/>
              <w:jc w:val="right"/>
              <w:rPr>
                <w:rFonts w:ascii="Times New Roman" w:hAnsi="Times New Roman" w:eastAsia="仿宋_GB2312"/>
                <w:b/>
              </w:rPr>
            </w:pPr>
          </w:p>
        </w:tc>
        <w:tc>
          <w:tcPr>
            <w:tcW w:w="320" w:type="pct"/>
            <w:vAlign w:val="center"/>
          </w:tcPr>
          <w:p>
            <w:pPr>
              <w:spacing w:line="584" w:lineRule="exact"/>
              <w:jc w:val="left"/>
              <w:rPr>
                <w:rFonts w:ascii="Times New Roman" w:hAnsi="Times New Roman" w:eastAsia="仿宋_GB2312"/>
                <w:b/>
              </w:rPr>
            </w:pPr>
          </w:p>
        </w:tc>
        <w:tc>
          <w:tcPr>
            <w:tcW w:w="471" w:type="pct"/>
            <w:vAlign w:val="center"/>
          </w:tcPr>
          <w:p>
            <w:pPr>
              <w:spacing w:line="584" w:lineRule="exact"/>
              <w:jc w:val="left"/>
              <w:rPr>
                <w:rFonts w:ascii="Times New Roman" w:hAnsi="Times New Roman" w:eastAsia="仿宋_GB2312"/>
                <w:b/>
              </w:rPr>
            </w:pPr>
          </w:p>
        </w:tc>
        <w:tc>
          <w:tcPr>
            <w:tcW w:w="247" w:type="pct"/>
            <w:vAlign w:val="center"/>
          </w:tcPr>
          <w:p>
            <w:pPr>
              <w:spacing w:line="584" w:lineRule="exact"/>
              <w:jc w:val="left"/>
              <w:rPr>
                <w:rFonts w:ascii="Times New Roman" w:hAnsi="Times New Roman" w:eastAsia="仿宋_GB2312"/>
                <w:b/>
              </w:rPr>
            </w:pPr>
          </w:p>
        </w:tc>
        <w:tc>
          <w:tcPr>
            <w:tcW w:w="254" w:type="pct"/>
            <w:vAlign w:val="center"/>
          </w:tcPr>
          <w:p>
            <w:pPr>
              <w:spacing w:line="584" w:lineRule="exact"/>
              <w:jc w:val="right"/>
              <w:rPr>
                <w:rFonts w:ascii="Times New Roman" w:hAnsi="Times New Roman" w:eastAsia="仿宋_GB2312"/>
                <w:b/>
              </w:rPr>
            </w:pPr>
          </w:p>
        </w:tc>
        <w:tc>
          <w:tcPr>
            <w:tcW w:w="326"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328" w:type="pct"/>
            <w:vAlign w:val="center"/>
          </w:tcPr>
          <w:p>
            <w:pPr>
              <w:spacing w:line="584" w:lineRule="exact"/>
              <w:jc w:val="right"/>
              <w:rPr>
                <w:rFonts w:ascii="Times New Roman" w:hAnsi="Times New Roman" w:eastAsia="仿宋_GB2312"/>
                <w:b/>
              </w:rPr>
            </w:pPr>
          </w:p>
        </w:tc>
        <w:tc>
          <w:tcPr>
            <w:tcW w:w="271" w:type="pct"/>
            <w:vAlign w:val="center"/>
          </w:tcPr>
          <w:p>
            <w:pPr>
              <w:spacing w:line="584" w:lineRule="exact"/>
              <w:jc w:val="right"/>
              <w:rPr>
                <w:rFonts w:ascii="Times New Roman" w:hAnsi="Times New Roman" w:eastAsia="仿宋_GB2312"/>
                <w:b/>
              </w:rPr>
            </w:pPr>
          </w:p>
        </w:tc>
        <w:tc>
          <w:tcPr>
            <w:tcW w:w="317" w:type="pct"/>
            <w:vAlign w:val="center"/>
          </w:tcPr>
          <w:p>
            <w:pPr>
              <w:spacing w:line="584" w:lineRule="exact"/>
              <w:jc w:val="right"/>
              <w:rPr>
                <w:rFonts w:ascii="Times New Roman" w:hAnsi="Times New Roman" w:eastAsia="仿宋_GB2312"/>
                <w:b/>
              </w:rPr>
            </w:pPr>
          </w:p>
        </w:tc>
        <w:tc>
          <w:tcPr>
            <w:tcW w:w="319" w:type="pct"/>
            <w:vAlign w:val="center"/>
          </w:tcPr>
          <w:p>
            <w:pPr>
              <w:spacing w:line="584" w:lineRule="exact"/>
              <w:jc w:val="right"/>
              <w:rPr>
                <w:rFonts w:ascii="Times New Roman" w:hAnsi="Times New Roman" w:eastAsia="仿宋_GB2312"/>
                <w:b/>
              </w:rPr>
            </w:pPr>
          </w:p>
        </w:tc>
        <w:tc>
          <w:tcPr>
            <w:tcW w:w="302" w:type="pct"/>
            <w:vAlign w:val="center"/>
          </w:tcPr>
          <w:p>
            <w:pPr>
              <w:spacing w:line="584" w:lineRule="exact"/>
              <w:jc w:val="right"/>
              <w:rPr>
                <w:rFonts w:ascii="Times New Roman" w:hAnsi="Times New Roman" w:eastAsia="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vAlign w:val="center"/>
          </w:tcPr>
          <w:p>
            <w:pPr>
              <w:spacing w:line="584" w:lineRule="exact"/>
              <w:jc w:val="left"/>
              <w:rPr>
                <w:rFonts w:ascii="Times New Roman" w:hAnsi="Times New Roman" w:eastAsia="仿宋_GB2312"/>
              </w:rPr>
            </w:pPr>
          </w:p>
        </w:tc>
        <w:tc>
          <w:tcPr>
            <w:tcW w:w="363" w:type="pct"/>
            <w:vAlign w:val="center"/>
          </w:tcPr>
          <w:p>
            <w:pPr>
              <w:spacing w:line="584" w:lineRule="exact"/>
              <w:jc w:val="right"/>
              <w:rPr>
                <w:rFonts w:ascii="Times New Roman" w:hAnsi="Times New Roman" w:eastAsia="仿宋_GB2312"/>
              </w:rPr>
            </w:pPr>
          </w:p>
        </w:tc>
        <w:tc>
          <w:tcPr>
            <w:tcW w:w="320" w:type="pct"/>
            <w:vAlign w:val="center"/>
          </w:tcPr>
          <w:p>
            <w:pPr>
              <w:spacing w:line="584" w:lineRule="exact"/>
              <w:jc w:val="left"/>
              <w:rPr>
                <w:rFonts w:ascii="Times New Roman" w:hAnsi="Times New Roman" w:eastAsia="仿宋_GB2312"/>
              </w:rPr>
            </w:pPr>
          </w:p>
        </w:tc>
        <w:tc>
          <w:tcPr>
            <w:tcW w:w="471" w:type="pct"/>
            <w:vAlign w:val="center"/>
          </w:tcPr>
          <w:p>
            <w:pPr>
              <w:spacing w:line="584" w:lineRule="exact"/>
              <w:jc w:val="left"/>
              <w:rPr>
                <w:rFonts w:ascii="Times New Roman" w:hAnsi="Times New Roman" w:eastAsia="仿宋_GB2312"/>
              </w:rPr>
            </w:pPr>
          </w:p>
        </w:tc>
        <w:tc>
          <w:tcPr>
            <w:tcW w:w="247" w:type="pct"/>
            <w:vAlign w:val="center"/>
          </w:tcPr>
          <w:p>
            <w:pPr>
              <w:spacing w:line="584" w:lineRule="exact"/>
              <w:jc w:val="left"/>
              <w:rPr>
                <w:rFonts w:ascii="Times New Roman" w:hAnsi="Times New Roman" w:eastAsia="仿宋_GB2312"/>
              </w:rPr>
            </w:pPr>
          </w:p>
        </w:tc>
        <w:tc>
          <w:tcPr>
            <w:tcW w:w="254" w:type="pct"/>
            <w:vAlign w:val="center"/>
          </w:tcPr>
          <w:p>
            <w:pPr>
              <w:spacing w:line="584" w:lineRule="exact"/>
              <w:jc w:val="right"/>
              <w:rPr>
                <w:rFonts w:ascii="Times New Roman" w:hAnsi="Times New Roman" w:eastAsia="仿宋_GB2312"/>
              </w:rPr>
            </w:pPr>
          </w:p>
        </w:tc>
        <w:tc>
          <w:tcPr>
            <w:tcW w:w="326"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328" w:type="pct"/>
            <w:vAlign w:val="center"/>
          </w:tcPr>
          <w:p>
            <w:pPr>
              <w:spacing w:line="584" w:lineRule="exact"/>
              <w:jc w:val="right"/>
              <w:rPr>
                <w:rFonts w:ascii="Times New Roman" w:hAnsi="Times New Roman" w:eastAsia="仿宋_GB2312"/>
              </w:rPr>
            </w:pPr>
          </w:p>
        </w:tc>
        <w:tc>
          <w:tcPr>
            <w:tcW w:w="271" w:type="pct"/>
            <w:vAlign w:val="center"/>
          </w:tcPr>
          <w:p>
            <w:pPr>
              <w:spacing w:line="584" w:lineRule="exact"/>
              <w:jc w:val="right"/>
              <w:rPr>
                <w:rFonts w:ascii="Times New Roman" w:hAnsi="Times New Roman" w:eastAsia="仿宋_GB2312"/>
              </w:rPr>
            </w:pPr>
          </w:p>
        </w:tc>
        <w:tc>
          <w:tcPr>
            <w:tcW w:w="317" w:type="pct"/>
            <w:vAlign w:val="center"/>
          </w:tcPr>
          <w:p>
            <w:pPr>
              <w:spacing w:line="584" w:lineRule="exact"/>
              <w:jc w:val="right"/>
              <w:rPr>
                <w:rFonts w:ascii="Times New Roman" w:hAnsi="Times New Roman" w:eastAsia="仿宋_GB2312"/>
              </w:rPr>
            </w:pPr>
          </w:p>
        </w:tc>
        <w:tc>
          <w:tcPr>
            <w:tcW w:w="319" w:type="pct"/>
            <w:vAlign w:val="center"/>
          </w:tcPr>
          <w:p>
            <w:pPr>
              <w:spacing w:line="584" w:lineRule="exact"/>
              <w:jc w:val="right"/>
              <w:rPr>
                <w:rFonts w:ascii="Times New Roman" w:hAnsi="Times New Roman" w:eastAsia="仿宋_GB2312"/>
              </w:rPr>
            </w:pPr>
          </w:p>
        </w:tc>
        <w:tc>
          <w:tcPr>
            <w:tcW w:w="302" w:type="pct"/>
            <w:vAlign w:val="center"/>
          </w:tcPr>
          <w:p>
            <w:pPr>
              <w:spacing w:line="584" w:lineRule="exact"/>
              <w:jc w:val="right"/>
              <w:rPr>
                <w:rFonts w:ascii="Times New Roman" w:hAnsi="Times New Roman" w:eastAsia="仿宋_GB2312"/>
              </w:rPr>
            </w:pPr>
          </w:p>
        </w:tc>
      </w:tr>
    </w:tbl>
    <w:p>
      <w:pPr>
        <w:spacing w:line="584" w:lineRule="exact"/>
        <w:jc w:val="left"/>
        <w:outlineLvl w:val="0"/>
        <w:rPr>
          <w:rFonts w:ascii="Times New Roman" w:hAnsi="Times New Roman" w:eastAsia="仿宋_GB2312"/>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七、国有资产信息</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廊坊市</w:t>
      </w:r>
      <w:r>
        <w:rPr>
          <w:rFonts w:hint="eastAsia" w:ascii="Times New Roman" w:hAnsi="Times New Roman" w:eastAsia="仿宋_GB2312"/>
          <w:sz w:val="32"/>
          <w:szCs w:val="32"/>
        </w:rPr>
        <w:t>广阳区审计局</w:t>
      </w:r>
      <w:r>
        <w:rPr>
          <w:rFonts w:ascii="Times New Roman" w:hAnsi="Times New Roman" w:eastAsia="仿宋_GB2312"/>
          <w:sz w:val="32"/>
          <w:szCs w:val="32"/>
        </w:rPr>
        <w:t>（含所属单位）上年末固定资产金额为</w:t>
      </w:r>
      <w:r>
        <w:rPr>
          <w:rFonts w:hint="eastAsia" w:ascii="Times New Roman" w:hAnsi="Times New Roman" w:eastAsia="仿宋_GB2312"/>
          <w:sz w:val="32"/>
          <w:szCs w:val="32"/>
        </w:rPr>
        <w:t>79</w:t>
      </w:r>
      <w:r>
        <w:rPr>
          <w:rFonts w:ascii="Times New Roman"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3万元，本年度我部门无拟购置固定资产。详见下表。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p>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编制部门：231廊坊市广阳区审计局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2018</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仿宋_GB2312" w:hAnsi="Times New Roman" w:eastAsia="仿宋_GB2312"/>
                <w:kern w:val="0"/>
                <w:sz w:val="22"/>
              </w:rPr>
            </w:pPr>
            <w:r>
              <w:rPr>
                <w:rFonts w:hint="eastAsia" w:ascii="仿宋_GB2312"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79.33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61.43</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10</w:t>
    </w:r>
    <w: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265D3"/>
    <w:rsid w:val="00063656"/>
    <w:rsid w:val="000C55D4"/>
    <w:rsid w:val="002C48DE"/>
    <w:rsid w:val="002C4DCA"/>
    <w:rsid w:val="00306B66"/>
    <w:rsid w:val="00353690"/>
    <w:rsid w:val="003B147B"/>
    <w:rsid w:val="00605829"/>
    <w:rsid w:val="00680933"/>
    <w:rsid w:val="00962197"/>
    <w:rsid w:val="00997105"/>
    <w:rsid w:val="00C604F0"/>
    <w:rsid w:val="00DE7B0C"/>
    <w:rsid w:val="00F265D3"/>
    <w:rsid w:val="1181681A"/>
    <w:rsid w:val="44C72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0"/>
    <w:rPr>
      <w:rFonts w:ascii="Times New Roman" w:hAnsi="Times New Roman"/>
      <w:szCs w:val="24"/>
    </w:rPr>
  </w:style>
  <w:style w:type="paragraph" w:styleId="6">
    <w:name w:val="footnote text"/>
    <w:basedOn w:val="1"/>
    <w:uiPriority w:val="0"/>
    <w:pPr>
      <w:snapToGrid w:val="0"/>
      <w:jc w:val="left"/>
    </w:pPr>
    <w:rPr>
      <w:sz w:val="18"/>
      <w:szCs w:val="18"/>
    </w:rPr>
  </w:style>
  <w:style w:type="paragraph" w:styleId="7">
    <w:name w:val="toc 2"/>
    <w:basedOn w:val="1"/>
    <w:next w:val="1"/>
    <w:uiPriority w:val="0"/>
    <w:pPr>
      <w:ind w:left="200" w:leftChars="200"/>
    </w:pPr>
    <w:rPr>
      <w:rFonts w:ascii="Times New Roman" w:hAnsi="Times New Roman"/>
      <w:szCs w:val="24"/>
    </w:rPr>
  </w:style>
  <w:style w:type="character" w:styleId="10">
    <w:name w:val="footnote reference"/>
    <w:basedOn w:val="9"/>
    <w:uiPriority w:val="0"/>
    <w:rPr>
      <w:rFonts w:cs="Times New Roman"/>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705</Words>
  <Characters>4025</Characters>
  <Lines>33</Lines>
  <Paragraphs>9</Paragraphs>
  <TotalTime>1207</TotalTime>
  <ScaleCrop>false</ScaleCrop>
  <LinksUpToDate>false</LinksUpToDate>
  <CharactersWithSpaces>4721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2024-05-16T03:28:16Z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9B808C19558747D8BA28CC9B514183DF</vt:lpwstr>
  </property>
</Properties>
</file>