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廊坊市广阳区发展改革局2019年部门预算信息公开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w:t>
      </w:r>
      <w:r>
        <w:rPr>
          <w:rFonts w:hint="eastAsia" w:ascii="仿宋_GB2312" w:hAnsi="Times New Roman" w:eastAsia="仿宋_GB2312" w:cs="Times New Roman"/>
          <w:sz w:val="32"/>
          <w:szCs w:val="32"/>
          <w:lang w:eastAsia="zh-CN"/>
        </w:rPr>
        <w:t>中华人民共和国</w:t>
      </w:r>
      <w:bookmarkStart w:id="4" w:name="_GoBack"/>
      <w:bookmarkEnd w:id="4"/>
      <w:r>
        <w:rPr>
          <w:rFonts w:hint="eastAsia" w:ascii="仿宋_GB2312" w:hAnsi="Times New Roman" w:eastAsia="仿宋_GB2312" w:cs="Times New Roman"/>
          <w:sz w:val="32"/>
          <w:szCs w:val="32"/>
        </w:rPr>
        <w:t>预算法》、《地方预决算公开操作规程》和《河北省省级预算公开办法》规定，现将廊坊市广阳区发展改革局2019年部门预算公开如下：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600" w:lineRule="exact"/>
        <w:ind w:firstLine="640" w:firstLineChars="200"/>
        <w:rPr>
          <w:rFonts w:ascii="仿宋_GB2312" w:eastAsia="仿宋_GB2312" w:cs="宋体"/>
          <w:color w:val="000000"/>
          <w:sz w:val="32"/>
          <w:szCs w:val="32"/>
        </w:rPr>
      </w:pPr>
      <w:r>
        <w:rPr>
          <w:rFonts w:hint="eastAsia" w:ascii="仿宋_GB2312" w:eastAsia="仿宋_GB2312" w:cs="宋体"/>
          <w:color w:val="000000"/>
          <w:sz w:val="32"/>
          <w:szCs w:val="32"/>
        </w:rPr>
        <w:t>（一）拟定并组织实施全区国民经济和社会发展战略、中长期规划和年度计划；提出全区国民经济发展和优化重大经济结构的目标和政策的建议；提出运用各种经济手段和政策的建议；受区政府委托向区人大作国民经济和社会发展计划的报告。</w:t>
      </w:r>
    </w:p>
    <w:p>
      <w:pPr>
        <w:spacing w:line="600" w:lineRule="exact"/>
        <w:ind w:firstLine="640" w:firstLineChars="200"/>
        <w:rPr>
          <w:rFonts w:ascii="仿宋_GB2312" w:eastAsia="仿宋_GB2312"/>
          <w:color w:val="000000"/>
          <w:sz w:val="32"/>
          <w:szCs w:val="21"/>
        </w:rPr>
      </w:pPr>
      <w:r>
        <w:rPr>
          <w:rFonts w:hint="eastAsia" w:ascii="仿宋_GB2312" w:eastAsia="仿宋_GB2312"/>
          <w:color w:val="000000"/>
          <w:sz w:val="32"/>
          <w:szCs w:val="21"/>
        </w:rPr>
        <w:t>（二）研究分析国内外、省内外、市内外经济形势和发展情况，进行区域经济的预测、预警；研究涉及全区经济安全的重要问题，提出区域经济调节政策的建议，综合协调经济社会发展；负责日常经济运行的调节，组织解决经济运行中的有关重大问题。</w:t>
      </w:r>
    </w:p>
    <w:p>
      <w:pPr>
        <w:spacing w:line="600" w:lineRule="exact"/>
        <w:ind w:firstLine="640" w:firstLineChars="200"/>
        <w:rPr>
          <w:rFonts w:ascii="仿宋_GB2312" w:eastAsia="仿宋_GB2312"/>
          <w:color w:val="000000"/>
          <w:sz w:val="32"/>
          <w:szCs w:val="21"/>
        </w:rPr>
      </w:pPr>
      <w:r>
        <w:rPr>
          <w:rFonts w:hint="eastAsia" w:ascii="仿宋_GB2312" w:eastAsia="仿宋_GB2312"/>
          <w:color w:val="000000"/>
          <w:sz w:val="32"/>
          <w:szCs w:val="21"/>
        </w:rPr>
        <w:t>（三）负责汇总和分析财政、金融等方面的情况，研究贯彻国家财政政策、货币政策以及其它调控政策的措施，组织实施产业政策，监督检查产业政策的执行；受政府委托对相关投融资机构进行宏观指导。</w:t>
      </w:r>
    </w:p>
    <w:p>
      <w:pPr>
        <w:spacing w:line="600" w:lineRule="exact"/>
        <w:ind w:firstLine="640" w:firstLineChars="200"/>
        <w:rPr>
          <w:rFonts w:ascii="仿宋_GB2312" w:eastAsia="仿宋_GB2312"/>
          <w:color w:val="000000"/>
          <w:sz w:val="32"/>
          <w:szCs w:val="21"/>
        </w:rPr>
      </w:pPr>
      <w:r>
        <w:rPr>
          <w:rFonts w:hint="eastAsia" w:ascii="仿宋_GB2312" w:eastAsia="仿宋_GB2312"/>
          <w:color w:val="000000"/>
          <w:sz w:val="32"/>
          <w:szCs w:val="21"/>
        </w:rPr>
        <w:t>（四）研究全区经济体制改革和对外开放的重大问题，组织拟定综合性经济体制改革方案，协调有关专项经济体制改革和方案；提出完善社会主义市场经济体制、以改革开放促进发展的建议，指导和推进总体经济体制改革。</w:t>
      </w:r>
    </w:p>
    <w:p>
      <w:pPr>
        <w:spacing w:line="600" w:lineRule="exact"/>
        <w:ind w:firstLine="640" w:firstLineChars="200"/>
        <w:rPr>
          <w:rFonts w:ascii="仿宋_GB2312" w:eastAsia="仿宋_GB2312"/>
          <w:color w:val="000000"/>
          <w:sz w:val="32"/>
          <w:szCs w:val="21"/>
        </w:rPr>
      </w:pPr>
      <w:r>
        <w:rPr>
          <w:rFonts w:hint="eastAsia" w:ascii="仿宋_GB2312" w:eastAsia="仿宋_GB2312"/>
          <w:color w:val="000000"/>
          <w:sz w:val="32"/>
          <w:szCs w:val="21"/>
        </w:rPr>
        <w:t>（五）研究提出全社会固定资产投资总规模，编制和实施固定资产投资计划，研究提出投资和建设领域的有关方针政策，负责区（县）级管理的基本建设项目、技改项目的审批、核准、备案。申报市管以上大中型基本建设项目、技术改造项目。安排区级重点项目，争列市以上重点项目。</w:t>
      </w:r>
    </w:p>
    <w:p>
      <w:pPr>
        <w:spacing w:line="600" w:lineRule="exact"/>
        <w:ind w:firstLine="640" w:firstLineChars="200"/>
        <w:rPr>
          <w:rFonts w:ascii="仿宋_GB2312" w:eastAsia="仿宋_GB2312"/>
          <w:color w:val="000000"/>
          <w:sz w:val="32"/>
          <w:szCs w:val="21"/>
        </w:rPr>
      </w:pPr>
      <w:r>
        <w:rPr>
          <w:rFonts w:hint="eastAsia" w:ascii="仿宋_GB2312" w:eastAsia="仿宋_GB2312"/>
          <w:color w:val="000000"/>
          <w:sz w:val="32"/>
          <w:szCs w:val="21"/>
        </w:rPr>
        <w:t>（六）研究提出全区利用外资和境外投资的发展战略、总量平衡和结构优化的目标和政策；负责全口径外债的总量控制、结构优化和监测工作；指导和监督国外贷款建设资金的使用，安排利用外资和境外投资重点项目。</w:t>
      </w:r>
    </w:p>
    <w:p>
      <w:pPr>
        <w:spacing w:line="600" w:lineRule="exact"/>
        <w:ind w:firstLine="640" w:firstLineChars="200"/>
        <w:rPr>
          <w:rFonts w:ascii="仿宋_GB2312" w:eastAsia="仿宋_GB2312"/>
          <w:color w:val="000000"/>
          <w:sz w:val="32"/>
          <w:szCs w:val="21"/>
        </w:rPr>
      </w:pPr>
      <w:r>
        <w:rPr>
          <w:rFonts w:hint="eastAsia" w:ascii="仿宋_GB2312" w:eastAsia="仿宋_GB2312"/>
          <w:color w:val="000000"/>
          <w:sz w:val="32"/>
          <w:szCs w:val="21"/>
        </w:rPr>
        <w:t>（七）推进产业结构战略性调整和升级；提出国民经济重要产业的发展战略和规划；研究并协调农业和农村经济社会发展的有关重大问题，做好农业资源区划，衔接农村专项规划和政策；拟定以工代赈扶贫规划和计划；指导工业发展，推进工业化和信息化；拟定工业行业规划；推进高技术产业发展，实施技术进步和产业现代化的宏观指导。</w:t>
      </w:r>
    </w:p>
    <w:p>
      <w:pPr>
        <w:spacing w:line="600" w:lineRule="exact"/>
        <w:ind w:firstLine="640" w:firstLineChars="200"/>
        <w:rPr>
          <w:rFonts w:ascii="仿宋_GB2312" w:eastAsia="仿宋_GB2312"/>
          <w:color w:val="000000"/>
          <w:sz w:val="32"/>
          <w:szCs w:val="21"/>
        </w:rPr>
      </w:pPr>
      <w:r>
        <w:rPr>
          <w:rFonts w:hint="eastAsia" w:ascii="仿宋_GB2312" w:eastAsia="仿宋_GB2312"/>
          <w:color w:val="000000"/>
          <w:sz w:val="32"/>
          <w:szCs w:val="21"/>
        </w:rPr>
        <w:t>（八）研究分析区域经济和城镇化发展情况，搞好资源开发，生产力布局和生态环境建设规划；提出区域经济协调发展的政策建议，推进城镇化建设。</w:t>
      </w:r>
    </w:p>
    <w:p>
      <w:pPr>
        <w:spacing w:line="600" w:lineRule="exact"/>
        <w:ind w:firstLine="640" w:firstLineChars="200"/>
        <w:rPr>
          <w:rFonts w:ascii="仿宋_GB2312" w:eastAsia="仿宋_GB2312"/>
          <w:color w:val="000000"/>
          <w:sz w:val="32"/>
          <w:szCs w:val="21"/>
        </w:rPr>
      </w:pPr>
      <w:r>
        <w:rPr>
          <w:rFonts w:hint="eastAsia" w:ascii="仿宋_GB2312" w:hAnsi="Tahoma" w:eastAsia="仿宋_GB2312"/>
          <w:color w:val="000000"/>
          <w:sz w:val="32"/>
          <w:szCs w:val="21"/>
        </w:rPr>
        <w:t>（九）</w:t>
      </w:r>
      <w:r>
        <w:rPr>
          <w:rFonts w:hint="eastAsia" w:ascii="仿宋_GB2312" w:eastAsia="仿宋_GB2312"/>
          <w:color w:val="000000"/>
          <w:sz w:val="32"/>
          <w:szCs w:val="21"/>
        </w:rPr>
        <w:t>研究分析国内外、省内外、市内外市场状况，负责区内重要商品总量平衡和宏观调控；编制重要农产品、工业品和原材料进出口总量计划，监督计划执行情况，并根据经济运行情况对进出口总量计划进行调整；管理粮食、棉花、食糖、石油和药品等重要物资和商品的市区储备；研究提出现代物流业发展规划，协调流通体制改革的重大问题；规划和指导全区服务业的建设和发展。</w:t>
      </w:r>
    </w:p>
    <w:p>
      <w:pPr>
        <w:spacing w:line="600" w:lineRule="exact"/>
        <w:ind w:firstLine="640" w:firstLineChars="200"/>
        <w:rPr>
          <w:rFonts w:ascii="仿宋_GB2312" w:eastAsia="仿宋_GB2312"/>
          <w:color w:val="000000"/>
          <w:sz w:val="32"/>
          <w:szCs w:val="21"/>
        </w:rPr>
      </w:pPr>
      <w:r>
        <w:rPr>
          <w:rFonts w:hint="eastAsia" w:ascii="仿宋_GB2312" w:eastAsia="仿宋_GB2312"/>
          <w:color w:val="000000"/>
          <w:sz w:val="32"/>
          <w:szCs w:val="21"/>
        </w:rPr>
        <w:t>（十）做好人口和计划生育、科学技术、教育、文化、卫生等社会事业以及国防建设与国民经济发展的衔接平衡；提出经济与社会协调发展、相互促进的政策，协调社会事业发展的重大问题。</w:t>
      </w:r>
    </w:p>
    <w:p>
      <w:pPr>
        <w:spacing w:line="600" w:lineRule="exact"/>
        <w:ind w:firstLine="640" w:firstLineChars="200"/>
        <w:rPr>
          <w:rFonts w:ascii="仿宋_GB2312" w:eastAsia="仿宋_GB2312"/>
          <w:color w:val="000000"/>
          <w:sz w:val="32"/>
          <w:szCs w:val="21"/>
        </w:rPr>
      </w:pPr>
      <w:r>
        <w:rPr>
          <w:rFonts w:hint="eastAsia" w:ascii="仿宋_GB2312" w:eastAsia="仿宋_GB2312"/>
          <w:color w:val="000000"/>
          <w:sz w:val="32"/>
          <w:szCs w:val="21"/>
        </w:rPr>
        <w:t>（十一）推进可持续发展战略，研究拟定资源节约综合利用规划，编制生态建设规划，提出资源节约综合利用的政策建议；组织协调环保产业工作。</w:t>
      </w:r>
    </w:p>
    <w:p>
      <w:pPr>
        <w:spacing w:line="600" w:lineRule="exact"/>
        <w:ind w:firstLine="640" w:firstLineChars="200"/>
        <w:rPr>
          <w:rFonts w:ascii="仿宋_GB2312" w:eastAsia="仿宋_GB2312"/>
          <w:color w:val="000000"/>
          <w:sz w:val="32"/>
          <w:szCs w:val="21"/>
        </w:rPr>
      </w:pPr>
      <w:r>
        <w:rPr>
          <w:rFonts w:hint="eastAsia" w:ascii="仿宋_GB2312" w:eastAsia="仿宋_GB2312"/>
          <w:color w:val="000000"/>
          <w:sz w:val="32"/>
          <w:szCs w:val="21"/>
        </w:rPr>
        <w:t>（十二）研究多种所有制经济的状况，提出优化所有制结构和企业组织结构的建议，促进各种所有制企业公平竞争和共同发展；宏观指导和协调促进中小企业、非国有经济发展的重大问题。</w:t>
      </w:r>
    </w:p>
    <w:p>
      <w:pPr>
        <w:spacing w:line="600" w:lineRule="exact"/>
        <w:ind w:firstLine="640" w:firstLineChars="200"/>
        <w:rPr>
          <w:rFonts w:ascii="仿宋_GB2312" w:eastAsia="仿宋_GB2312"/>
          <w:color w:val="000000"/>
          <w:sz w:val="32"/>
          <w:szCs w:val="21"/>
        </w:rPr>
      </w:pPr>
      <w:r>
        <w:rPr>
          <w:rFonts w:hint="eastAsia" w:ascii="仿宋_GB2312" w:eastAsia="仿宋_GB2312"/>
          <w:color w:val="000000"/>
          <w:sz w:val="32"/>
          <w:szCs w:val="21"/>
        </w:rPr>
        <w:t>（十三）研究提出促进就业、调整收入分配、完善社会保障与经济协调发展的政策，协调就业、收入分配和社会保障的重大问题。</w:t>
      </w:r>
    </w:p>
    <w:p>
      <w:pPr>
        <w:spacing w:line="600" w:lineRule="exact"/>
        <w:ind w:firstLine="640" w:firstLineChars="200"/>
        <w:rPr>
          <w:rFonts w:ascii="仿宋_GB2312" w:eastAsia="仿宋_GB2312"/>
          <w:color w:val="000000"/>
          <w:sz w:val="32"/>
          <w:szCs w:val="21"/>
        </w:rPr>
      </w:pPr>
      <w:r>
        <w:rPr>
          <w:rFonts w:hint="eastAsia" w:ascii="仿宋_GB2312" w:eastAsia="仿宋_GB2312"/>
          <w:color w:val="000000"/>
          <w:sz w:val="32"/>
          <w:szCs w:val="21"/>
        </w:rPr>
        <w:t>（十四）参与国民经济和社会发展以及经济体制改革、对外开放有关地方性法规、规章的组织实施工作。</w:t>
      </w:r>
    </w:p>
    <w:p>
      <w:pPr>
        <w:spacing w:line="600" w:lineRule="exact"/>
        <w:ind w:firstLine="640" w:firstLineChars="200"/>
        <w:rPr>
          <w:rFonts w:ascii="仿宋_GB2312" w:eastAsia="仿宋_GB2312"/>
          <w:color w:val="000000"/>
          <w:sz w:val="32"/>
          <w:szCs w:val="21"/>
        </w:rPr>
      </w:pPr>
      <w:r>
        <w:rPr>
          <w:rFonts w:hint="eastAsia" w:ascii="仿宋_GB2312" w:eastAsia="仿宋_GB2312"/>
          <w:color w:val="000000"/>
          <w:sz w:val="32"/>
          <w:szCs w:val="21"/>
        </w:rPr>
        <w:t>（十五）组织、指导全区经济、技术交流与合作。</w:t>
      </w:r>
    </w:p>
    <w:p>
      <w:pPr>
        <w:spacing w:line="584" w:lineRule="exact"/>
        <w:ind w:firstLine="640" w:firstLineChars="200"/>
        <w:rPr>
          <w:rFonts w:ascii="仿宋_GB2312" w:hAnsi="Times New Roman" w:eastAsia="仿宋_GB2312" w:cs="Times New Roman"/>
          <w:b/>
          <w:sz w:val="32"/>
          <w:szCs w:val="32"/>
        </w:rPr>
      </w:pPr>
      <w:r>
        <w:rPr>
          <w:rFonts w:hint="eastAsia" w:ascii="仿宋_GB2312" w:eastAsia="仿宋_GB2312"/>
          <w:color w:val="000000"/>
          <w:sz w:val="32"/>
          <w:szCs w:val="21"/>
        </w:rPr>
        <w:t>（十六）承办区政府交办的其他事项。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廊坊市广阳区发展改革局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广阳区发展改革局</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反映本部门当年全部收入。2019年预算收入516.31万元，其中：一般公共预算收入516.31万元，基金预算收入0万元，财政专户核拨收入0万元，其他来源收入0万元。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廊坊市广阳区发展改革局年度部门预算中支出预算的总体情况。2019年支出预算516.31万元，其中基本支出516.31万元，包括人员经费478.95万元和日常公用经费37.36万元；项目支出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2019年预算收支安排516.31万元，较2018年预算增加30.45万元，其中：基本支出增加45.45万元，主要为增加人员经费支出；项目支出减少15万元，原因是2019年未做预算安排。</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2019年，我部门机关运行经费共计安排1.28万元，主要用于机关</w:t>
      </w:r>
      <w:r>
        <w:rPr>
          <w:rFonts w:hint="eastAsia" w:ascii="仿宋_GB2312" w:eastAsia="仿宋_GB2312" w:cs="宋体"/>
          <w:color w:val="000000"/>
          <w:kern w:val="0"/>
          <w:sz w:val="32"/>
          <w:szCs w:val="32"/>
        </w:rPr>
        <w:t>日常</w:t>
      </w:r>
      <w:r>
        <w:rPr>
          <w:rFonts w:hint="eastAsia" w:ascii="仿宋_GB2312" w:eastAsia="仿宋_GB2312" w:cs="FZFangSong-Z02"/>
          <w:sz w:val="32"/>
          <w:szCs w:val="32"/>
        </w:rPr>
        <w:t>办公及印刷费、邮电费、差旅费、日常维修费及一般设备购置费等</w:t>
      </w:r>
      <w:r>
        <w:rPr>
          <w:rFonts w:hint="eastAsia" w:ascii="仿宋_GB2312" w:eastAsia="仿宋_GB2312" w:cs="宋体"/>
          <w:color w:val="000000"/>
          <w:kern w:val="0"/>
          <w:sz w:val="32"/>
          <w:szCs w:val="32"/>
        </w:rPr>
        <w:t>支出</w:t>
      </w:r>
      <w:r>
        <w:rPr>
          <w:rFonts w:hint="eastAsia" w:ascii="仿宋_GB2312"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我部门财政拨款“三公”经费预算安排2.19万元。其中，因公出国（境）费0万元；公务用车购置及运维费2.19万元（其中：公务用车购置费为0万元，公务用车运维费2.19万元)；公务接待费0万元。与2018年相比减少0.11万元，其中公务用车购置及运维费减少0.11万元（其中：公务用车购置费减少0万元，公务用车运维费减少0.11万元)，主要原因是我部门切实落实勤俭节约各项规定，压减公车运行经费支出。</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一）充分发挥职能作用，全力服务发展大局。立足广阳实际，抢抓京津冀协同发展战略机遇期，按照“十三五”规划总体发展思路及重点工作，推进实施2019年度计划报告，分解年度主要目标任务，协调、督促和服务各部门抓好年度计划目标任务的贯彻落实。</w:t>
      </w:r>
    </w:p>
    <w:p>
      <w:pPr>
        <w:spacing w:line="500" w:lineRule="exact"/>
        <w:ind w:firstLine="560"/>
        <w:rPr>
          <w:rFonts w:ascii="仿宋_GB2312" w:eastAsia="仿宋_GB2312"/>
          <w:sz w:val="32"/>
          <w:szCs w:val="32"/>
        </w:rPr>
      </w:pPr>
      <w:r>
        <w:rPr>
          <w:rFonts w:hint="eastAsia" w:ascii="仿宋_GB2312" w:eastAsia="仿宋_GB2312"/>
          <w:sz w:val="32"/>
          <w:szCs w:val="32"/>
        </w:rPr>
        <w:t>（二）扎实推进项目建设，夯实经济发展基础。一是扎实做好全区2019年项目和固定资产投资计划编制工作，随时监测各相关部门执行情况，争取一月一对比，三月一总结，发现问题及时反应，及时调度；二是加强对省市重点建设项目的谋划申报力度，争取谋划更多的项目列入2019年省市重点建设项目计划；三是落实项目推进“三集中”活动的筹备工作，即集中签约、集中开工、集中观摩，特别是做好2019年春季第一批项目集中开工工作；四是做好项目储备工作，为申请上级补助资金项目开辟绿色通道，全程协助项目建设单位办理申请上级资金所需的各项手续；五是加强与域外特别是京津冀知名企业和有影响力的商会组织联系，主动上门推介广阳，寻找首都优质外溢资源来我区落户，使广阳成为环京津地区产业转移、自主创新产业扩散和现代服务业延伸的首选地。</w:t>
      </w:r>
    </w:p>
    <w:p>
      <w:pPr>
        <w:spacing w:line="500" w:lineRule="exact"/>
        <w:ind w:firstLine="560"/>
        <w:rPr>
          <w:rFonts w:ascii="仿宋_GB2312" w:eastAsia="仿宋_GB2312"/>
          <w:sz w:val="32"/>
          <w:szCs w:val="32"/>
        </w:rPr>
      </w:pPr>
      <w:r>
        <w:rPr>
          <w:rFonts w:hint="eastAsia" w:ascii="仿宋_GB2312" w:eastAsia="仿宋_GB2312"/>
          <w:sz w:val="32"/>
          <w:szCs w:val="32"/>
        </w:rPr>
        <w:t>（三）全面发挥综合职能，努力推动持续发展。一是配合全市节能监察机构做好我区重点企业节能工作；二是做好全区能源消耗情况监测，发现问题及时指出，并提出工作建议；三是严格执行《廊坊市区产业投资项目准入与评估实施办法》，缩小引进三产项目的范围，着力引进高端三产和战略性新兴产业，使产业结构更加合理；四是深入贯彻落实国家京津冀协同发展战略部署，加快构建“高精尖”产业发展新格局，严格把好产业准入关。对不符合产业政策、不符合节能环保要求的项目一律禁止准入。</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（一）重点建设项目建设的监督和管理。提升公共设施水平，提高公共服务能力，促进经济和社会发展，推动重点项目顺利实施，提高招商活动的项目个数和金额，定期刊发项目简报。</w:t>
      </w:r>
    </w:p>
    <w:p>
      <w:pPr>
        <w:spacing w:line="500" w:lineRule="exact"/>
        <w:ind w:firstLine="560"/>
        <w:rPr>
          <w:rFonts w:ascii="仿宋_GB2312" w:eastAsia="仿宋_GB2312"/>
          <w:sz w:val="32"/>
          <w:szCs w:val="32"/>
        </w:rPr>
      </w:pPr>
      <w:r>
        <w:rPr>
          <w:rFonts w:hint="eastAsia" w:ascii="仿宋_GB2312" w:eastAsia="仿宋_GB2312"/>
          <w:sz w:val="32"/>
          <w:szCs w:val="32"/>
        </w:rPr>
        <w:t>（二）编制经济社会发展规划和计划。经济社会发展计划要切实体现区委、区政府决策目标和部署，年度国民经济和社会发展执行报告保质保量按时完成。</w:t>
      </w:r>
    </w:p>
    <w:p>
      <w:pPr>
        <w:spacing w:line="500" w:lineRule="exact"/>
        <w:ind w:firstLine="560"/>
        <w:rPr>
          <w:rFonts w:ascii="仿宋_GB2312" w:eastAsia="仿宋_GB2312"/>
          <w:sz w:val="32"/>
          <w:szCs w:val="32"/>
        </w:rPr>
      </w:pPr>
      <w:r>
        <w:rPr>
          <w:rFonts w:hint="eastAsia" w:ascii="仿宋_GB2312" w:eastAsia="仿宋_GB2312"/>
          <w:sz w:val="32"/>
          <w:szCs w:val="32"/>
        </w:rPr>
        <w:t>（三）经济和社会运行监测、调节与协调。做好经济运行监测分析，协调经济社会运行平稳有序和健康发展，提升全区经济、装备动员能力。将GDP、固定资产投资、社会消费品零售总额、规上工业增加值等指标月度完成情况汇总，建立电子台账，按时下达年度国民经济和社会发展计划。</w:t>
      </w:r>
    </w:p>
    <w:p>
      <w:pPr>
        <w:spacing w:line="500" w:lineRule="exact"/>
        <w:ind w:firstLine="560"/>
        <w:rPr>
          <w:rFonts w:ascii="仿宋_GB2312" w:eastAsia="仿宋_GB2312"/>
          <w:sz w:val="32"/>
          <w:szCs w:val="32"/>
        </w:rPr>
      </w:pPr>
      <w:r>
        <w:rPr>
          <w:rFonts w:hint="eastAsia" w:ascii="仿宋_GB2312" w:eastAsia="仿宋_GB2312"/>
          <w:sz w:val="32"/>
          <w:szCs w:val="32"/>
        </w:rPr>
        <w:t>（四）促进区域经济发展。提出区域经济协调发展、加快城镇化发展的政策建议，促进我区区域经济发展京津冀协同发展，认真开展调研并完成调研报告。</w:t>
      </w:r>
    </w:p>
    <w:p>
      <w:pPr>
        <w:spacing w:line="500" w:lineRule="exact"/>
        <w:ind w:firstLine="560"/>
        <w:rPr>
          <w:rFonts w:ascii="仿宋_GB2312" w:eastAsia="仿宋_GB2312"/>
          <w:sz w:val="32"/>
          <w:szCs w:val="32"/>
        </w:rPr>
      </w:pPr>
      <w:r>
        <w:rPr>
          <w:rFonts w:hint="eastAsia" w:ascii="仿宋_GB2312" w:eastAsia="仿宋_GB2312"/>
          <w:sz w:val="32"/>
          <w:szCs w:val="32"/>
        </w:rPr>
        <w:t>（五）推进经济结构战略性调整。协调第一、二、三产业发展，引导行业健康发展，助推节能减排和大气污染防治，确保实现年度单位GDP能耗下降率，协助市节能中心做好用能单位节能监察，做好节能宣传工作。</w:t>
      </w:r>
    </w:p>
    <w:p>
      <w:pPr>
        <w:spacing w:line="500" w:lineRule="exact"/>
        <w:ind w:firstLine="560"/>
        <w:rPr>
          <w:rFonts w:ascii="仿宋_GB2312" w:eastAsia="仿宋_GB2312"/>
          <w:sz w:val="32"/>
          <w:szCs w:val="32"/>
        </w:rPr>
      </w:pPr>
      <w:r>
        <w:rPr>
          <w:rFonts w:hint="eastAsia" w:ascii="仿宋_GB2312" w:eastAsia="仿宋_GB2312"/>
          <w:sz w:val="32"/>
          <w:szCs w:val="32"/>
        </w:rPr>
        <w:t>（六）推进全区经济体制改革工作。组织拟订综合性经济体制改革方案，协调有关专项改革方案，完善社会主义市场经济体制，按时总结经济体制改革工作开展情况，建立工作台账。</w:t>
      </w:r>
    </w:p>
    <w:p>
      <w:pPr>
        <w:spacing w:line="500" w:lineRule="exact"/>
        <w:ind w:firstLine="560"/>
        <w:rPr>
          <w:rFonts w:ascii="仿宋_GB2312" w:eastAsia="仿宋_GB2312"/>
          <w:sz w:val="32"/>
          <w:szCs w:val="32"/>
        </w:rPr>
      </w:pPr>
      <w:r>
        <w:rPr>
          <w:rFonts w:hint="eastAsia" w:ascii="仿宋_GB2312" w:eastAsia="仿宋_GB2312"/>
          <w:sz w:val="32"/>
          <w:szCs w:val="32"/>
        </w:rPr>
        <w:t>（七）固定资产投资调控与管理。做好本区级投资项目的审批工作，保证项目立项程序的合规和立项论证充分，并开展服务对象满意度调查。</w:t>
      </w:r>
    </w:p>
    <w:p>
      <w:pPr>
        <w:spacing w:line="500" w:lineRule="exact"/>
        <w:ind w:firstLine="560"/>
        <w:rPr>
          <w:rFonts w:ascii="仿宋_GB2312" w:eastAsia="仿宋_GB2312"/>
          <w:sz w:val="32"/>
          <w:szCs w:val="32"/>
        </w:rPr>
      </w:pPr>
      <w:r>
        <w:rPr>
          <w:rFonts w:hint="eastAsia" w:ascii="仿宋_GB2312" w:eastAsia="仿宋_GB2312"/>
          <w:sz w:val="32"/>
          <w:szCs w:val="32"/>
        </w:rPr>
        <w:t>（八）行政运行事务。认真做好会议组织、政务督办、档案管理、信访接待、政务信息、行政复议、对外宣传、干部培训、调研活动等行政事务；开展党风廉政建设、政府信息公开、行政许可事项受理，信息化建设、法治宣传等工作，保障发展改革日常业务开展和机关事务的基本运转，各项工作及时完成。</w:t>
      </w:r>
    </w:p>
    <w:p>
      <w:pPr>
        <w:spacing w:line="500" w:lineRule="exact"/>
        <w:ind w:firstLine="560"/>
        <w:rPr>
          <w:rFonts w:ascii="仿宋_GB2312" w:eastAsia="仿宋_GB2312"/>
          <w:sz w:val="32"/>
          <w:szCs w:val="32"/>
        </w:rPr>
      </w:pPr>
      <w:r>
        <w:rPr>
          <w:rFonts w:hint="eastAsia" w:ascii="仿宋_GB2312" w:eastAsia="仿宋_GB2312"/>
          <w:sz w:val="32"/>
          <w:szCs w:val="32"/>
        </w:rPr>
        <w:t>（九）我区权限内审批项目咨询评估（评审）工作。按时完成政府投资可行性研究报告（重大项目建议书）、初步设计（概算），省明确要求发改部门组织评审的项目，需要委托评估的其他事项（如社会稳定风险评估等）等咨询评估（评审）工作，保证项目立项程序的合规和立项论证充分，并开展服务对象满意度调查。</w:t>
      </w:r>
    </w:p>
    <w:p>
      <w:pPr>
        <w:spacing w:line="584" w:lineRule="exact"/>
        <w:ind w:firstLine="560"/>
        <w:rPr>
          <w:rFonts w:ascii="Times New Roman" w:hAnsi="Times New Roman" w:eastAsia="楷体_GB2312" w:cs="Times New Roman"/>
          <w:b/>
          <w:sz w:val="32"/>
          <w:szCs w:val="32"/>
        </w:rPr>
      </w:pPr>
    </w:p>
    <w:p>
      <w:pPr>
        <w:spacing w:line="584" w:lineRule="exact"/>
        <w:ind w:firstLine="56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部门职责及工作活动绩效目标指标：</w:t>
      </w:r>
    </w:p>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p>
      <w:pPr>
        <w:spacing w:line="300" w:lineRule="exact"/>
        <w:jc w:val="left"/>
        <w:outlineLvl w:val="0"/>
        <w:rPr>
          <w:rFonts w:ascii="仿宋_GB2312" w:eastAsia="仿宋_GB2312"/>
          <w:sz w:val="32"/>
        </w:rPr>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221廊坊市广阳区发展改革局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一、重点建设项目建设的监督和管理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组织谋划、实施事关全区经济和社会发展全局的重大项目；申列省、市重点项目；协调、调度、督导重点项目建设前期工作；统计上报全区项目建设情况。</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提升公共设施水平，提高公共服务能力，促进经济和社会发展。</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1、组织实施重点建设项目监督管理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筛选和实施重点建设项目，协调建设要素及推进中的重大问题；组织开展重点建设项目稽察；组织开展对工作活动范围内的项目位在前期手续、投资计划和资金下达、建设实施、建设管理、进度控制、竣工验收等方面实施情况的监督检查。</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加强重点项目谋划、协调、督导，推动重点项目顺利实施。加强项目监管，保证建设项目工程质量和建设资金安全有效使用；努力申报省市重点项目。</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编发信息刊物数量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招商活动的签约项目个数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招商活动的签约项目金额</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≥10亿元</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≥8亿元</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≥6亿元</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二、组织编制经济社会发展规划和计划</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组织拟订广阳区经济社会发展规划。</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增强规划和计划的前瞻性、科学性、可操作性；规划目标全面、先进、可行；组织落实措施得力，调度有序。</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1、经济社会发展中长期规划编制</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组织拟定我区经济社会发展中长期规划统筹协调县级专项规划和区域规划。</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规划和计划前瞻性、科学性、可操作性较强；规划目标全面、先进、可行；经济社会发展计划切实体现区委、区政府决策目标和部署。</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年度国民经济和社会发展执行情况编制是否按时完成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年度国民经济和社会发展执行情况报告编制完成率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区人大代表表决通过率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90%以上通过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80%以上通过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60%以上通过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50%以下通过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三、经济和社会运行监测、调节与协调</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负责区内重要物资和商品总量平衡和调控。</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做好经济运行监测分析，协调经济社会运行平稳有序和健康发展，提升全区经济、装备动员能力</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1、经济社会发展形势监测分析、运行调节和政策建议</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负责县级经济社会发展运行调节、监测。</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推进经济社会健康协调发展，提升全区经济、装备动员能力。</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主要经济指标统计汇总数量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台账汇总12个月</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≥10个月</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≥8个月</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是否按时下达年度国民经济和社会发展计划</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提前完成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规定时间完成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滞后1天完成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滞后1天以上完成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经济、装备动员部署工作完成率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四、促进区域经济发展</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研究提出区域经济协调发展、加快城镇化发展的政策建议；负责区域经济合作统筹协调。</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促进我区区域经济发展京津冀协同发展</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1、组织推进农业资源区划</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建立农业资源监测制度；负责农业资源可持续发展和高效利用实验示范工作。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掌握我县农业资源现状及动态变化。</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及时开展调研，并完成调研报告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提前完成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规定时间完成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滞后1天完成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滞后1天以上完成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完成专题研究报告数量（篇）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开展2次调研完成2篇调研报告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开展2次调研完成1篇调研报告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开展1次调研完成1次报告</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未开展调研未完成调研报告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组织调研次数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五、推进产业结构调整</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协调第一、二、三产业发展，推进经济结构战略性调整。</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有效引导行业健康发展，提升我区产业和行业竞争力。</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1、促进节能降耗、资源综合利用</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推进可持续发展战略，组织发展循环经济、全社会资源节约和综合利用；开展节能监察、监测，加强节能宣传培训</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积极助推节能减排和大气污染防治；确保实现年度单位GDP能耗下降率</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协助市里监察重点用能单位节能情况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全力协助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部分协助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小部分协助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不协助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单位GDP能耗同期下降比率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大于同期</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等于同期</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小于同期</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远远小于同期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制作宣传品数量（份）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六、组织全区改革开放和经济技术合作</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研究全区经济体制改革，组织指导和综合协调推进经济体制改革。</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研究经济体制改革的重大问题，组织拟订综合性经济体制改革方案，协调有关专项改革方案。</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1、推进全区经济体制改革工作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分析产业发展的情况，组织实施国家产业政策，监督产业政策落实情况；组织实施全区产业结构调整工作；宏观指导和协调促进中小企业、非国有经济发展的重大问题；提出产业发展方向及优化产业结构等有关政策建议；提出全区支持和鼓励发展的重点产业、企业、产品名单。</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推进经济体制改革，完善社会主义市场经济体制。</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按时总结经济体制改革工作开展情况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及时总结安排部署</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及时总结未安排部署</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总结未安排部署</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未总结部署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完成经济体制改革工作任务完成率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经济体制改革工作台账完成率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七、固定资产投资调控与管理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提出全区固定资产投资总规模；编制和实施固定资产投资计划；负责区级管理的基本建设项目、技改项目的审批、核准、备案；组织开展重点建设项目稽察监管工作。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提升公共设施水平，提高公共服务能力，促进经济和社会发展。</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1、预算内基本建设投资项目管理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负责本区级投资项目的审批。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做好本区级投资项目的审批工作。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项目立项论证充分性通过率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项目立项合规性通过率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服务对象满意率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八、行政运行事务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保障发展改革日常业务.开展和机关事务的基本运转。</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保障发展改革日常业务开展和机关事务的基本运转。</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1、保障发展改革工作正常开展</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发展改革工作运转保障，包括会议组织、政务督办、档案管理、信访接待、政务信息、行政复议、对外宣传、干部培训、调研活动等行政事务；开展党风廉政建设、政府信息公开、行政许可事项受理，信息化建设、法治宣传等。</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完成会议组织、政务督办、档案管理、信访接待、政务信息、行政复议、对外宣传、干部培训、调研活动等行政事务；开展党风廉政建设、政府信息公开、行政许可事项受理，信息化建设、法治宣传等工作任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法制宣传工作完成率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政府信息公开工作完成率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各级信息上传下达完成率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九、项目咨询评估评审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做好我区权限内审批项目咨询评估（评审）工作。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做好委托投资咨询评估工作。</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1、项目咨询评估评审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具体咨询（评估）事项如下：政府投资可行性研究报告（重大项目建议书）、初步设计（概算）；发改部门批复的需要评审的项目节能评估文件；企业投资项目的项目申请报告可根据需要委托评估；省明确要求发改部门组织评审的项目；需要委托评估的其他事项（如社会稳定风险评估等）。</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完成咨询（评估）事项如下：政府投资可行性研究报告（重大项目建议书）、初步设计（概算）；发改部门批复的需要评审的项目节能评估文件；企业投资项目的项目申请报告可根据需要委托评估；省明确要求发改部门组织评审的项目；需要委托评估的其他事项（如社会稳定风险评估等）。</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项目立项合规性通过率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项目立项论证充分性通过率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服务对象满意率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仿宋_GB2312" w:hAnsi="Times New Roman" w:eastAsia="仿宋_GB2312" w:cs="Times New Roman"/>
          <w:sz w:val="32"/>
          <w:szCs w:val="24"/>
        </w:rPr>
      </w:pPr>
      <w:bookmarkStart w:id="2" w:name="_Toc471398468"/>
      <w:r>
        <w:rPr>
          <w:rFonts w:hint="eastAsia" w:ascii="仿宋_GB2312" w:hAnsi="Times New Roman" w:eastAsia="仿宋_GB2312" w:cs="Times New Roman"/>
          <w:sz w:val="32"/>
          <w:szCs w:val="24"/>
        </w:rPr>
        <w:t>2019年，我部门安排政府采购预算0万元。具体内容见下表。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仿宋_GB2312" w:hAnsi="Times New Roman" w:eastAsia="仿宋_GB2312" w:cs="Times New Roman"/>
                <w:sz w:val="24"/>
              </w:rPr>
            </w:pPr>
            <w:r>
              <w:rPr>
                <w:rFonts w:hint="eastAsia" w:ascii="仿宋_GB2312" w:hAnsi="Times New Roman" w:eastAsia="仿宋_GB2312" w:cs="Times New Roman"/>
                <w:sz w:val="24"/>
              </w:rPr>
              <w:t>221廊坊市广阳区发展改革局</w:t>
            </w:r>
          </w:p>
        </w:tc>
        <w:tc>
          <w:tcPr>
            <w:tcW w:w="6391"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仿宋_GB2312" w:hAnsi="Times New Roman" w:eastAsia="仿宋_GB2312" w:cs="Times New Roman"/>
                <w:sz w:val="24"/>
              </w:rPr>
            </w:pPr>
            <w:r>
              <w:rPr>
                <w:rFonts w:hint="eastAsia" w:ascii="仿宋_GB2312"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3" w:type="dxa"/>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93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137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72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74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95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6391" w:type="dxa"/>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1057"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4555" w:type="dxa"/>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88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40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057"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79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92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92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88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1057" w:type="dxa"/>
            <w:shd w:val="clear" w:color="auto" w:fill="auto"/>
            <w:vAlign w:val="center"/>
          </w:tcPr>
          <w:p>
            <w:pPr>
              <w:spacing w:line="584" w:lineRule="exact"/>
              <w:jc w:val="right"/>
              <w:rPr>
                <w:rFonts w:ascii="Times New Roman" w:hAnsi="Times New Roman" w:eastAsia="仿宋_GB2312" w:cs="Times New Roman"/>
                <w:b/>
              </w:rPr>
            </w:pPr>
          </w:p>
        </w:tc>
        <w:tc>
          <w:tcPr>
            <w:tcW w:w="932" w:type="dxa"/>
            <w:shd w:val="clear" w:color="auto" w:fill="auto"/>
            <w:vAlign w:val="center"/>
          </w:tcPr>
          <w:p>
            <w:pPr>
              <w:spacing w:line="584" w:lineRule="exact"/>
              <w:jc w:val="left"/>
              <w:rPr>
                <w:rFonts w:ascii="Times New Roman" w:hAnsi="Times New Roman" w:eastAsia="仿宋_GB2312" w:cs="Times New Roman"/>
                <w:b/>
              </w:rPr>
            </w:pPr>
          </w:p>
        </w:tc>
        <w:tc>
          <w:tcPr>
            <w:tcW w:w="1372" w:type="dxa"/>
            <w:shd w:val="clear" w:color="auto" w:fill="auto"/>
            <w:vAlign w:val="center"/>
          </w:tcPr>
          <w:p>
            <w:pPr>
              <w:spacing w:line="584" w:lineRule="exact"/>
              <w:jc w:val="left"/>
              <w:rPr>
                <w:rFonts w:ascii="Times New Roman" w:hAnsi="Times New Roman" w:eastAsia="仿宋_GB2312" w:cs="Times New Roman"/>
                <w:b/>
              </w:rPr>
            </w:pPr>
          </w:p>
        </w:tc>
        <w:tc>
          <w:tcPr>
            <w:tcW w:w="720" w:type="dxa"/>
            <w:shd w:val="clear" w:color="auto" w:fill="auto"/>
            <w:vAlign w:val="center"/>
          </w:tcPr>
          <w:p>
            <w:pPr>
              <w:spacing w:line="584" w:lineRule="exact"/>
              <w:jc w:val="left"/>
              <w:rPr>
                <w:rFonts w:ascii="Times New Roman" w:hAnsi="Times New Roman" w:eastAsia="仿宋_GB2312" w:cs="Times New Roman"/>
                <w:b/>
              </w:rPr>
            </w:pPr>
          </w:p>
        </w:tc>
        <w:tc>
          <w:tcPr>
            <w:tcW w:w="740" w:type="dxa"/>
            <w:shd w:val="clear" w:color="auto" w:fill="auto"/>
            <w:vAlign w:val="center"/>
          </w:tcPr>
          <w:p>
            <w:pPr>
              <w:spacing w:line="584" w:lineRule="exact"/>
              <w:jc w:val="right"/>
              <w:rPr>
                <w:rFonts w:ascii="Times New Roman" w:hAnsi="Times New Roman" w:eastAsia="仿宋_GB2312" w:cs="Times New Roman"/>
                <w:b/>
              </w:rPr>
            </w:pPr>
          </w:p>
        </w:tc>
        <w:tc>
          <w:tcPr>
            <w:tcW w:w="950"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790" w:type="dxa"/>
            <w:shd w:val="clear" w:color="auto" w:fill="auto"/>
            <w:vAlign w:val="center"/>
          </w:tcPr>
          <w:p>
            <w:pPr>
              <w:spacing w:line="584" w:lineRule="exact"/>
              <w:jc w:val="right"/>
              <w:rPr>
                <w:rFonts w:ascii="Times New Roman" w:hAnsi="Times New Roman" w:eastAsia="仿宋_GB2312" w:cs="Times New Roman"/>
                <w:b/>
              </w:rPr>
            </w:pPr>
          </w:p>
        </w:tc>
        <w:tc>
          <w:tcPr>
            <w:tcW w:w="924" w:type="dxa"/>
            <w:shd w:val="clear" w:color="auto" w:fill="auto"/>
            <w:vAlign w:val="center"/>
          </w:tcPr>
          <w:p>
            <w:pPr>
              <w:spacing w:line="584" w:lineRule="exact"/>
              <w:jc w:val="right"/>
              <w:rPr>
                <w:rFonts w:ascii="Times New Roman" w:hAnsi="Times New Roman" w:eastAsia="仿宋_GB2312" w:cs="Times New Roman"/>
                <w:b/>
              </w:rPr>
            </w:pPr>
          </w:p>
        </w:tc>
        <w:tc>
          <w:tcPr>
            <w:tcW w:w="929" w:type="dxa"/>
            <w:shd w:val="clear" w:color="auto" w:fill="auto"/>
            <w:vAlign w:val="center"/>
          </w:tcPr>
          <w:p>
            <w:pPr>
              <w:spacing w:line="584" w:lineRule="exact"/>
              <w:jc w:val="right"/>
              <w:rPr>
                <w:rFonts w:ascii="Times New Roman" w:hAnsi="Times New Roman" w:eastAsia="仿宋_GB2312" w:cs="Times New Roman"/>
                <w:b/>
              </w:rPr>
            </w:pPr>
          </w:p>
        </w:tc>
        <w:tc>
          <w:tcPr>
            <w:tcW w:w="880"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b/>
              </w:rPr>
            </w:pPr>
          </w:p>
        </w:tc>
        <w:tc>
          <w:tcPr>
            <w:tcW w:w="1057" w:type="dxa"/>
            <w:shd w:val="clear" w:color="auto" w:fill="auto"/>
            <w:vAlign w:val="center"/>
          </w:tcPr>
          <w:p>
            <w:pPr>
              <w:spacing w:line="584" w:lineRule="exact"/>
              <w:jc w:val="right"/>
              <w:rPr>
                <w:rFonts w:ascii="Times New Roman" w:hAnsi="Times New Roman" w:eastAsia="仿宋_GB2312" w:cs="Times New Roman"/>
                <w:b/>
              </w:rPr>
            </w:pPr>
          </w:p>
        </w:tc>
        <w:tc>
          <w:tcPr>
            <w:tcW w:w="932" w:type="dxa"/>
            <w:shd w:val="clear" w:color="auto" w:fill="auto"/>
            <w:vAlign w:val="center"/>
          </w:tcPr>
          <w:p>
            <w:pPr>
              <w:spacing w:line="584" w:lineRule="exact"/>
              <w:jc w:val="left"/>
              <w:rPr>
                <w:rFonts w:ascii="Times New Roman" w:hAnsi="Times New Roman" w:eastAsia="仿宋_GB2312" w:cs="Times New Roman"/>
                <w:b/>
              </w:rPr>
            </w:pPr>
          </w:p>
        </w:tc>
        <w:tc>
          <w:tcPr>
            <w:tcW w:w="1372" w:type="dxa"/>
            <w:shd w:val="clear" w:color="auto" w:fill="auto"/>
            <w:vAlign w:val="center"/>
          </w:tcPr>
          <w:p>
            <w:pPr>
              <w:spacing w:line="584" w:lineRule="exact"/>
              <w:jc w:val="left"/>
              <w:rPr>
                <w:rFonts w:ascii="Times New Roman" w:hAnsi="Times New Roman" w:eastAsia="仿宋_GB2312" w:cs="Times New Roman"/>
                <w:b/>
              </w:rPr>
            </w:pPr>
          </w:p>
        </w:tc>
        <w:tc>
          <w:tcPr>
            <w:tcW w:w="720" w:type="dxa"/>
            <w:shd w:val="clear" w:color="auto" w:fill="auto"/>
            <w:vAlign w:val="center"/>
          </w:tcPr>
          <w:p>
            <w:pPr>
              <w:spacing w:line="584" w:lineRule="exact"/>
              <w:jc w:val="left"/>
              <w:rPr>
                <w:rFonts w:ascii="Times New Roman" w:hAnsi="Times New Roman" w:eastAsia="仿宋_GB2312" w:cs="Times New Roman"/>
                <w:b/>
              </w:rPr>
            </w:pPr>
          </w:p>
        </w:tc>
        <w:tc>
          <w:tcPr>
            <w:tcW w:w="740" w:type="dxa"/>
            <w:shd w:val="clear" w:color="auto" w:fill="auto"/>
            <w:vAlign w:val="center"/>
          </w:tcPr>
          <w:p>
            <w:pPr>
              <w:spacing w:line="584" w:lineRule="exact"/>
              <w:jc w:val="right"/>
              <w:rPr>
                <w:rFonts w:ascii="Times New Roman" w:hAnsi="Times New Roman" w:eastAsia="仿宋_GB2312" w:cs="Times New Roman"/>
                <w:b/>
              </w:rPr>
            </w:pPr>
          </w:p>
        </w:tc>
        <w:tc>
          <w:tcPr>
            <w:tcW w:w="950"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790" w:type="dxa"/>
            <w:shd w:val="clear" w:color="auto" w:fill="auto"/>
            <w:vAlign w:val="center"/>
          </w:tcPr>
          <w:p>
            <w:pPr>
              <w:spacing w:line="584" w:lineRule="exact"/>
              <w:jc w:val="right"/>
              <w:rPr>
                <w:rFonts w:ascii="Times New Roman" w:hAnsi="Times New Roman" w:eastAsia="仿宋_GB2312" w:cs="Times New Roman"/>
                <w:b/>
              </w:rPr>
            </w:pPr>
          </w:p>
        </w:tc>
        <w:tc>
          <w:tcPr>
            <w:tcW w:w="924" w:type="dxa"/>
            <w:shd w:val="clear" w:color="auto" w:fill="auto"/>
            <w:vAlign w:val="center"/>
          </w:tcPr>
          <w:p>
            <w:pPr>
              <w:spacing w:line="584" w:lineRule="exact"/>
              <w:jc w:val="right"/>
              <w:rPr>
                <w:rFonts w:ascii="Times New Roman" w:hAnsi="Times New Roman" w:eastAsia="仿宋_GB2312" w:cs="Times New Roman"/>
                <w:b/>
              </w:rPr>
            </w:pPr>
          </w:p>
        </w:tc>
        <w:tc>
          <w:tcPr>
            <w:tcW w:w="929" w:type="dxa"/>
            <w:shd w:val="clear" w:color="auto" w:fill="auto"/>
            <w:vAlign w:val="center"/>
          </w:tcPr>
          <w:p>
            <w:pPr>
              <w:spacing w:line="584" w:lineRule="exact"/>
              <w:jc w:val="right"/>
              <w:rPr>
                <w:rFonts w:ascii="Times New Roman" w:hAnsi="Times New Roman" w:eastAsia="仿宋_GB2312" w:cs="Times New Roman"/>
                <w:b/>
              </w:rPr>
            </w:pPr>
          </w:p>
        </w:tc>
        <w:tc>
          <w:tcPr>
            <w:tcW w:w="880" w:type="dxa"/>
            <w:shd w:val="clear" w:color="auto" w:fill="auto"/>
            <w:vAlign w:val="center"/>
          </w:tcPr>
          <w:p>
            <w:pPr>
              <w:spacing w:line="584" w:lineRule="exact"/>
              <w:jc w:val="right"/>
              <w:rPr>
                <w:rFonts w:ascii="Times New Roman" w:hAnsi="Times New Roman" w:eastAsia="仿宋_GB2312" w:cs="Times New Roman"/>
                <w:b/>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廊坊市广阳区发展改革局上年末固定资产金额为49.7738万元，本年度我部门无拟购置固定资产。详见下表。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编制部门：221廊坊市广阳区发展改革局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截止时间：2018年12月31日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仿宋_GB2312" w:hAnsi="Times New Roman" w:eastAsia="仿宋_GB2312" w:cs="Times New Roman"/>
                <w:kern w:val="0"/>
                <w:sz w:val="22"/>
              </w:rPr>
            </w:pPr>
            <w:r>
              <w:rPr>
                <w:rFonts w:hint="eastAsia" w:ascii="仿宋_GB2312"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49.7738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17.96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194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31.8138</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FZFangSong-Z02">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16</w:t>
        </w:r>
        <w:r>
          <w:rPr>
            <w:lang w:val="zh-CN"/>
          </w:rPr>
          <w:fldChar w:fldCharType="end"/>
        </w:r>
        <w:r>
          <w:rPr>
            <w:rFonts w:hint="eastAsia"/>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72187"/>
    <w:rsid w:val="00075D5F"/>
    <w:rsid w:val="0008180F"/>
    <w:rsid w:val="00093DA3"/>
    <w:rsid w:val="000B529B"/>
    <w:rsid w:val="000C24E6"/>
    <w:rsid w:val="000C3A19"/>
    <w:rsid w:val="000E4305"/>
    <w:rsid w:val="000F0D09"/>
    <w:rsid w:val="000F1108"/>
    <w:rsid w:val="00103863"/>
    <w:rsid w:val="001245BB"/>
    <w:rsid w:val="001251A3"/>
    <w:rsid w:val="00150E4A"/>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5215"/>
    <w:rsid w:val="0033339C"/>
    <w:rsid w:val="00335660"/>
    <w:rsid w:val="00394779"/>
    <w:rsid w:val="003B6D37"/>
    <w:rsid w:val="00414BD3"/>
    <w:rsid w:val="00424943"/>
    <w:rsid w:val="0042727E"/>
    <w:rsid w:val="0043175C"/>
    <w:rsid w:val="00437296"/>
    <w:rsid w:val="00451590"/>
    <w:rsid w:val="00451871"/>
    <w:rsid w:val="004706DE"/>
    <w:rsid w:val="00472923"/>
    <w:rsid w:val="00486DCD"/>
    <w:rsid w:val="0049120C"/>
    <w:rsid w:val="004B0C3A"/>
    <w:rsid w:val="004B1074"/>
    <w:rsid w:val="004C49A8"/>
    <w:rsid w:val="004C58D3"/>
    <w:rsid w:val="004D5788"/>
    <w:rsid w:val="004E3066"/>
    <w:rsid w:val="004E419C"/>
    <w:rsid w:val="004E74CD"/>
    <w:rsid w:val="00520521"/>
    <w:rsid w:val="00524EFD"/>
    <w:rsid w:val="00572067"/>
    <w:rsid w:val="00573562"/>
    <w:rsid w:val="00590ECE"/>
    <w:rsid w:val="005C0E90"/>
    <w:rsid w:val="005D0C27"/>
    <w:rsid w:val="005D37CA"/>
    <w:rsid w:val="005F5714"/>
    <w:rsid w:val="005F7AE1"/>
    <w:rsid w:val="00611D03"/>
    <w:rsid w:val="00614A29"/>
    <w:rsid w:val="00651BA2"/>
    <w:rsid w:val="00654FB9"/>
    <w:rsid w:val="00673D76"/>
    <w:rsid w:val="006854F0"/>
    <w:rsid w:val="006B1C4A"/>
    <w:rsid w:val="006B610D"/>
    <w:rsid w:val="006C206A"/>
    <w:rsid w:val="006E49F5"/>
    <w:rsid w:val="007013C8"/>
    <w:rsid w:val="00727C84"/>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85F54"/>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B77AA"/>
    <w:rsid w:val="00AC0E98"/>
    <w:rsid w:val="00AC4748"/>
    <w:rsid w:val="00AD5259"/>
    <w:rsid w:val="00B01D36"/>
    <w:rsid w:val="00B078CD"/>
    <w:rsid w:val="00B20712"/>
    <w:rsid w:val="00B34B37"/>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00B26"/>
    <w:rsid w:val="00C1565C"/>
    <w:rsid w:val="00C21E0F"/>
    <w:rsid w:val="00C362CA"/>
    <w:rsid w:val="00C37A99"/>
    <w:rsid w:val="00C5430B"/>
    <w:rsid w:val="00C772C1"/>
    <w:rsid w:val="00C93D22"/>
    <w:rsid w:val="00CA7176"/>
    <w:rsid w:val="00CB51D7"/>
    <w:rsid w:val="00CC75B0"/>
    <w:rsid w:val="00CD2773"/>
    <w:rsid w:val="00CE01BA"/>
    <w:rsid w:val="00CE143B"/>
    <w:rsid w:val="00CE3A91"/>
    <w:rsid w:val="00CE7ADB"/>
    <w:rsid w:val="00D07DBA"/>
    <w:rsid w:val="00D23C16"/>
    <w:rsid w:val="00D27003"/>
    <w:rsid w:val="00D324AD"/>
    <w:rsid w:val="00D557FB"/>
    <w:rsid w:val="00D9307A"/>
    <w:rsid w:val="00DB4322"/>
    <w:rsid w:val="00DD1D0C"/>
    <w:rsid w:val="00DD73A4"/>
    <w:rsid w:val="00DE186D"/>
    <w:rsid w:val="00DF5AF0"/>
    <w:rsid w:val="00E167C7"/>
    <w:rsid w:val="00E440CF"/>
    <w:rsid w:val="00E55B78"/>
    <w:rsid w:val="00E66479"/>
    <w:rsid w:val="00E76361"/>
    <w:rsid w:val="00E84020"/>
    <w:rsid w:val="00EB7A80"/>
    <w:rsid w:val="00EC47F6"/>
    <w:rsid w:val="00EE6D6D"/>
    <w:rsid w:val="00EF08C9"/>
    <w:rsid w:val="00EF535E"/>
    <w:rsid w:val="00F15CF0"/>
    <w:rsid w:val="00F234CD"/>
    <w:rsid w:val="00F23AD0"/>
    <w:rsid w:val="00F471F7"/>
    <w:rsid w:val="00F66032"/>
    <w:rsid w:val="00F8319C"/>
    <w:rsid w:val="00F83B96"/>
    <w:rsid w:val="00F8441D"/>
    <w:rsid w:val="00F87C1E"/>
    <w:rsid w:val="00F958C2"/>
    <w:rsid w:val="00FA740E"/>
    <w:rsid w:val="00FC06C7"/>
    <w:rsid w:val="00FD5DB4"/>
    <w:rsid w:val="00FE1724"/>
    <w:rsid w:val="00FE753C"/>
    <w:rsid w:val="00FF2346"/>
    <w:rsid w:val="174B3553"/>
    <w:rsid w:val="20990AB3"/>
    <w:rsid w:val="28C45415"/>
    <w:rsid w:val="37EE48BD"/>
    <w:rsid w:val="3B6F0A89"/>
    <w:rsid w:val="3DD605EB"/>
    <w:rsid w:val="458B62D8"/>
    <w:rsid w:val="4C022C72"/>
    <w:rsid w:val="72185C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51BB-CDEA-47ED-AE9F-E2C4E14927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1255</Words>
  <Characters>7160</Characters>
  <Lines>59</Lines>
  <Paragraphs>16</Paragraphs>
  <TotalTime>52</TotalTime>
  <ScaleCrop>false</ScaleCrop>
  <LinksUpToDate>false</LinksUpToDate>
  <CharactersWithSpaces>8399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2024-01-17T09:21:51Z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DDC4EE5CFDB94A3E90D2BED73802759C</vt:lpwstr>
  </property>
</Properties>
</file>