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bookmarkStart w:id="4" w:name="_GoBack"/>
      <w:bookmarkEnd w:id="4"/>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廊坊市广阳区人民政府办公室2019年部门预算信息公开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w:t>
      </w:r>
      <w:r>
        <w:rPr>
          <w:rFonts w:hint="eastAsia" w:ascii="仿宋_GB2312" w:hAnsi="Times New Roman" w:eastAsia="仿宋_GB2312" w:cs="Times New Roman"/>
          <w:sz w:val="32"/>
          <w:szCs w:val="32"/>
          <w:lang w:eastAsia="zh-CN"/>
        </w:rPr>
        <w:t>中华人民共和国</w:t>
      </w:r>
      <w:r>
        <w:rPr>
          <w:rFonts w:hint="eastAsia" w:ascii="仿宋_GB2312" w:hAnsi="Times New Roman" w:eastAsia="仿宋_GB2312" w:cs="Times New Roman"/>
          <w:sz w:val="32"/>
          <w:szCs w:val="32"/>
        </w:rPr>
        <w:t>预算法》、《地方预决算公开操作规程》和《河北省省级预算公开办法》规定，现将廊坊市广阳区人民政府办公室2019年部门预算公开如下：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1、围绕区政府各时期的中心工作和重点工作，加强调查研究，及时了解、掌握经济和社会发展动态，及时反应信息情况，提出建议。</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2、负责区政府各种会议的准备工作，协助区政领导同志组织各类会议。</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3、负责区政府重要文、电的起草、审核把关和政府机关的文书处理工作；负责区政府机关的档案管理、印信管理和保密工作。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4、负责区政府工作报告、领导同志重要讲话及其他重要材料的起草、修改工作。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5、根据工作需要，负责与区委、人大、政协、纪委、中省直驻廊单位和驻廊部队的联系；协调乡镇、街办处、部门之间的关系和工作，对重要的问题提出处理意见，报区政府领导审定。</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6、督促检查区政府各部门、各乡镇人民政府、街道办事处对省政府、市政府、区政府重要文件，区政府会议决定事项及区政府领导同志重要批示的执行、落实情况，并向区政府领导同志报告。</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7、负责区政府机关值班工作，及时向区政府领导同志报告重要情况，协助领导同志组织处理突发事件、重大灾情和重大事故。</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8、负责全国、省、市、区人大代表建议、批评、意见及全国、省、市、区政协提案的办理工作。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9、负责区政府外宾、内宾接待，公务接待工作。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10、负责经济体制改革工作，负责区政府机关事务管理工作。</w:t>
      </w:r>
    </w:p>
    <w:p>
      <w:pPr>
        <w:spacing w:line="586" w:lineRule="exact"/>
        <w:ind w:firstLine="570"/>
        <w:rPr>
          <w:rFonts w:ascii="仿宋_GB2312" w:eastAsia="仿宋_GB2312"/>
          <w:sz w:val="32"/>
          <w:szCs w:val="32"/>
        </w:rPr>
      </w:pPr>
      <w:r>
        <w:rPr>
          <w:rFonts w:hint="eastAsia" w:ascii="仿宋_GB2312" w:eastAsia="仿宋_GB2312"/>
          <w:sz w:val="32"/>
          <w:szCs w:val="32"/>
        </w:rPr>
        <w:t>11、负责全区民族宗教工作；负责全区法制工作。</w:t>
      </w:r>
    </w:p>
    <w:p>
      <w:pPr>
        <w:widowControl/>
        <w:spacing w:line="580" w:lineRule="exact"/>
        <w:ind w:firstLine="640" w:firstLineChars="200"/>
        <w:rPr>
          <w:rFonts w:ascii="仿宋_GB2312" w:eastAsia="仿宋_GB2312"/>
          <w:sz w:val="32"/>
          <w:szCs w:val="32"/>
        </w:rPr>
      </w:pPr>
      <w:r>
        <w:rPr>
          <w:rFonts w:hint="eastAsia" w:ascii="仿宋_GB2312" w:eastAsia="仿宋_GB2312"/>
          <w:sz w:val="32"/>
          <w:szCs w:val="32"/>
        </w:rPr>
        <w:t>12、办理区政府领导交办的其他事项。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b/>
                <w:szCs w:val="21"/>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b/>
                <w:szCs w:val="21"/>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b/>
                <w:szCs w:val="21"/>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廊坊市广阳区人民政府办公室</w:t>
            </w:r>
          </w:p>
        </w:tc>
        <w:tc>
          <w:tcPr>
            <w:tcW w:w="1134"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行政单位</w:t>
            </w:r>
          </w:p>
        </w:tc>
        <w:tc>
          <w:tcPr>
            <w:tcW w:w="1276"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正科级</w:t>
            </w:r>
          </w:p>
        </w:tc>
        <w:tc>
          <w:tcPr>
            <w:tcW w:w="2902"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广阳区人民政府办公室</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反映本部门当年全部收入。2019年预算收入1423.1万元，其中：一般公共预算收入1423.1万元，基金预算收入0万元，财政专户核拨收入0万元，其他来源收入0万元。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廊坊市广阳区人民政府办公室年度部门预算中支出预算的总体情况。2019年支出预算1423.1万元，其中基本支出1263.82万元，包括人员经费1078.19万元和日常公用经费185.63万元；项目支出159.28万元，包括本级支出159.28万元，主要为一招人员工资及保险、归国华侨生活补贴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left="319" w:leftChars="152" w:firstLine="652" w:firstLineChars="204"/>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2019年预算收支安排1423.1万元，较2018年预算减少469.58万元，其中：基本支出增加103.9万元，主要为工资福利支出；项目支出减少573.48万元，主要为根据政府办实际工作进展情况要求，压减项目支出。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2019年，我部门机关运行经费共计安排5.74万元，主要用于区政府办公楼办公区的日常维修、办公用房水电费、办公用房取暖费、办公用房物业管理费等日常运行支出。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仿宋_GB2312" w:hAnsi="Times New Roman" w:eastAsia="仿宋_GB2312" w:cs="Times New Roman"/>
          <w:color w:val="FF0000"/>
          <w:sz w:val="32"/>
          <w:szCs w:val="32"/>
        </w:rPr>
      </w:pPr>
      <w:r>
        <w:rPr>
          <w:rFonts w:hint="eastAsia" w:ascii="仿宋_GB2312" w:hAnsi="Times New Roman" w:eastAsia="仿宋_GB2312" w:cs="Times New Roman"/>
          <w:sz w:val="32"/>
          <w:szCs w:val="32"/>
        </w:rPr>
        <w:t>2019年，我部门财政拨款“三公”经费预算安排91.3万元。其中，因公出国（境）费0万元；公务用车购置及运维费15.3万元（其中：公务用车购置费为0万元，公务用车运维费15.3万元)；公务接待费76万元。与2018年相比</w:t>
      </w:r>
      <w:r>
        <w:rPr>
          <w:rFonts w:hint="eastAsia" w:ascii="仿宋_GB2312" w:hAnsi="Times New Roman" w:eastAsia="仿宋_GB2312" w:cs="Times New Roman"/>
          <w:color w:val="000000" w:themeColor="text1"/>
          <w:sz w:val="32"/>
          <w:szCs w:val="32"/>
        </w:rPr>
        <w:t>减少</w:t>
      </w:r>
      <w:r>
        <w:rPr>
          <w:rFonts w:hint="eastAsia" w:ascii="仿宋_GB2312" w:hAnsi="Times New Roman" w:eastAsia="仿宋_GB2312" w:cs="Times New Roman"/>
          <w:sz w:val="32"/>
          <w:szCs w:val="32"/>
        </w:rPr>
        <w:t>49.8万元，其中，公务用车购置及运维费减少</w:t>
      </w:r>
      <w:r>
        <w:rPr>
          <w:rFonts w:hint="eastAsia" w:ascii="仿宋_GB2312" w:hAnsi="Times New Roman" w:eastAsia="仿宋_GB2312" w:cs="Times New Roman"/>
          <w:color w:val="000000" w:themeColor="text1"/>
          <w:sz w:val="32"/>
          <w:szCs w:val="32"/>
        </w:rPr>
        <w:t>45.8</w:t>
      </w:r>
      <w:r>
        <w:rPr>
          <w:rFonts w:hint="eastAsia" w:ascii="仿宋_GB2312" w:hAnsi="Times New Roman" w:eastAsia="仿宋_GB2312" w:cs="Times New Roman"/>
          <w:sz w:val="32"/>
          <w:szCs w:val="32"/>
        </w:rPr>
        <w:t>万元（其中：公务用车购置费减少</w:t>
      </w:r>
      <w:r>
        <w:rPr>
          <w:rFonts w:hint="eastAsia" w:ascii="仿宋_GB2312" w:hAnsi="Times New Roman" w:eastAsia="仿宋_GB2312" w:cs="Times New Roman"/>
          <w:color w:val="000000" w:themeColor="text1"/>
          <w:sz w:val="32"/>
          <w:szCs w:val="32"/>
        </w:rPr>
        <w:t>45</w:t>
      </w:r>
      <w:r>
        <w:rPr>
          <w:rFonts w:hint="eastAsia" w:ascii="仿宋_GB2312" w:hAnsi="Times New Roman" w:eastAsia="仿宋_GB2312" w:cs="Times New Roman"/>
          <w:sz w:val="32"/>
          <w:szCs w:val="32"/>
        </w:rPr>
        <w:t>万元，公务用车运维费减少0.8万元)，主要原因是我部门切实落实勤俭节约各项规定，压减公车运行经费支出；公务接待费减少4万元，主要原因是我部门切实落实勤俭节约各项规定，严格控制公务接待费支出。</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firstLineChars="175"/>
        <w:rPr>
          <w:rFonts w:ascii="仿宋_GB2312" w:eastAsia="仿宋_GB2312"/>
          <w:sz w:val="32"/>
          <w:szCs w:val="32"/>
        </w:rPr>
      </w:pPr>
      <w:r>
        <w:rPr>
          <w:rFonts w:hint="eastAsia" w:ascii="仿宋_GB2312" w:hAnsi="宋体" w:eastAsia="仿宋_GB2312"/>
          <w:sz w:val="32"/>
          <w:szCs w:val="32"/>
        </w:rPr>
        <w:t>党的十九大全面开启了中国特色社会主义新时代，发出了决胜全面建成小康社会的动员令。区委五届三次全会深入贯彻党的十九大精神和省、市的决策部署，站在新的历史起点上，综合分析了我区当前面临的形势，做出了广阳正处在迈向高质量发展临界点的科学判断。从宏观形势讲：党的十九大为我们绘就了新时代的新坐标、新蓝图，特别是在习近平新时代中国特色社会主义思想的光辉引领下，全国新一轮高质量发展的热潮正在掀起，一系列重大改革措施密集出台，乘势而上、机不可失。从现实条件看：京津冀协同纵深发展，新机场和临空经济区快速推进，雄安新区迅速崛起，将使广阳的区位优势进一步凸显，历史性机遇正在一项项转化为助推广阳发展提质增速的现实动力，加快发展，时不我待。从我区情况看：</w:t>
      </w:r>
      <w:r>
        <w:rPr>
          <w:rFonts w:hint="eastAsia" w:ascii="仿宋_GB2312" w:eastAsia="仿宋_GB2312"/>
          <w:sz w:val="32"/>
          <w:szCs w:val="32"/>
        </w:rPr>
        <w:t>2018</w:t>
      </w:r>
      <w:r>
        <w:rPr>
          <w:rFonts w:hint="eastAsia" w:ascii="仿宋_GB2312" w:hAnsi="宋体" w:eastAsia="仿宋_GB2312"/>
          <w:sz w:val="32"/>
          <w:szCs w:val="32"/>
        </w:rPr>
        <w:t>年一场场硬仗锻炼了队伍、磨砺了意志、提振了士气，放眼广阳，人心思干、奋发进取的干事创业氛围更加浓厚，这是我们顺应新时代、实现新发展的坚实基础和有力保障。可以说，现在既有天时，又有地利，更有人和，广阳高质量发展正当其时。虽然前进的道路上，我们还面临着很多困难和挑战，但是我们有信心、有决心、有条件，更有办法加快新时代建设经济强区、美丽广阳的步伐。据此，按照高质量发展的要求，结合我区经济社会发展趋势，确定</w:t>
      </w:r>
      <w:r>
        <w:rPr>
          <w:rFonts w:hint="eastAsia" w:ascii="仿宋_GB2312" w:eastAsia="仿宋_GB2312"/>
          <w:sz w:val="32"/>
          <w:szCs w:val="32"/>
        </w:rPr>
        <w:t>2019</w:t>
      </w:r>
      <w:r>
        <w:rPr>
          <w:rFonts w:hint="eastAsia" w:ascii="仿宋_GB2312" w:hAnsi="宋体" w:eastAsia="仿宋_GB2312"/>
          <w:sz w:val="32"/>
          <w:szCs w:val="32"/>
        </w:rPr>
        <w:t>年经济社会发展预期目标：地区生产总值预计增长</w:t>
      </w:r>
      <w:r>
        <w:rPr>
          <w:rFonts w:hint="eastAsia" w:ascii="仿宋_GB2312" w:eastAsia="仿宋_GB2312"/>
          <w:sz w:val="32"/>
          <w:szCs w:val="32"/>
        </w:rPr>
        <w:t>7%</w:t>
      </w:r>
      <w:r>
        <w:rPr>
          <w:rFonts w:hint="eastAsia" w:ascii="仿宋_GB2312" w:hAnsi="宋体" w:eastAsia="仿宋_GB2312"/>
          <w:sz w:val="32"/>
          <w:szCs w:val="32"/>
        </w:rPr>
        <w:t>，公共财政预算收入预计增长</w:t>
      </w:r>
      <w:r>
        <w:rPr>
          <w:rFonts w:hint="eastAsia" w:ascii="仿宋_GB2312" w:eastAsia="仿宋_GB2312"/>
          <w:sz w:val="32"/>
          <w:szCs w:val="32"/>
        </w:rPr>
        <w:t>7%</w:t>
      </w:r>
      <w:r>
        <w:rPr>
          <w:rFonts w:hint="eastAsia" w:ascii="仿宋_GB2312" w:hAnsi="宋体" w:eastAsia="仿宋_GB2312"/>
          <w:sz w:val="32"/>
          <w:szCs w:val="32"/>
        </w:rPr>
        <w:t>，固定资产投资预计增长</w:t>
      </w:r>
      <w:r>
        <w:rPr>
          <w:rFonts w:hint="eastAsia" w:ascii="仿宋_GB2312" w:eastAsia="仿宋_GB2312"/>
          <w:sz w:val="32"/>
          <w:szCs w:val="32"/>
        </w:rPr>
        <w:t>8.5%</w:t>
      </w:r>
      <w:r>
        <w:rPr>
          <w:rFonts w:hint="eastAsia" w:ascii="仿宋_GB2312" w:hAnsi="宋体" w:eastAsia="仿宋_GB2312"/>
          <w:sz w:val="32"/>
          <w:szCs w:val="32"/>
        </w:rPr>
        <w:t>，社会消费品零售总额预计增长</w:t>
      </w:r>
      <w:r>
        <w:rPr>
          <w:rFonts w:hint="eastAsia" w:ascii="仿宋_GB2312" w:eastAsia="仿宋_GB2312"/>
          <w:sz w:val="32"/>
          <w:szCs w:val="32"/>
        </w:rPr>
        <w:t>11%</w:t>
      </w:r>
      <w:r>
        <w:rPr>
          <w:rFonts w:hint="eastAsia" w:ascii="仿宋_GB2312" w:hAnsi="宋体" w:eastAsia="仿宋_GB2312"/>
          <w:sz w:val="32"/>
          <w:szCs w:val="32"/>
        </w:rPr>
        <w:t>，规模以上工业增加值预计增长</w:t>
      </w:r>
      <w:r>
        <w:rPr>
          <w:rFonts w:hint="eastAsia" w:ascii="仿宋_GB2312" w:eastAsia="仿宋_GB2312"/>
          <w:sz w:val="32"/>
          <w:szCs w:val="32"/>
        </w:rPr>
        <w:t>4%</w:t>
      </w:r>
      <w:r>
        <w:rPr>
          <w:rFonts w:hint="eastAsia" w:ascii="仿宋_GB2312" w:hAnsi="宋体" w:eastAsia="仿宋_GB2312"/>
          <w:sz w:val="32"/>
          <w:szCs w:val="32"/>
        </w:rPr>
        <w:t>，城镇和农村居民人均可支配收入预计分别增长</w:t>
      </w:r>
      <w:r>
        <w:rPr>
          <w:rFonts w:hint="eastAsia" w:ascii="仿宋_GB2312" w:eastAsia="仿宋_GB2312"/>
          <w:sz w:val="32"/>
          <w:szCs w:val="32"/>
        </w:rPr>
        <w:t>7.5%</w:t>
      </w:r>
      <w:r>
        <w:rPr>
          <w:rFonts w:hint="eastAsia" w:ascii="仿宋_GB2312" w:hAnsi="宋体" w:eastAsia="仿宋_GB2312"/>
          <w:sz w:val="32"/>
          <w:szCs w:val="32"/>
        </w:rPr>
        <w:t>和</w:t>
      </w:r>
      <w:r>
        <w:rPr>
          <w:rFonts w:hint="eastAsia" w:ascii="仿宋_GB2312" w:eastAsia="仿宋_GB2312"/>
          <w:sz w:val="32"/>
          <w:szCs w:val="32"/>
        </w:rPr>
        <w:t>8%</w:t>
      </w:r>
      <w:r>
        <w:rPr>
          <w:rFonts w:hint="eastAsia" w:ascii="仿宋_GB2312" w:hAnsi="宋体" w:eastAsia="仿宋_GB2312"/>
          <w:sz w:val="32"/>
          <w:szCs w:val="32"/>
        </w:rPr>
        <w:t>。</w:t>
      </w:r>
    </w:p>
    <w:p>
      <w:pPr>
        <w:spacing w:line="500" w:lineRule="exact"/>
        <w:ind w:firstLine="720" w:firstLineChars="225"/>
        <w:rPr>
          <w:rFonts w:ascii="仿宋_GB2312" w:eastAsia="仿宋_GB2312"/>
          <w:sz w:val="32"/>
          <w:szCs w:val="32"/>
        </w:rPr>
      </w:pPr>
      <w:r>
        <w:rPr>
          <w:rFonts w:hint="eastAsia" w:ascii="仿宋_GB2312" w:hAnsi="宋体" w:eastAsia="仿宋_GB2312"/>
          <w:sz w:val="32"/>
          <w:szCs w:val="32"/>
        </w:rPr>
        <w:t>围绕实现以上目标任务，贯彻落实区委五届三次全会精神，做好</w:t>
      </w:r>
      <w:r>
        <w:rPr>
          <w:rFonts w:hint="eastAsia" w:ascii="仿宋_GB2312" w:eastAsia="仿宋_GB2312"/>
          <w:sz w:val="32"/>
          <w:szCs w:val="32"/>
        </w:rPr>
        <w:t>2018</w:t>
      </w:r>
      <w:r>
        <w:rPr>
          <w:rFonts w:hint="eastAsia" w:ascii="仿宋_GB2312" w:hAnsi="宋体" w:eastAsia="仿宋_GB2312"/>
          <w:sz w:val="32"/>
          <w:szCs w:val="32"/>
        </w:rPr>
        <w:t>年政府工作，我们将坚持</w:t>
      </w:r>
      <w:r>
        <w:rPr>
          <w:rFonts w:hint="eastAsia" w:ascii="仿宋_GB2312" w:eastAsia="仿宋_GB2312"/>
          <w:sz w:val="32"/>
          <w:szCs w:val="32"/>
        </w:rPr>
        <w:t>“</w:t>
      </w:r>
      <w:r>
        <w:rPr>
          <w:rFonts w:hint="eastAsia" w:ascii="仿宋_GB2312" w:hAnsi="宋体" w:eastAsia="仿宋_GB2312"/>
          <w:sz w:val="32"/>
          <w:szCs w:val="32"/>
        </w:rPr>
        <w:t>一个指导</w:t>
      </w:r>
      <w:r>
        <w:rPr>
          <w:rFonts w:hint="eastAsia" w:ascii="仿宋_GB2312" w:eastAsia="仿宋_GB2312"/>
          <w:sz w:val="32"/>
          <w:szCs w:val="32"/>
        </w:rPr>
        <w:t>”</w:t>
      </w:r>
      <w:r>
        <w:rPr>
          <w:rFonts w:hint="eastAsia" w:ascii="仿宋_GB2312" w:hAnsi="宋体" w:eastAsia="仿宋_GB2312"/>
          <w:sz w:val="32"/>
          <w:szCs w:val="32"/>
        </w:rPr>
        <w:t>：坚持以习近平新时代中国特色社会主义思想为指导，全面深入贯彻党的十九大精神，落实</w:t>
      </w:r>
      <w:r>
        <w:rPr>
          <w:rFonts w:hint="eastAsia" w:ascii="仿宋_GB2312" w:eastAsia="仿宋_GB2312"/>
          <w:sz w:val="32"/>
          <w:szCs w:val="32"/>
        </w:rPr>
        <w:t>“</w:t>
      </w:r>
      <w:r>
        <w:rPr>
          <w:rFonts w:hint="eastAsia" w:ascii="仿宋_GB2312" w:hAnsi="宋体" w:eastAsia="仿宋_GB2312"/>
          <w:sz w:val="32"/>
          <w:szCs w:val="32"/>
        </w:rPr>
        <w:t>五位一体</w:t>
      </w:r>
      <w:r>
        <w:rPr>
          <w:rFonts w:hint="eastAsia" w:ascii="仿宋_GB2312" w:eastAsia="仿宋_GB2312"/>
          <w:sz w:val="32"/>
          <w:szCs w:val="32"/>
        </w:rPr>
        <w:t>”</w:t>
      </w:r>
      <w:r>
        <w:rPr>
          <w:rFonts w:hint="eastAsia" w:ascii="仿宋_GB2312" w:hAnsi="宋体" w:eastAsia="仿宋_GB2312"/>
          <w:sz w:val="32"/>
          <w:szCs w:val="32"/>
        </w:rPr>
        <w:t>总体布局和</w:t>
      </w:r>
      <w:r>
        <w:rPr>
          <w:rFonts w:hint="eastAsia" w:ascii="仿宋_GB2312" w:eastAsia="仿宋_GB2312"/>
          <w:sz w:val="32"/>
          <w:szCs w:val="32"/>
        </w:rPr>
        <w:t>“</w:t>
      </w:r>
      <w:r>
        <w:rPr>
          <w:rFonts w:hint="eastAsia" w:ascii="仿宋_GB2312" w:hAnsi="宋体" w:eastAsia="仿宋_GB2312"/>
          <w:sz w:val="32"/>
          <w:szCs w:val="32"/>
        </w:rPr>
        <w:t>四个全面</w:t>
      </w:r>
      <w:r>
        <w:rPr>
          <w:rFonts w:hint="eastAsia" w:ascii="仿宋_GB2312" w:eastAsia="仿宋_GB2312"/>
          <w:sz w:val="32"/>
          <w:szCs w:val="32"/>
        </w:rPr>
        <w:t>”</w:t>
      </w:r>
      <w:r>
        <w:rPr>
          <w:rFonts w:hint="eastAsia" w:ascii="仿宋_GB2312" w:hAnsi="宋体" w:eastAsia="仿宋_GB2312"/>
          <w:sz w:val="32"/>
          <w:szCs w:val="32"/>
        </w:rPr>
        <w:t>战略布局；树牢</w:t>
      </w:r>
      <w:r>
        <w:rPr>
          <w:rFonts w:hint="eastAsia" w:ascii="仿宋_GB2312" w:eastAsia="仿宋_GB2312"/>
          <w:sz w:val="32"/>
          <w:szCs w:val="32"/>
        </w:rPr>
        <w:t>“</w:t>
      </w:r>
      <w:r>
        <w:rPr>
          <w:rFonts w:hint="eastAsia" w:ascii="仿宋_GB2312" w:hAnsi="宋体" w:eastAsia="仿宋_GB2312"/>
          <w:sz w:val="32"/>
          <w:szCs w:val="32"/>
        </w:rPr>
        <w:t>一个理念</w:t>
      </w:r>
      <w:r>
        <w:rPr>
          <w:rFonts w:hint="eastAsia" w:ascii="仿宋_GB2312" w:eastAsia="仿宋_GB2312"/>
          <w:sz w:val="32"/>
          <w:szCs w:val="32"/>
        </w:rPr>
        <w:t>”</w:t>
      </w:r>
      <w:r>
        <w:rPr>
          <w:rFonts w:hint="eastAsia" w:ascii="仿宋_GB2312" w:hAnsi="宋体" w:eastAsia="仿宋_GB2312"/>
          <w:sz w:val="32"/>
          <w:szCs w:val="32"/>
        </w:rPr>
        <w:t>：坚持以人民为中心的发展思想，把实现人民对美好生活的向往作为根本的价值取向，努力实现平衡充分发展；把握</w:t>
      </w:r>
      <w:r>
        <w:rPr>
          <w:rFonts w:hint="eastAsia" w:ascii="仿宋_GB2312" w:eastAsia="仿宋_GB2312"/>
          <w:sz w:val="32"/>
          <w:szCs w:val="32"/>
        </w:rPr>
        <w:t>“</w:t>
      </w:r>
      <w:r>
        <w:rPr>
          <w:rFonts w:hint="eastAsia" w:ascii="仿宋_GB2312" w:hAnsi="宋体" w:eastAsia="仿宋_GB2312"/>
          <w:sz w:val="32"/>
          <w:szCs w:val="32"/>
        </w:rPr>
        <w:t>一条主线</w:t>
      </w:r>
      <w:r>
        <w:rPr>
          <w:rFonts w:hint="eastAsia" w:ascii="仿宋_GB2312" w:eastAsia="仿宋_GB2312"/>
          <w:sz w:val="32"/>
          <w:szCs w:val="32"/>
        </w:rPr>
        <w:t>”</w:t>
      </w:r>
      <w:r>
        <w:rPr>
          <w:rFonts w:hint="eastAsia" w:ascii="仿宋_GB2312" w:hAnsi="宋体" w:eastAsia="仿宋_GB2312"/>
          <w:sz w:val="32"/>
          <w:szCs w:val="32"/>
        </w:rPr>
        <w:t>：牢牢把握供给侧结构性改革这条主线，统筹各项工作，推进高质量发展；做到</w:t>
      </w:r>
      <w:r>
        <w:rPr>
          <w:rFonts w:hint="eastAsia" w:ascii="仿宋_GB2312" w:eastAsia="仿宋_GB2312"/>
          <w:sz w:val="32"/>
          <w:szCs w:val="32"/>
        </w:rPr>
        <w:t>“</w:t>
      </w:r>
      <w:r>
        <w:rPr>
          <w:rFonts w:hint="eastAsia" w:ascii="仿宋_GB2312" w:hAnsi="宋体" w:eastAsia="仿宋_GB2312"/>
          <w:sz w:val="32"/>
          <w:szCs w:val="32"/>
        </w:rPr>
        <w:t>六个更加坚定</w:t>
      </w:r>
      <w:r>
        <w:rPr>
          <w:rFonts w:hint="eastAsia" w:ascii="仿宋_GB2312" w:eastAsia="仿宋_GB2312"/>
          <w:sz w:val="32"/>
          <w:szCs w:val="32"/>
        </w:rPr>
        <w:t>”</w:t>
      </w:r>
      <w:r>
        <w:rPr>
          <w:rFonts w:hint="eastAsia" w:ascii="仿宋_GB2312" w:hAnsi="宋体" w:eastAsia="仿宋_GB2312"/>
          <w:sz w:val="32"/>
          <w:szCs w:val="32"/>
        </w:rPr>
        <w:t>：更加坚定政治建设，更加坚定高质量发展，更加坚定协同发展，更加坚定生态优先，更加坚定人民至上，更加坚定维护稳定；实施</w:t>
      </w:r>
      <w:r>
        <w:rPr>
          <w:rFonts w:hint="eastAsia" w:ascii="仿宋_GB2312" w:eastAsia="仿宋_GB2312"/>
          <w:sz w:val="32"/>
          <w:szCs w:val="32"/>
        </w:rPr>
        <w:t>“</w:t>
      </w:r>
      <w:r>
        <w:rPr>
          <w:rFonts w:hint="eastAsia" w:ascii="仿宋_GB2312" w:hAnsi="宋体" w:eastAsia="仿宋_GB2312"/>
          <w:sz w:val="32"/>
          <w:szCs w:val="32"/>
        </w:rPr>
        <w:t>五个突破</w:t>
      </w:r>
      <w:r>
        <w:rPr>
          <w:rFonts w:hint="eastAsia" w:ascii="仿宋_GB2312" w:eastAsia="仿宋_GB2312"/>
          <w:sz w:val="32"/>
          <w:szCs w:val="32"/>
        </w:rPr>
        <w:t>”</w:t>
      </w:r>
      <w:r>
        <w:rPr>
          <w:rFonts w:hint="eastAsia" w:ascii="仿宋_GB2312" w:hAnsi="宋体" w:eastAsia="仿宋_GB2312"/>
          <w:sz w:val="32"/>
          <w:szCs w:val="32"/>
        </w:rPr>
        <w:t>：努力在创新城市经济、壮大产业园区、优化生态环境、提速城乡并进、推进民生共享上实现突破。</w:t>
      </w:r>
      <w:r>
        <w:rPr>
          <w:rFonts w:hint="eastAsia" w:ascii="仿宋_GB2312" w:eastAsia="仿宋_GB2312"/>
          <w:sz w:val="32"/>
          <w:szCs w:val="32"/>
        </w:rPr>
        <w:t> </w:t>
      </w:r>
    </w:p>
    <w:p>
      <w:pPr>
        <w:spacing w:line="500" w:lineRule="exact"/>
        <w:ind w:firstLine="723" w:firstLineChars="225"/>
        <w:rPr>
          <w:rFonts w:ascii="仿宋_GB2312" w:eastAsia="仿宋_GB2312"/>
          <w:sz w:val="32"/>
          <w:szCs w:val="32"/>
        </w:rPr>
      </w:pPr>
      <w:r>
        <w:rPr>
          <w:rFonts w:hint="eastAsia" w:ascii="仿宋_GB2312" w:eastAsia="仿宋_GB2312"/>
          <w:b/>
          <w:sz w:val="32"/>
          <w:szCs w:val="32"/>
        </w:rPr>
        <w:t>职责分类绩效目标：</w:t>
      </w:r>
    </w:p>
    <w:p>
      <w:pPr>
        <w:spacing w:line="500" w:lineRule="exact"/>
        <w:ind w:firstLine="720" w:firstLineChars="225"/>
        <w:rPr>
          <w:rFonts w:ascii="仿宋_GB2312" w:eastAsia="仿宋_GB2312"/>
          <w:sz w:val="32"/>
          <w:szCs w:val="32"/>
        </w:rPr>
      </w:pPr>
      <w:r>
        <w:rPr>
          <w:rFonts w:hint="eastAsia" w:ascii="仿宋_GB2312" w:eastAsia="仿宋_GB2312"/>
          <w:sz w:val="32"/>
          <w:szCs w:val="32"/>
        </w:rPr>
        <w:t>1、政务服务：突出政务、加强事务、提升服务，力求重点工作出精品，难点工作求突破、基础工作有创新、常规工作见特色。以机关干部作风量化指标为依据，增强了工作综合服。</w:t>
      </w:r>
    </w:p>
    <w:p>
      <w:pPr>
        <w:spacing w:line="500" w:lineRule="exact"/>
        <w:ind w:firstLine="720" w:firstLineChars="225"/>
        <w:rPr>
          <w:rFonts w:ascii="仿宋_GB2312" w:eastAsia="仿宋_GB2312"/>
          <w:sz w:val="32"/>
          <w:szCs w:val="32"/>
        </w:rPr>
      </w:pPr>
      <w:r>
        <w:rPr>
          <w:rFonts w:hint="eastAsia" w:ascii="仿宋_GB2312" w:eastAsia="仿宋_GB2312"/>
          <w:sz w:val="32"/>
          <w:szCs w:val="32"/>
        </w:rPr>
        <w:t>2、应急管理：建设运行维护好区政府应急平台，实现各种实用功能，有效保证区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镇、各部门应急工作，确保信息报送及时畅通，不出差错和问题。</w:t>
      </w:r>
    </w:p>
    <w:p>
      <w:pPr>
        <w:spacing w:line="500" w:lineRule="exact"/>
        <w:ind w:firstLine="720" w:firstLineChars="225"/>
        <w:rPr>
          <w:rFonts w:ascii="仿宋_GB2312" w:eastAsia="仿宋_GB2312"/>
          <w:sz w:val="32"/>
          <w:szCs w:val="32"/>
        </w:rPr>
      </w:pPr>
      <w:r>
        <w:rPr>
          <w:rFonts w:hint="eastAsia" w:ascii="仿宋_GB2312" w:eastAsia="仿宋_GB2312"/>
          <w:sz w:val="32"/>
          <w:szCs w:val="32"/>
        </w:rPr>
        <w:t>3、电子政务管理：确保各类会议顺利进行；保障区政府网络系统安全、稳定运行，技术设备安全可用。严格执行会议技术保障服务流程和电视电话会议室管理制度。切实提高技术保障和服务能力，力争领导满意、群众满意、部门满意。</w:t>
      </w:r>
    </w:p>
    <w:p>
      <w:pPr>
        <w:spacing w:line="500" w:lineRule="exact"/>
        <w:ind w:firstLine="720" w:firstLineChars="225"/>
        <w:rPr>
          <w:rFonts w:ascii="仿宋_GB2312" w:eastAsia="仿宋_GB2312"/>
          <w:sz w:val="32"/>
          <w:szCs w:val="32"/>
        </w:rPr>
      </w:pPr>
      <w:r>
        <w:rPr>
          <w:rFonts w:hint="eastAsia" w:ascii="仿宋_GB2312" w:eastAsia="仿宋_GB2312"/>
          <w:sz w:val="32"/>
          <w:szCs w:val="32"/>
        </w:rPr>
        <w:t>4、综合服务保障：确保机关办公内网使用（全区共40根光纤）及中心办公网络使用正常。</w:t>
      </w:r>
    </w:p>
    <w:p>
      <w:pPr>
        <w:spacing w:line="500" w:lineRule="exact"/>
        <w:ind w:firstLine="720" w:firstLineChars="225"/>
        <w:rPr>
          <w:rFonts w:ascii="仿宋_GB2312" w:eastAsia="仿宋_GB2312"/>
          <w:sz w:val="32"/>
          <w:szCs w:val="32"/>
        </w:rPr>
      </w:pPr>
      <w:r>
        <w:rPr>
          <w:rFonts w:hint="eastAsia" w:ascii="仿宋_GB2312" w:eastAsia="仿宋_GB2312"/>
          <w:sz w:val="32"/>
          <w:szCs w:val="32"/>
        </w:rPr>
        <w:t>5、政务管理：保障机关后勤工作；加强门卫人员的管理；加强对机关进出车辆的管理；及时维修维护水、电管线；加强各楼层楼道、厕所卫生管理。一招人员生活保障。负责整个大院的电费、水费、暖气费的交缴工作；绿化维护及冬季防寒防护；中心临时工作人员工资；中心大厅保洁；中心新增设备费用：叫号机、办公桌椅、微机、打印机、床等；中心办公耗材费用：纸、打印机硒鼓注粉、换硒鼓、微机损坏配件更换；其他用品：锁芯、垃圾桶、插座等；垃圾清运费；食堂补贴；各楼层热水器维修；室外监控、楼道监控及中心办公设置维护；中心窗口工作人员午餐补助；行政服务中心三证合一服务人员聘用经费。</w:t>
      </w:r>
    </w:p>
    <w:p>
      <w:pPr>
        <w:spacing w:line="500" w:lineRule="exact"/>
        <w:ind w:firstLine="720" w:firstLineChars="225"/>
        <w:rPr>
          <w:rFonts w:ascii="仿宋_GB2312" w:eastAsia="仿宋_GB2312"/>
          <w:sz w:val="32"/>
          <w:szCs w:val="32"/>
        </w:rPr>
      </w:pPr>
      <w:r>
        <w:rPr>
          <w:rFonts w:hint="eastAsia" w:ascii="仿宋_GB2312" w:eastAsia="仿宋_GB2312"/>
          <w:sz w:val="32"/>
          <w:szCs w:val="32"/>
        </w:rPr>
        <w:t>6、组织推进依法行政：加强对行政执法人员培训及证件管理、执法行为监督检查，办理行政复议案件，不断提高行政执法人员素质和执法水平，做好依法行政考核工作，全面推进依法行政。</w:t>
      </w:r>
    </w:p>
    <w:p>
      <w:pPr>
        <w:spacing w:line="500" w:lineRule="exact"/>
        <w:ind w:firstLine="720" w:firstLineChars="225"/>
        <w:rPr>
          <w:rFonts w:ascii="仿宋_GB2312" w:eastAsia="仿宋_GB2312"/>
          <w:sz w:val="32"/>
          <w:szCs w:val="32"/>
        </w:rPr>
      </w:pPr>
      <w:r>
        <w:rPr>
          <w:rFonts w:hint="eastAsia" w:ascii="仿宋_GB2312" w:eastAsia="仿宋_GB2312"/>
          <w:sz w:val="32"/>
          <w:szCs w:val="32"/>
        </w:rPr>
        <w:t>7、政府法制宣传教育：做好领导干部学法及讲座工作，采取多种方式加强依法行政宣传，加强网站建设管理。</w:t>
      </w:r>
    </w:p>
    <w:p>
      <w:pPr>
        <w:spacing w:line="500" w:lineRule="exact"/>
        <w:ind w:firstLine="720" w:firstLineChars="225"/>
        <w:rPr>
          <w:rFonts w:ascii="仿宋_GB2312" w:eastAsia="仿宋_GB2312"/>
          <w:sz w:val="32"/>
          <w:szCs w:val="32"/>
        </w:rPr>
      </w:pPr>
      <w:r>
        <w:rPr>
          <w:rFonts w:hint="eastAsia" w:ascii="仿宋_GB2312" w:eastAsia="仿宋_GB2312"/>
          <w:sz w:val="32"/>
          <w:szCs w:val="32"/>
        </w:rPr>
        <w:t>8、政府法制综合业务管理：开展对外法制业务交流。负责办机关人事、劳资、行政后勤、财务和资产管理等工作。</w:t>
      </w:r>
    </w:p>
    <w:p>
      <w:pPr>
        <w:spacing w:line="500" w:lineRule="exact"/>
        <w:ind w:firstLine="720" w:firstLineChars="225"/>
        <w:rPr>
          <w:rFonts w:ascii="仿宋_GB2312" w:eastAsia="仿宋_GB2312"/>
          <w:sz w:val="32"/>
          <w:szCs w:val="32"/>
        </w:rPr>
      </w:pPr>
      <w:r>
        <w:rPr>
          <w:rFonts w:hint="eastAsia" w:ascii="仿宋_GB2312" w:eastAsia="仿宋_GB2312"/>
          <w:sz w:val="32"/>
          <w:szCs w:val="32"/>
        </w:rPr>
        <w:t>9、金融生态环境建设：地方金融机构建设与协调合作，金融生态环境建设。</w:t>
      </w:r>
    </w:p>
    <w:p>
      <w:pPr>
        <w:spacing w:line="500" w:lineRule="exact"/>
        <w:ind w:firstLine="720" w:firstLineChars="225"/>
        <w:rPr>
          <w:rFonts w:ascii="仿宋_GB2312" w:eastAsia="仿宋_GB2312"/>
          <w:sz w:val="32"/>
          <w:szCs w:val="32"/>
        </w:rPr>
      </w:pPr>
      <w:r>
        <w:rPr>
          <w:rFonts w:hint="eastAsia" w:ascii="仿宋_GB2312" w:eastAsia="仿宋_GB2312"/>
          <w:sz w:val="32"/>
          <w:szCs w:val="32"/>
        </w:rPr>
        <w:t>10、地方金融机构建设和监管：拟定加强地方金融机构建设的指导意见，组织协调新设立的地方法人金融机构的谋划、申报等前期工作，指导新型农村金融机构组建和发展，负责全县农村信用社改革的组织、协调。</w:t>
      </w:r>
    </w:p>
    <w:p>
      <w:pPr>
        <w:spacing w:line="500" w:lineRule="exact"/>
        <w:ind w:firstLine="720" w:firstLineChars="225"/>
        <w:rPr>
          <w:rFonts w:ascii="仿宋_GB2312" w:eastAsia="仿宋_GB2312"/>
          <w:sz w:val="32"/>
          <w:szCs w:val="32"/>
        </w:rPr>
      </w:pPr>
      <w:r>
        <w:rPr>
          <w:rFonts w:hint="eastAsia" w:ascii="仿宋_GB2312" w:eastAsia="仿宋_GB2312"/>
          <w:sz w:val="32"/>
          <w:szCs w:val="32"/>
        </w:rPr>
        <w:t>11、金融协调服务和交流合作：研究制定我区金融协同发展方案，引进金融机构、金融后台等。</w:t>
      </w:r>
    </w:p>
    <w:p>
      <w:pPr>
        <w:spacing w:line="500" w:lineRule="exact"/>
        <w:ind w:firstLine="720" w:firstLineChars="225"/>
        <w:rPr>
          <w:rFonts w:ascii="仿宋_GB2312" w:eastAsia="仿宋_GB2312"/>
          <w:sz w:val="32"/>
          <w:szCs w:val="32"/>
        </w:rPr>
      </w:pPr>
      <w:r>
        <w:rPr>
          <w:rFonts w:hint="eastAsia" w:ascii="仿宋_GB2312" w:eastAsia="仿宋_GB2312"/>
          <w:sz w:val="32"/>
          <w:szCs w:val="32"/>
        </w:rPr>
        <w:t>12、大气污染治理工作：负责大气污染治理领导小组日常工作，制定全区大气污染治理工作规划、工作制度、有关方案和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w:t>
      </w:r>
    </w:p>
    <w:p>
      <w:pPr>
        <w:spacing w:line="500" w:lineRule="exact"/>
        <w:ind w:firstLine="720" w:firstLineChars="225"/>
        <w:rPr>
          <w:rFonts w:ascii="仿宋_GB2312" w:eastAsia="仿宋_GB2312"/>
          <w:sz w:val="32"/>
          <w:szCs w:val="32"/>
        </w:rPr>
      </w:pPr>
      <w:r>
        <w:rPr>
          <w:rFonts w:hint="eastAsia" w:ascii="仿宋_GB2312" w:eastAsia="仿宋_GB2312"/>
          <w:sz w:val="32"/>
          <w:szCs w:val="32"/>
        </w:rPr>
        <w:t>13、数字化城市管理：负责辖区数字化城市管理的协调调度、监督检查、考核评比等工作；负责研究制定辖区数字化城市管理案件办理工作流程、工作制度，以及数字化城管发展规划；负责分指挥中心系统平台管理，接收市级指挥中心派遣的案件，并派遣到辖区终端单位进行处置；配合搞好辖区城市部件数据普查、更新和修测等工作。</w:t>
      </w:r>
    </w:p>
    <w:p>
      <w:pPr>
        <w:spacing w:line="584" w:lineRule="exact"/>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部门职责及工作活动绩效目标指标：</w:t>
      </w:r>
    </w:p>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p>
      <w:pPr>
        <w:spacing w:line="300" w:lineRule="exact"/>
        <w:jc w:val="left"/>
        <w:outlineLvl w:val="0"/>
        <w:rPr>
          <w:rFonts w:ascii="仿宋_GB2312" w:eastAsia="仿宋_GB2312"/>
          <w:b/>
          <w:sz w:val="32"/>
        </w:r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151廊坊市广阳区人民政府办公室</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一、政务服务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政务公开、区政府会议管理、督察督办、政务联络等工作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突出政务、加强事务、提升服务，力求重点工作出精品，难点工作求突破、基础工作有创新、常规工作见特色。以机关干部作风量化指标为依据，增强了工作综合服</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1、政务公开</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承担区政务公开暨行政权力公开透明运行工作领导小组的日常工作，指导和协调全区政务公开及政务服务中心建设、推进行政服务体系标准化建设工作。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通过完成区政务信息公开工作的指导监督工作，使全区政府信息公开业务队伍素质不断提高，业务水平进一步提升；政府政务信息公开范围不断扩大，公开内容得到进一步细化。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政务信息公开培训任务完成率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政务信息公开检查数量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2、会议管理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区政府会议的准备和服务工作，协助区政府领导组织会议决定事项的落实。（包括银企对接、项目拉链、招商引资等大型会议）</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做好区政府会议保障；严格区直各部门以区政府名义召开的会议审批，控制会议费开支规模。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大型会议控制率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承办大型会议次数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大型会议经费(万元)</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&gt;20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3、督查督办</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督促检查区政府各部门对政府决定事项及政府领导重要指示的执行落实情况并跟踪调研，及时向区政府领导报告。组织承办人大代表和政协提案工作。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确保区政府决定事项及区政府领导重要指示得到贯彻落实。</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决策部署督查反馈率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事项督查反馈率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督查督办落实任务数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≥1646</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≥1600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4、政务联络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负责区领导、区有关部门公务活动的接待安排。</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做好县际间与我区政务往来服务保障工作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重大活动联络服务工作完成率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组织对外联络次数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对外联络服务水平</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优质</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良好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一般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二、应急管理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区政府值班工作，及时报告重要情况，传达和督促落实区政府领导指示。协助区政府领导做好需由区政府组织处理的突发事件应急处置工作。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设运行维护好区政府应急平台，实现各种实用功能，有效保证区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镇、各部门应急工作，确保信息报送及时畅通，不出差错和问题。</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1、应急管理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区政府值班工作，及时报告重要情况，传达和督促落实区政府领导指示。协助区政府领导做好需由区政府组织处理的突发事件应急处置工作。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维护好区政府应急平台，确保全区应急工作顺利完成；各类突发事件得到及时妥善处置</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平台互联互通性能情况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完全互通</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大部分互通</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部分互通</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基本互通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应急事件处置情况及时率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系统全年累计故障时长</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&lt;48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&lt;96</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&lt;192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三、电子政务管理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政务信息服务工作和政府系统机关电子政务工作。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类会议顺利进行；保障区政府网络系统安全、稳定运行，技术设备安全可用。严格执行会议技术保障服务流程和电视电话会议室管理制度。切实提高技术保障和服务能力，力争领导满意、群众满意、部门满意。</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1、政府电子政务管理与服务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政务信息服务工作和政府系统机关电子政务工作。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确保各类会议顺利进行；保障区政府网络系统安全、稳定运行，技术设备安全可用</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会议保障率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网络系统升级率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视频会议系统信号断点情况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信号优良</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信号正常</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偶有断点</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不正常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四、地方志事务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全区地方志事务管理。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弘扬和传承优秀文化传统，充分发挥志书“资政、存史、教化”的综合功能，为社会各界方便快捷提供县情，为本区经济社会建设服务，为地方志工作者提供资料和工具。</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1、地方志事务管理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拟订全区地方志工作规划并组织实施；搜集、保存、管理地方文献和资料；组织开发利用地方志资源；建设和维护县地方志区情网络。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为社会各界方便快捷提供区情，为经济社会建设服务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修志队伍培训次数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区级年鉴编纂任务完成率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内容、编校、设计、印刷差错率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&gt;0.5‰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五、政府办公室政务管理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按照有关要求，做好机关日常办公所需及办公区房屋与附属设施的维修、维护工作；做好机关办公区绿化、美化工作；做好后勤保障和老干部管理服务工作，以及食品安全工作和城市拆迁建设工作。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服务领导和机关保障有力为目标，增强了优质后勤管理水平，通过加强公车管理，降低运行成本，为创建节约型机关打下了良好的基础。采取保障区政府领导和机关工作办公环境的措施，提升了服务管理水平，保障了区领导和机关工作的正常运转。及时了解国内外形势、党和国家的方针政策以及区委、区政府办公室的重要部署和要求，及时为老干部提供优质高效服务。保证了食品安全和城市拆迁建设工作顺利开展。</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助区政府领导组织起草或审核上报市政府以及以区政府办公室名义发布的公文；办理区政府各部门和下级政府报送的文电；对区政府部门间出现的争议问题提出处理意见；组织起草区政府领导重要讲话及其他重要文稿；组织专题调研；承办区政府领导交办的其他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高质量审核公文，让区领导满意；及时办理各类文电，确保事项在第一时间得到区领导批示意见；高质量起草的区领导重要讲话及重要文稿。</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各项综合业务管理工作完成率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 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稿件应用率（%）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各项综合事务管理工作完成率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 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六、广阳区政务服务中心事务</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159.28</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主要办理公民，法人和其他组织申请的审批，核准，办证，办照等事项。通信保障、部门综合事务管理等</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以“方便群众、提升形象、服务经济、促进发展”为工作理念，以“规范、便民、高效、廉洁”为服务宗旨，为广大群众和投资者提供优质的服务，努力打造政府服务经济社会发展的一流服务平台。</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1、资产、节能管理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机关办公用房管理、公务用车的管理。</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加强机关国有资产管理，维护国有资产安全和完整。深入推进节能工作。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公共机构节能推进率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公车统计报告率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条码化管理覆盖率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2、通信管理和保障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确保机关办公内网使用（全区共40根光纤）及中心办公网络使用正常；</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加强线路改造；完善宽带网络建设；确保通信联络畅通。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lang w:eastAsia="zh-CN"/>
              </w:rPr>
              <w:t>通讯</w:t>
            </w:r>
            <w:r>
              <w:rPr>
                <w:rFonts w:hint="eastAsia" w:ascii="仿宋_GB2312" w:eastAsia="仿宋_GB2312"/>
                <w:szCs w:val="21"/>
              </w:rPr>
              <w:t>网络故障率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lang w:eastAsia="zh-CN"/>
              </w:rPr>
              <w:t>通讯</w:t>
            </w:r>
            <w:r>
              <w:rPr>
                <w:rFonts w:hint="eastAsia" w:ascii="仿宋_GB2312" w:eastAsia="仿宋_GB2312"/>
                <w:szCs w:val="21"/>
              </w:rPr>
              <w:t>网络维护运用率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lang w:eastAsia="zh-CN"/>
              </w:rPr>
              <w:t>通讯</w:t>
            </w:r>
            <w:r>
              <w:rPr>
                <w:rFonts w:hint="eastAsia" w:ascii="仿宋_GB2312" w:eastAsia="仿宋_GB2312"/>
                <w:szCs w:val="21"/>
              </w:rPr>
              <w:t>网络安检率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3、综合业务管理</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159.28</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保障机关后勤工作；加强门卫人员的管理；加强对机关进出车辆的管理；及时维修维护水、电管线；加强各楼层楼道、厕所卫生管理。一招人员生活保障。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推进机关事务管理工作科学发展；提高管理、保障、服务水平；协调推进改革进程，理顺机关事务管理工作体制。提高人员素质；推进机关事业单位办公环境改善。搞好服务保障，为广大干部职工提供安全、快捷、细致、周到的工作环境；加强财务管理，确保资金安全，提高财政资金使用效益。</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综合事务保障完成率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综合事物规范率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七、法制办事务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承担区政府全面推进依法行政工作领导小组办公室日常工作；制定全区依法行政考核指标体系，组织依法行政考核工作；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通过对行政执法人员和行政执法行为监督管理，和法制宣传，不断提高行政执法水平，发挥行政复议纠错职能，保障相对人合法权益，全面考核依法行政工作，推进依法行政。</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1、组织推进依法行政</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承担区政府全面推进依法行政工作领导小组办公室日常工作；制定全区依法行政考核指标体系，组织依法行政考核工作。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通过组织全区依法行政考核工作，进一步推动法治政府建设。</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考核成果应用数量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全区依法行政考核工作组织次数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依法行政量化标准通过率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2、执法监督</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组织执法监督检查，加强对行政执法人员资格审查、年检考试、证件管理、培训，加强对执法行为的监督检查，审核行政执法主体资格，提高执法水平。</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推进执法责任制、评议考核制、执法监督制度，组织全区执法监督检查工作，加强对行政执法人员资格、年检考试、培训和证件管理，审核执法主体资格，推进依法行政</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依法行政行动次数（次）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执法培训人员合格率（%）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执法培训人数（人）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3、行政复议</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依法受理行政复议申请，履行行政复议法规定的各项职责；承办由区政府、区政府各部门、各乡镇行政行为引起的行政复议案件；受区政府委托，作好行政应诉工作；做好行政调解工作。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通过依法受理并办理行政复议案件，办理行政诉讼、裁决案件，及时纠正各级行政机关违法不当行为，保障申请人合法权益，推动依法行政。</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行政复议案件到期办结率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行政应诉案件胜诉率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综合纠错率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4、文件审核</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加强规范性文件管理，提高规范性文件制定质量；加强政府合同审查备案和资料管理工作，有效防范合同签订履行的法律风险。</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严格规范性文件合法性审查把关，全面开展规范性文件清理工作，加强规范性文件备案；审核涉及经济产业发展、招商引资、民生工程建设等重大事项的行政合同、协议。</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文件级目录数据化工作完成率（%）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档案整理、移交、接收、管理、保存工作完成率（%）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规范性文件资料完好率（%）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5、政府法制宣传教育</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落实领导干部学法制度有关工作。对区政府法制信息网站运行、维护，对行政执法人员和执法依据数据库维护管理。宣传依法行政的法律知识；组织协调新闻单位开展依法行政方面的采访报道；编发政府法制工作信息；组织依法行政重要事件和新制定政府规章的新闻发布活动。</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做好法制宣传网站、政府法治刊物、编纂政府法制年鉴等工作，为依法行政创造良好的法律氛围和舆论环境。</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每周向区委和区政府报送信息数量任务完成率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依法行政采访报道次数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每周向区委区市政府报送信息数量任务完成率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6、建立健全政府法律顾问制度</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积极聘请政府法律顾问，努力发挥法律顾问在促进依法决策和依法管理中的作用。</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推进政府法律顾问制度建设。</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提供法律咨询数量（件）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聘用法律顾问总人数（人）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服务主体满意度（%）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八、金融办事务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地方金融机构建设与协调合作，金融生态环境建设。拟定加强地方金融机构建设的指导意见，组织协调新设立的地方法人金融机构的谋划、申报等前期工作，指导新型农村金融机构组建和发展，负责全县农村信用社改革的组织、协调。研究制定我区金融协同发展方案，引进金融机构、金融后台等。</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提高我区金融业对外开放水平，净化金融市场，维护社会稳定，促进金融产业健康发展。提高我区金融业对外开放水平</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1、金融生态环境建设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依法加强金融监管，整顿和规范金融市场秩序，协调非法集资等案件的查处、善后处置和维护金融稳定，指导全区金融生态环境和社会信用体系建设。</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严守不发生系统性、区域性金融风险的底线，净化金融市场，防止非法集资活动的蔓延，维护社会稳定。协调解决金融机构发展中遇到的问题，组织好项目对接，推动投融资体系建设和投融资机构做大做强，促进驻县机构服务县域经济社会发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监测预警体系覆盖率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集中宣传教育活动组织次数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非法集资综合治理工作开展情况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完成并上报</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系统性、区域性金融风险发生情况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不发生</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个别企业发生</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部分企业发生</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区域性发生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2、小额贷款公司监管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加强小额贷款公司试点和监管工作力量，完善工作制度，切实提高监管能力和手段</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积极稳妥推动小额贷款公司稳步增长，发挥支农、支小作用。</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小额贷款公司贷款余额增长率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小额贷款公司审计范围覆盖率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小额贷款公司挂牌数量（家）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对新型农村金融机构现场检查次数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对小额贷款公司督导巡查次数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九、大气污染治理工作</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大气污染治理领导小组日常工作，制定全区大气污染治理工作规划、工作制度、有关方案和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制定全区大气污染治理工作计划、工作制度、工作方案及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等工作，实现大气污染防治年度治理目标，切实减少雾霾污染，有效改造空气质量。</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1、协调推进大气污染治理工作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根据上级文件精神和要求，制定全区大气污染治理任务计划、工作制度、工作方案及考核办法；分解各项工作任务，明确各区直有关部门的工作任务和职责，协调推进各部门工作开展，确保完成省市下达的各项工作任务。</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准确传达上级工作任务部署和本级工作安排，实现大气污染防治各项具体任务全面安排落实到位，实现年度工作指标。</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年度任务、指标完成率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核查重污染企业数（个）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淘汰重污染企业数（个）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起草各类文稿，做好大气污染治理相关工作会议筹备及会务组织工作，做好领导小组交办的其他事项。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高质量完成各类文稿撰写工作，精心进行会议筹备和组织，确保大气污染治理工作有序开展。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综合业务完成进度（%）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十、数字化城市管理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辖区数字化城市管理的协调调度、监督检查、考核评比等工作；负责研究制定辖区数字化城市管理案件办理工作流程、工作制度，以及数字化城管发展规划；负责分指挥中心系统平台管理，接收市级指挥中心派遣的案件，并派遣到辖区终端单位进行处置；配合搞好辖区城市部件数据普查、更新和修测等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进一步推进数字化城市管理工作，加强辖区数字化终端监督管理力度，拓展辖区监管内容和范围，细化普查数据，全面协助推进数字城管效率建设</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业务学习，制定平台管理人员、各终端单位操作人员定期培训制度，提高业务水平，确保系统运行高效、畅通。落实《廊坊市数字化城市管理系统运行实施办法》，提高管理效能，保障数字化城市管理系统高效运行，全面提升现代城市管理水平。深入实施《廊坊市数字化城管综合绩效考评办法》，对各终端单位工作进行综合评价，提高城市管理的科学化和规范化水平。加大宣传力度，营造舆论氛围，增强市民参与数字化城市管理工作的积极性和主动性。</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改善城区生活条件，美化城市环境，推进数字化城市管理建设</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案件处置结案率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案件通过率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bookmarkEnd w:id="0"/>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仿宋_GB2312" w:hAnsi="Times New Roman" w:eastAsia="仿宋_GB2312" w:cs="Times New Roman"/>
          <w:sz w:val="32"/>
          <w:szCs w:val="24"/>
        </w:rPr>
      </w:pPr>
      <w:bookmarkStart w:id="2" w:name="_Toc471398468"/>
      <w:r>
        <w:rPr>
          <w:rFonts w:hint="eastAsia" w:ascii="仿宋_GB2312" w:hAnsi="Times New Roman" w:eastAsia="仿宋_GB2312" w:cs="Times New Roman"/>
          <w:sz w:val="32"/>
          <w:szCs w:val="24"/>
        </w:rPr>
        <w:t>2019年，我部门安排政府采购预算2.7万元。具体内容见下表。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仿宋_GB2312" w:hAnsi="Times New Roman" w:eastAsia="仿宋_GB2312" w:cs="Times New Roman"/>
                <w:sz w:val="24"/>
              </w:rPr>
            </w:pPr>
            <w:r>
              <w:rPr>
                <w:rFonts w:hint="eastAsia" w:ascii="仿宋_GB2312" w:hAnsi="Times New Roman" w:eastAsia="仿宋_GB2312" w:cs="Times New Roman"/>
                <w:sz w:val="24"/>
              </w:rPr>
              <w:t>151廊坊市广阳区人民政府办公室</w:t>
            </w:r>
          </w:p>
        </w:tc>
        <w:tc>
          <w:tcPr>
            <w:tcW w:w="6391"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仿宋_GB2312" w:hAnsi="Times New Roman" w:eastAsia="仿宋_GB2312" w:cs="Times New Roman"/>
                <w:sz w:val="24"/>
              </w:rPr>
            </w:pPr>
            <w:r>
              <w:rPr>
                <w:rFonts w:hint="eastAsia" w:ascii="仿宋_GB2312"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3" w:type="dxa"/>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93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137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72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74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95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6391" w:type="dxa"/>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1057"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4555" w:type="dxa"/>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88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40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057"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79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92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92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88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1057"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2.7</w:t>
            </w:r>
          </w:p>
        </w:tc>
        <w:tc>
          <w:tcPr>
            <w:tcW w:w="932" w:type="dxa"/>
            <w:shd w:val="clear" w:color="auto" w:fill="auto"/>
            <w:vAlign w:val="center"/>
          </w:tcPr>
          <w:p>
            <w:pPr>
              <w:spacing w:line="584" w:lineRule="exact"/>
              <w:jc w:val="left"/>
              <w:rPr>
                <w:rFonts w:ascii="Times New Roman" w:hAnsi="Times New Roman" w:eastAsia="仿宋_GB2312" w:cs="Times New Roman"/>
                <w:b/>
              </w:rPr>
            </w:pPr>
          </w:p>
        </w:tc>
        <w:tc>
          <w:tcPr>
            <w:tcW w:w="1372" w:type="dxa"/>
            <w:shd w:val="clear" w:color="auto" w:fill="auto"/>
            <w:vAlign w:val="center"/>
          </w:tcPr>
          <w:p>
            <w:pPr>
              <w:spacing w:line="584" w:lineRule="exact"/>
              <w:jc w:val="left"/>
              <w:rPr>
                <w:rFonts w:ascii="Times New Roman" w:hAnsi="Times New Roman" w:eastAsia="仿宋_GB2312" w:cs="Times New Roman"/>
                <w:b/>
              </w:rPr>
            </w:pPr>
          </w:p>
        </w:tc>
        <w:tc>
          <w:tcPr>
            <w:tcW w:w="720" w:type="dxa"/>
            <w:shd w:val="clear" w:color="auto" w:fill="auto"/>
            <w:vAlign w:val="center"/>
          </w:tcPr>
          <w:p>
            <w:pPr>
              <w:spacing w:line="584" w:lineRule="exact"/>
              <w:jc w:val="left"/>
              <w:rPr>
                <w:rFonts w:ascii="Times New Roman" w:hAnsi="Times New Roman" w:eastAsia="仿宋_GB2312" w:cs="Times New Roman"/>
                <w:b/>
              </w:rPr>
            </w:pPr>
          </w:p>
        </w:tc>
        <w:tc>
          <w:tcPr>
            <w:tcW w:w="740"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9</w:t>
            </w:r>
          </w:p>
        </w:tc>
        <w:tc>
          <w:tcPr>
            <w:tcW w:w="950"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0.3</w:t>
            </w: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2.7</w:t>
            </w:r>
          </w:p>
        </w:tc>
        <w:tc>
          <w:tcPr>
            <w:tcW w:w="956"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2.7</w:t>
            </w:r>
          </w:p>
        </w:tc>
        <w:tc>
          <w:tcPr>
            <w:tcW w:w="790" w:type="dxa"/>
            <w:shd w:val="clear" w:color="auto" w:fill="auto"/>
            <w:vAlign w:val="center"/>
          </w:tcPr>
          <w:p>
            <w:pPr>
              <w:spacing w:line="584" w:lineRule="exact"/>
              <w:jc w:val="right"/>
              <w:rPr>
                <w:rFonts w:ascii="Times New Roman" w:hAnsi="Times New Roman" w:eastAsia="仿宋_GB2312" w:cs="Times New Roman"/>
                <w:b/>
              </w:rPr>
            </w:pPr>
          </w:p>
        </w:tc>
        <w:tc>
          <w:tcPr>
            <w:tcW w:w="924" w:type="dxa"/>
            <w:shd w:val="clear" w:color="auto" w:fill="auto"/>
            <w:vAlign w:val="center"/>
          </w:tcPr>
          <w:p>
            <w:pPr>
              <w:spacing w:line="584" w:lineRule="exact"/>
              <w:jc w:val="right"/>
              <w:rPr>
                <w:rFonts w:ascii="Times New Roman" w:hAnsi="Times New Roman" w:eastAsia="仿宋_GB2312" w:cs="Times New Roman"/>
                <w:b/>
              </w:rPr>
            </w:pPr>
          </w:p>
        </w:tc>
        <w:tc>
          <w:tcPr>
            <w:tcW w:w="929" w:type="dxa"/>
            <w:shd w:val="clear" w:color="auto" w:fill="auto"/>
            <w:vAlign w:val="center"/>
          </w:tcPr>
          <w:p>
            <w:pPr>
              <w:spacing w:line="584" w:lineRule="exact"/>
              <w:jc w:val="right"/>
              <w:rPr>
                <w:rFonts w:ascii="Times New Roman" w:hAnsi="Times New Roman" w:eastAsia="仿宋_GB2312" w:cs="Times New Roman"/>
                <w:b/>
              </w:rPr>
            </w:pPr>
          </w:p>
        </w:tc>
        <w:tc>
          <w:tcPr>
            <w:tcW w:w="880"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计算机设备</w:t>
            </w:r>
          </w:p>
        </w:tc>
        <w:tc>
          <w:tcPr>
            <w:tcW w:w="1057" w:type="dxa"/>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0.9</w:t>
            </w:r>
          </w:p>
        </w:tc>
        <w:tc>
          <w:tcPr>
            <w:tcW w:w="932" w:type="dxa"/>
            <w:shd w:val="clear" w:color="auto" w:fill="auto"/>
            <w:vAlign w:val="center"/>
          </w:tcPr>
          <w:p>
            <w:pPr>
              <w:spacing w:line="584" w:lineRule="exact"/>
              <w:jc w:val="left"/>
              <w:rPr>
                <w:rFonts w:ascii="仿宋_GB2312" w:hAnsi="Times New Roman" w:eastAsia="仿宋_GB2312" w:cs="Times New Roman"/>
                <w:szCs w:val="21"/>
              </w:rPr>
            </w:pPr>
            <w:r>
              <w:rPr>
                <w:rFonts w:hint="eastAsia" w:ascii="仿宋_GB2312" w:eastAsia="仿宋_GB2312"/>
                <w:color w:val="000000"/>
                <w:szCs w:val="21"/>
              </w:rPr>
              <w:t>计算机设备及软件</w:t>
            </w:r>
          </w:p>
        </w:tc>
        <w:tc>
          <w:tcPr>
            <w:tcW w:w="1372" w:type="dxa"/>
            <w:shd w:val="clear" w:color="auto" w:fill="auto"/>
            <w:vAlign w:val="center"/>
          </w:tcPr>
          <w:p>
            <w:pPr>
              <w:rPr>
                <w:rFonts w:ascii="仿宋_GB2312" w:hAnsi="宋体" w:eastAsia="仿宋_GB2312" w:cs="宋体"/>
                <w:color w:val="000000"/>
                <w:szCs w:val="21"/>
              </w:rPr>
            </w:pPr>
            <w:r>
              <w:rPr>
                <w:rFonts w:hint="eastAsia" w:ascii="仿宋_GB2312" w:eastAsia="仿宋_GB2312"/>
                <w:color w:val="000000"/>
                <w:szCs w:val="21"/>
              </w:rPr>
              <w:t>[A0201]</w:t>
            </w:r>
            <w:r>
              <w:rPr>
                <w:rFonts w:hint="eastAsia" w:ascii="仿宋_GB2312" w:hAnsi="宋体" w:eastAsia="仿宋_GB2312" w:cs="宋体"/>
                <w:color w:val="000000"/>
                <w:szCs w:val="21"/>
              </w:rPr>
              <w:t xml:space="preserve"> </w:t>
            </w:r>
          </w:p>
        </w:tc>
        <w:tc>
          <w:tcPr>
            <w:tcW w:w="720" w:type="dxa"/>
            <w:shd w:val="clear" w:color="auto" w:fill="auto"/>
            <w:vAlign w:val="center"/>
          </w:tcPr>
          <w:p>
            <w:pPr>
              <w:spacing w:line="584" w:lineRule="exact"/>
              <w:jc w:val="left"/>
              <w:rPr>
                <w:rFonts w:ascii="仿宋_GB2312" w:hAnsi="Times New Roman" w:eastAsia="仿宋_GB2312" w:cs="Times New Roman"/>
                <w:szCs w:val="21"/>
              </w:rPr>
            </w:pPr>
            <w:r>
              <w:rPr>
                <w:rFonts w:hint="eastAsia" w:ascii="仿宋_GB2312" w:hAnsi="Times New Roman" w:eastAsia="仿宋_GB2312" w:cs="Times New Roman"/>
                <w:szCs w:val="21"/>
              </w:rPr>
              <w:t>台</w:t>
            </w:r>
          </w:p>
        </w:tc>
        <w:tc>
          <w:tcPr>
            <w:tcW w:w="740" w:type="dxa"/>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3</w:t>
            </w:r>
          </w:p>
        </w:tc>
        <w:tc>
          <w:tcPr>
            <w:tcW w:w="950" w:type="dxa"/>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0.3</w:t>
            </w:r>
          </w:p>
        </w:tc>
        <w:tc>
          <w:tcPr>
            <w:tcW w:w="956" w:type="dxa"/>
            <w:shd w:val="clear" w:color="auto" w:fill="auto"/>
            <w:vAlign w:val="center"/>
          </w:tcPr>
          <w:p>
            <w:pPr>
              <w:spacing w:line="584" w:lineRule="exact"/>
              <w:jc w:val="right"/>
              <w:rPr>
                <w:rFonts w:ascii="仿宋_GB2312" w:hAnsi="Times New Roman" w:eastAsia="仿宋_GB2312" w:cs="Times New Roman"/>
                <w:szCs w:val="21"/>
              </w:rPr>
            </w:pPr>
          </w:p>
        </w:tc>
        <w:tc>
          <w:tcPr>
            <w:tcW w:w="956" w:type="dxa"/>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0.9</w:t>
            </w:r>
          </w:p>
        </w:tc>
        <w:tc>
          <w:tcPr>
            <w:tcW w:w="956" w:type="dxa"/>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0.9</w:t>
            </w:r>
          </w:p>
        </w:tc>
        <w:tc>
          <w:tcPr>
            <w:tcW w:w="790" w:type="dxa"/>
            <w:shd w:val="clear" w:color="auto" w:fill="auto"/>
            <w:vAlign w:val="center"/>
          </w:tcPr>
          <w:p>
            <w:pPr>
              <w:spacing w:line="584" w:lineRule="exact"/>
              <w:jc w:val="right"/>
              <w:rPr>
                <w:rFonts w:ascii="仿宋_GB2312" w:hAnsi="Times New Roman" w:eastAsia="仿宋_GB2312" w:cs="Times New Roman"/>
                <w:szCs w:val="21"/>
              </w:rPr>
            </w:pPr>
          </w:p>
        </w:tc>
        <w:tc>
          <w:tcPr>
            <w:tcW w:w="924" w:type="dxa"/>
            <w:shd w:val="clear" w:color="auto" w:fill="auto"/>
            <w:vAlign w:val="center"/>
          </w:tcPr>
          <w:p>
            <w:pPr>
              <w:spacing w:line="584" w:lineRule="exact"/>
              <w:jc w:val="right"/>
              <w:rPr>
                <w:rFonts w:ascii="仿宋_GB2312" w:hAnsi="Times New Roman" w:eastAsia="仿宋_GB2312" w:cs="Times New Roman"/>
                <w:szCs w:val="21"/>
              </w:rPr>
            </w:pPr>
          </w:p>
        </w:tc>
        <w:tc>
          <w:tcPr>
            <w:tcW w:w="929" w:type="dxa"/>
            <w:shd w:val="clear" w:color="auto" w:fill="auto"/>
            <w:vAlign w:val="center"/>
          </w:tcPr>
          <w:p>
            <w:pPr>
              <w:spacing w:line="584" w:lineRule="exact"/>
              <w:jc w:val="right"/>
              <w:rPr>
                <w:rFonts w:ascii="仿宋_GB2312" w:hAnsi="Times New Roman" w:eastAsia="仿宋_GB2312" w:cs="Times New Roman"/>
                <w:szCs w:val="21"/>
              </w:rPr>
            </w:pPr>
          </w:p>
        </w:tc>
        <w:tc>
          <w:tcPr>
            <w:tcW w:w="880" w:type="dxa"/>
            <w:shd w:val="clear" w:color="auto" w:fill="auto"/>
            <w:vAlign w:val="center"/>
          </w:tcPr>
          <w:p>
            <w:pPr>
              <w:spacing w:line="584" w:lineRule="exact"/>
              <w:jc w:val="right"/>
              <w:rPr>
                <w:rFonts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空调</w:t>
            </w:r>
          </w:p>
        </w:tc>
        <w:tc>
          <w:tcPr>
            <w:tcW w:w="1057" w:type="dxa"/>
            <w:shd w:val="clear" w:color="auto" w:fill="auto"/>
            <w:vAlign w:val="center"/>
          </w:tcPr>
          <w:p>
            <w:pPr>
              <w:spacing w:line="584" w:lineRule="exact"/>
              <w:jc w:val="right"/>
              <w:rPr>
                <w:rFonts w:ascii="仿宋_GB2312" w:hAnsi="Times New Roman" w:eastAsia="仿宋_GB2312" w:cs="Times New Roman"/>
                <w:bCs/>
                <w:szCs w:val="21"/>
              </w:rPr>
            </w:pPr>
            <w:r>
              <w:rPr>
                <w:rFonts w:hint="eastAsia" w:ascii="仿宋_GB2312" w:hAnsi="Times New Roman" w:eastAsia="仿宋_GB2312" w:cs="Times New Roman"/>
                <w:bCs/>
                <w:szCs w:val="21"/>
              </w:rPr>
              <w:t>0.9</w:t>
            </w:r>
          </w:p>
        </w:tc>
        <w:tc>
          <w:tcPr>
            <w:tcW w:w="932" w:type="dxa"/>
            <w:shd w:val="clear" w:color="auto" w:fill="auto"/>
            <w:vAlign w:val="center"/>
          </w:tcPr>
          <w:p>
            <w:pPr>
              <w:spacing w:line="584" w:lineRule="exact"/>
              <w:jc w:val="left"/>
              <w:rPr>
                <w:rFonts w:ascii="仿宋_GB2312" w:hAnsi="Times New Roman" w:eastAsia="仿宋_GB2312" w:cs="Times New Roman"/>
                <w:bCs/>
                <w:szCs w:val="21"/>
              </w:rPr>
            </w:pPr>
            <w:r>
              <w:rPr>
                <w:rFonts w:hint="eastAsia" w:ascii="仿宋_GB2312" w:eastAsia="仿宋_GB2312"/>
                <w:color w:val="000000"/>
                <w:szCs w:val="21"/>
              </w:rPr>
              <w:t>打印设备</w:t>
            </w:r>
          </w:p>
        </w:tc>
        <w:tc>
          <w:tcPr>
            <w:tcW w:w="1372" w:type="dxa"/>
            <w:shd w:val="clear" w:color="auto" w:fill="auto"/>
            <w:vAlign w:val="center"/>
          </w:tcPr>
          <w:p>
            <w:pPr>
              <w:rPr>
                <w:rFonts w:ascii="仿宋_GB2312" w:hAnsi="宋体" w:eastAsia="仿宋_GB2312" w:cs="宋体"/>
                <w:color w:val="000000"/>
                <w:szCs w:val="21"/>
              </w:rPr>
            </w:pPr>
            <w:r>
              <w:rPr>
                <w:rFonts w:hint="eastAsia" w:ascii="仿宋_GB2312" w:eastAsia="仿宋_GB2312"/>
                <w:color w:val="000000"/>
                <w:szCs w:val="21"/>
              </w:rPr>
              <w:t>[A02010601]</w:t>
            </w:r>
            <w:r>
              <w:rPr>
                <w:rFonts w:hint="eastAsia" w:ascii="仿宋_GB2312" w:hAnsi="宋体" w:eastAsia="仿宋_GB2312" w:cs="宋体"/>
                <w:color w:val="000000"/>
                <w:szCs w:val="21"/>
              </w:rPr>
              <w:t xml:space="preserve"> </w:t>
            </w:r>
          </w:p>
        </w:tc>
        <w:tc>
          <w:tcPr>
            <w:tcW w:w="720" w:type="dxa"/>
            <w:shd w:val="clear" w:color="auto" w:fill="auto"/>
            <w:vAlign w:val="center"/>
          </w:tcPr>
          <w:p>
            <w:pPr>
              <w:spacing w:line="584" w:lineRule="exact"/>
              <w:jc w:val="left"/>
              <w:rPr>
                <w:rFonts w:ascii="仿宋_GB2312" w:hAnsi="Times New Roman" w:eastAsia="仿宋_GB2312" w:cs="Times New Roman"/>
                <w:bCs/>
                <w:szCs w:val="21"/>
              </w:rPr>
            </w:pPr>
            <w:r>
              <w:rPr>
                <w:rFonts w:hint="eastAsia" w:ascii="仿宋_GB2312" w:hAnsi="Times New Roman" w:eastAsia="仿宋_GB2312" w:cs="Times New Roman"/>
                <w:bCs/>
                <w:szCs w:val="21"/>
              </w:rPr>
              <w:t>台</w:t>
            </w:r>
          </w:p>
        </w:tc>
        <w:tc>
          <w:tcPr>
            <w:tcW w:w="740" w:type="dxa"/>
            <w:shd w:val="clear" w:color="auto" w:fill="auto"/>
            <w:vAlign w:val="center"/>
          </w:tcPr>
          <w:p>
            <w:pPr>
              <w:spacing w:line="584" w:lineRule="exact"/>
              <w:jc w:val="right"/>
              <w:rPr>
                <w:rFonts w:ascii="仿宋_GB2312" w:hAnsi="Times New Roman" w:eastAsia="仿宋_GB2312" w:cs="Times New Roman"/>
                <w:bCs/>
                <w:szCs w:val="21"/>
              </w:rPr>
            </w:pPr>
            <w:r>
              <w:rPr>
                <w:rFonts w:hint="eastAsia" w:ascii="仿宋_GB2312" w:hAnsi="Times New Roman" w:eastAsia="仿宋_GB2312" w:cs="Times New Roman"/>
                <w:bCs/>
                <w:szCs w:val="21"/>
              </w:rPr>
              <w:t>3</w:t>
            </w:r>
          </w:p>
        </w:tc>
        <w:tc>
          <w:tcPr>
            <w:tcW w:w="950" w:type="dxa"/>
            <w:shd w:val="clear" w:color="auto" w:fill="auto"/>
            <w:vAlign w:val="center"/>
          </w:tcPr>
          <w:p>
            <w:pPr>
              <w:spacing w:line="584" w:lineRule="exact"/>
              <w:jc w:val="right"/>
              <w:rPr>
                <w:rFonts w:ascii="仿宋_GB2312" w:hAnsi="Times New Roman" w:eastAsia="仿宋_GB2312" w:cs="Times New Roman"/>
                <w:bCs/>
                <w:szCs w:val="21"/>
              </w:rPr>
            </w:pPr>
            <w:r>
              <w:rPr>
                <w:rFonts w:hint="eastAsia" w:ascii="仿宋_GB2312" w:hAnsi="Times New Roman" w:eastAsia="仿宋_GB2312" w:cs="Times New Roman"/>
                <w:bCs/>
                <w:szCs w:val="21"/>
              </w:rPr>
              <w:t>0.3</w:t>
            </w:r>
          </w:p>
        </w:tc>
        <w:tc>
          <w:tcPr>
            <w:tcW w:w="956" w:type="dxa"/>
            <w:shd w:val="clear" w:color="auto" w:fill="auto"/>
            <w:vAlign w:val="center"/>
          </w:tcPr>
          <w:p>
            <w:pPr>
              <w:spacing w:line="584" w:lineRule="exact"/>
              <w:jc w:val="right"/>
              <w:rPr>
                <w:rFonts w:ascii="仿宋_GB2312" w:hAnsi="Times New Roman" w:eastAsia="仿宋_GB2312" w:cs="Times New Roman"/>
                <w:bCs/>
                <w:szCs w:val="21"/>
              </w:rPr>
            </w:pPr>
          </w:p>
        </w:tc>
        <w:tc>
          <w:tcPr>
            <w:tcW w:w="956" w:type="dxa"/>
            <w:shd w:val="clear" w:color="auto" w:fill="auto"/>
            <w:vAlign w:val="center"/>
          </w:tcPr>
          <w:p>
            <w:pPr>
              <w:spacing w:line="584" w:lineRule="exact"/>
              <w:jc w:val="right"/>
              <w:rPr>
                <w:rFonts w:ascii="仿宋_GB2312" w:hAnsi="Times New Roman" w:eastAsia="仿宋_GB2312" w:cs="Times New Roman"/>
                <w:bCs/>
                <w:szCs w:val="21"/>
              </w:rPr>
            </w:pPr>
            <w:r>
              <w:rPr>
                <w:rFonts w:hint="eastAsia" w:ascii="仿宋_GB2312" w:hAnsi="Times New Roman" w:eastAsia="仿宋_GB2312" w:cs="Times New Roman"/>
                <w:bCs/>
                <w:szCs w:val="21"/>
              </w:rPr>
              <w:t>0.9</w:t>
            </w:r>
          </w:p>
        </w:tc>
        <w:tc>
          <w:tcPr>
            <w:tcW w:w="956" w:type="dxa"/>
            <w:shd w:val="clear" w:color="auto" w:fill="auto"/>
            <w:vAlign w:val="center"/>
          </w:tcPr>
          <w:p>
            <w:pPr>
              <w:spacing w:line="584" w:lineRule="exact"/>
              <w:jc w:val="right"/>
              <w:rPr>
                <w:rFonts w:ascii="仿宋_GB2312" w:hAnsi="Times New Roman" w:eastAsia="仿宋_GB2312" w:cs="Times New Roman"/>
                <w:bCs/>
                <w:szCs w:val="21"/>
              </w:rPr>
            </w:pPr>
            <w:r>
              <w:rPr>
                <w:rFonts w:hint="eastAsia" w:ascii="仿宋_GB2312" w:hAnsi="Times New Roman" w:eastAsia="仿宋_GB2312" w:cs="Times New Roman"/>
                <w:bCs/>
                <w:szCs w:val="21"/>
              </w:rPr>
              <w:t>0.9</w:t>
            </w:r>
          </w:p>
        </w:tc>
        <w:tc>
          <w:tcPr>
            <w:tcW w:w="790" w:type="dxa"/>
            <w:shd w:val="clear" w:color="auto" w:fill="auto"/>
            <w:vAlign w:val="center"/>
          </w:tcPr>
          <w:p>
            <w:pPr>
              <w:spacing w:line="584" w:lineRule="exact"/>
              <w:jc w:val="right"/>
              <w:rPr>
                <w:rFonts w:ascii="仿宋_GB2312" w:hAnsi="Times New Roman" w:eastAsia="仿宋_GB2312" w:cs="Times New Roman"/>
                <w:bCs/>
                <w:szCs w:val="21"/>
              </w:rPr>
            </w:pPr>
          </w:p>
        </w:tc>
        <w:tc>
          <w:tcPr>
            <w:tcW w:w="924" w:type="dxa"/>
            <w:shd w:val="clear" w:color="auto" w:fill="auto"/>
            <w:vAlign w:val="center"/>
          </w:tcPr>
          <w:p>
            <w:pPr>
              <w:spacing w:line="584" w:lineRule="exact"/>
              <w:jc w:val="right"/>
              <w:rPr>
                <w:rFonts w:ascii="仿宋_GB2312" w:hAnsi="Times New Roman" w:eastAsia="仿宋_GB2312" w:cs="Times New Roman"/>
                <w:szCs w:val="21"/>
              </w:rPr>
            </w:pPr>
          </w:p>
        </w:tc>
        <w:tc>
          <w:tcPr>
            <w:tcW w:w="929" w:type="dxa"/>
            <w:shd w:val="clear" w:color="auto" w:fill="auto"/>
            <w:vAlign w:val="center"/>
          </w:tcPr>
          <w:p>
            <w:pPr>
              <w:spacing w:line="584" w:lineRule="exact"/>
              <w:jc w:val="right"/>
              <w:rPr>
                <w:rFonts w:ascii="仿宋_GB2312" w:hAnsi="Times New Roman" w:eastAsia="仿宋_GB2312" w:cs="Times New Roman"/>
                <w:szCs w:val="21"/>
              </w:rPr>
            </w:pPr>
          </w:p>
        </w:tc>
        <w:tc>
          <w:tcPr>
            <w:tcW w:w="880" w:type="dxa"/>
            <w:shd w:val="clear" w:color="auto" w:fill="auto"/>
            <w:vAlign w:val="center"/>
          </w:tcPr>
          <w:p>
            <w:pPr>
              <w:spacing w:line="584" w:lineRule="exact"/>
              <w:jc w:val="right"/>
              <w:rPr>
                <w:rFonts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406" w:type="dxa"/>
            <w:shd w:val="clear" w:color="auto" w:fill="auto"/>
            <w:vAlign w:val="center"/>
          </w:tcPr>
          <w:p>
            <w:pPr>
              <w:spacing w:line="584" w:lineRule="exact"/>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打印设备</w:t>
            </w:r>
          </w:p>
        </w:tc>
        <w:tc>
          <w:tcPr>
            <w:tcW w:w="1057" w:type="dxa"/>
            <w:shd w:val="clear" w:color="auto" w:fill="auto"/>
            <w:vAlign w:val="center"/>
          </w:tcPr>
          <w:p>
            <w:pPr>
              <w:spacing w:line="584" w:lineRule="exact"/>
              <w:jc w:val="right"/>
              <w:rPr>
                <w:rFonts w:ascii="仿宋_GB2312" w:hAnsi="Times New Roman" w:eastAsia="仿宋_GB2312" w:cs="Times New Roman"/>
                <w:bCs/>
                <w:szCs w:val="21"/>
              </w:rPr>
            </w:pPr>
            <w:r>
              <w:rPr>
                <w:rFonts w:hint="eastAsia" w:ascii="仿宋_GB2312" w:hAnsi="Times New Roman" w:eastAsia="仿宋_GB2312" w:cs="Times New Roman"/>
                <w:bCs/>
                <w:szCs w:val="21"/>
              </w:rPr>
              <w:t>0.9</w:t>
            </w:r>
          </w:p>
        </w:tc>
        <w:tc>
          <w:tcPr>
            <w:tcW w:w="932" w:type="dxa"/>
            <w:shd w:val="clear" w:color="auto" w:fill="auto"/>
            <w:vAlign w:val="center"/>
          </w:tcPr>
          <w:p>
            <w:pPr>
              <w:spacing w:line="584" w:lineRule="exact"/>
              <w:jc w:val="left"/>
              <w:rPr>
                <w:rFonts w:ascii="仿宋_GB2312" w:hAnsi="Times New Roman" w:eastAsia="仿宋_GB2312" w:cs="Times New Roman"/>
                <w:bCs/>
                <w:szCs w:val="21"/>
              </w:rPr>
            </w:pPr>
            <w:r>
              <w:rPr>
                <w:rFonts w:hint="eastAsia" w:ascii="仿宋_GB2312" w:eastAsia="仿宋_GB2312"/>
                <w:color w:val="000000"/>
                <w:szCs w:val="21"/>
              </w:rPr>
              <w:t>空调机</w:t>
            </w:r>
          </w:p>
        </w:tc>
        <w:tc>
          <w:tcPr>
            <w:tcW w:w="1372" w:type="dxa"/>
            <w:shd w:val="clear" w:color="auto" w:fill="auto"/>
            <w:vAlign w:val="center"/>
          </w:tcPr>
          <w:p>
            <w:pPr>
              <w:rPr>
                <w:rFonts w:ascii="仿宋_GB2312" w:hAnsi="宋体" w:eastAsia="仿宋_GB2312" w:cs="宋体"/>
                <w:color w:val="000000"/>
                <w:szCs w:val="21"/>
              </w:rPr>
            </w:pPr>
            <w:r>
              <w:rPr>
                <w:rFonts w:hint="eastAsia" w:ascii="仿宋_GB2312" w:eastAsia="仿宋_GB2312"/>
                <w:color w:val="000000"/>
                <w:szCs w:val="21"/>
              </w:rPr>
              <w:t>[A0206180203]</w:t>
            </w:r>
            <w:r>
              <w:rPr>
                <w:rFonts w:hint="eastAsia" w:ascii="仿宋_GB2312" w:hAnsi="宋体" w:eastAsia="仿宋_GB2312" w:cs="宋体"/>
                <w:color w:val="000000"/>
                <w:szCs w:val="21"/>
              </w:rPr>
              <w:t xml:space="preserve"> </w:t>
            </w:r>
          </w:p>
        </w:tc>
        <w:tc>
          <w:tcPr>
            <w:tcW w:w="720" w:type="dxa"/>
            <w:shd w:val="clear" w:color="auto" w:fill="auto"/>
            <w:vAlign w:val="center"/>
          </w:tcPr>
          <w:p>
            <w:pPr>
              <w:spacing w:line="584" w:lineRule="exact"/>
              <w:jc w:val="left"/>
              <w:rPr>
                <w:rFonts w:ascii="仿宋_GB2312" w:hAnsi="Times New Roman" w:eastAsia="仿宋_GB2312" w:cs="Times New Roman"/>
                <w:bCs/>
                <w:szCs w:val="21"/>
              </w:rPr>
            </w:pPr>
            <w:r>
              <w:rPr>
                <w:rFonts w:hint="eastAsia" w:ascii="仿宋_GB2312" w:hAnsi="Times New Roman" w:eastAsia="仿宋_GB2312" w:cs="Times New Roman"/>
                <w:bCs/>
                <w:szCs w:val="21"/>
              </w:rPr>
              <w:t>台</w:t>
            </w:r>
          </w:p>
        </w:tc>
        <w:tc>
          <w:tcPr>
            <w:tcW w:w="740" w:type="dxa"/>
            <w:shd w:val="clear" w:color="auto" w:fill="auto"/>
            <w:vAlign w:val="center"/>
          </w:tcPr>
          <w:p>
            <w:pPr>
              <w:spacing w:line="584" w:lineRule="exact"/>
              <w:jc w:val="right"/>
              <w:rPr>
                <w:rFonts w:ascii="仿宋_GB2312" w:hAnsi="Times New Roman" w:eastAsia="仿宋_GB2312" w:cs="Times New Roman"/>
                <w:bCs/>
                <w:szCs w:val="21"/>
              </w:rPr>
            </w:pPr>
            <w:r>
              <w:rPr>
                <w:rFonts w:hint="eastAsia" w:ascii="仿宋_GB2312" w:hAnsi="Times New Roman" w:eastAsia="仿宋_GB2312" w:cs="Times New Roman"/>
                <w:bCs/>
                <w:szCs w:val="21"/>
              </w:rPr>
              <w:t>3</w:t>
            </w:r>
          </w:p>
        </w:tc>
        <w:tc>
          <w:tcPr>
            <w:tcW w:w="950" w:type="dxa"/>
            <w:shd w:val="clear" w:color="auto" w:fill="auto"/>
            <w:vAlign w:val="center"/>
          </w:tcPr>
          <w:p>
            <w:pPr>
              <w:spacing w:line="584" w:lineRule="exact"/>
              <w:jc w:val="right"/>
              <w:rPr>
                <w:rFonts w:ascii="仿宋_GB2312" w:hAnsi="Times New Roman" w:eastAsia="仿宋_GB2312" w:cs="Times New Roman"/>
                <w:bCs/>
                <w:szCs w:val="21"/>
              </w:rPr>
            </w:pPr>
            <w:r>
              <w:rPr>
                <w:rFonts w:hint="eastAsia" w:ascii="仿宋_GB2312" w:hAnsi="Times New Roman" w:eastAsia="仿宋_GB2312" w:cs="Times New Roman"/>
                <w:bCs/>
                <w:szCs w:val="21"/>
              </w:rPr>
              <w:t>0.3</w:t>
            </w:r>
          </w:p>
        </w:tc>
        <w:tc>
          <w:tcPr>
            <w:tcW w:w="956" w:type="dxa"/>
            <w:shd w:val="clear" w:color="auto" w:fill="auto"/>
            <w:vAlign w:val="center"/>
          </w:tcPr>
          <w:p>
            <w:pPr>
              <w:spacing w:line="584" w:lineRule="exact"/>
              <w:jc w:val="right"/>
              <w:rPr>
                <w:rFonts w:ascii="仿宋_GB2312" w:hAnsi="Times New Roman" w:eastAsia="仿宋_GB2312" w:cs="Times New Roman"/>
                <w:bCs/>
                <w:szCs w:val="21"/>
              </w:rPr>
            </w:pPr>
          </w:p>
        </w:tc>
        <w:tc>
          <w:tcPr>
            <w:tcW w:w="956" w:type="dxa"/>
            <w:shd w:val="clear" w:color="auto" w:fill="auto"/>
            <w:vAlign w:val="center"/>
          </w:tcPr>
          <w:p>
            <w:pPr>
              <w:spacing w:line="584" w:lineRule="exact"/>
              <w:jc w:val="right"/>
              <w:rPr>
                <w:rFonts w:ascii="仿宋_GB2312" w:hAnsi="Times New Roman" w:eastAsia="仿宋_GB2312" w:cs="Times New Roman"/>
                <w:bCs/>
                <w:szCs w:val="21"/>
              </w:rPr>
            </w:pPr>
            <w:r>
              <w:rPr>
                <w:rFonts w:hint="eastAsia" w:ascii="仿宋_GB2312" w:hAnsi="Times New Roman" w:eastAsia="仿宋_GB2312" w:cs="Times New Roman"/>
                <w:bCs/>
                <w:szCs w:val="21"/>
              </w:rPr>
              <w:t>0.9</w:t>
            </w:r>
          </w:p>
        </w:tc>
        <w:tc>
          <w:tcPr>
            <w:tcW w:w="956" w:type="dxa"/>
            <w:shd w:val="clear" w:color="auto" w:fill="auto"/>
            <w:vAlign w:val="center"/>
          </w:tcPr>
          <w:p>
            <w:pPr>
              <w:spacing w:line="584" w:lineRule="exact"/>
              <w:jc w:val="right"/>
              <w:rPr>
                <w:rFonts w:ascii="仿宋_GB2312" w:hAnsi="Times New Roman" w:eastAsia="仿宋_GB2312" w:cs="Times New Roman"/>
                <w:bCs/>
                <w:szCs w:val="21"/>
              </w:rPr>
            </w:pPr>
            <w:r>
              <w:rPr>
                <w:rFonts w:hint="eastAsia" w:ascii="仿宋_GB2312" w:hAnsi="Times New Roman" w:eastAsia="仿宋_GB2312" w:cs="Times New Roman"/>
                <w:bCs/>
                <w:szCs w:val="21"/>
              </w:rPr>
              <w:t>0.9</w:t>
            </w:r>
          </w:p>
        </w:tc>
        <w:tc>
          <w:tcPr>
            <w:tcW w:w="790" w:type="dxa"/>
            <w:shd w:val="clear" w:color="auto" w:fill="auto"/>
            <w:vAlign w:val="center"/>
          </w:tcPr>
          <w:p>
            <w:pPr>
              <w:spacing w:line="584" w:lineRule="exact"/>
              <w:jc w:val="right"/>
              <w:rPr>
                <w:rFonts w:ascii="仿宋_GB2312" w:hAnsi="Times New Roman" w:eastAsia="仿宋_GB2312" w:cs="Times New Roman"/>
                <w:bCs/>
                <w:szCs w:val="21"/>
              </w:rPr>
            </w:pPr>
          </w:p>
        </w:tc>
        <w:tc>
          <w:tcPr>
            <w:tcW w:w="924" w:type="dxa"/>
            <w:shd w:val="clear" w:color="auto" w:fill="auto"/>
            <w:vAlign w:val="center"/>
          </w:tcPr>
          <w:p>
            <w:pPr>
              <w:spacing w:line="584" w:lineRule="exact"/>
              <w:jc w:val="right"/>
              <w:rPr>
                <w:rFonts w:ascii="仿宋_GB2312" w:hAnsi="Times New Roman" w:eastAsia="仿宋_GB2312" w:cs="Times New Roman"/>
                <w:bCs/>
                <w:szCs w:val="21"/>
              </w:rPr>
            </w:pPr>
          </w:p>
        </w:tc>
        <w:tc>
          <w:tcPr>
            <w:tcW w:w="929" w:type="dxa"/>
            <w:shd w:val="clear" w:color="auto" w:fill="auto"/>
            <w:vAlign w:val="center"/>
          </w:tcPr>
          <w:p>
            <w:pPr>
              <w:spacing w:line="584" w:lineRule="exact"/>
              <w:jc w:val="right"/>
              <w:rPr>
                <w:rFonts w:ascii="仿宋_GB2312" w:hAnsi="Times New Roman" w:eastAsia="仿宋_GB2312" w:cs="Times New Roman"/>
                <w:szCs w:val="21"/>
              </w:rPr>
            </w:pPr>
          </w:p>
        </w:tc>
        <w:tc>
          <w:tcPr>
            <w:tcW w:w="880" w:type="dxa"/>
            <w:shd w:val="clear" w:color="auto" w:fill="auto"/>
            <w:vAlign w:val="center"/>
          </w:tcPr>
          <w:p>
            <w:pPr>
              <w:spacing w:line="584" w:lineRule="exact"/>
              <w:jc w:val="right"/>
              <w:rPr>
                <w:rFonts w:ascii="仿宋_GB2312"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廊坊市广阳区人民政府办公室（含所属单位）上年末固定资产金额为313.19万元，本年度我部门拟购置固定资产主要为计算机设备、打印设备、空调等，已列入政府采购预算。详见下表。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编制部门：151廊坊市广阳区人民政府办公室</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截止时间：2018年12月31日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仿宋_GB2312" w:hAnsi="Times New Roman" w:eastAsia="仿宋_GB2312" w:cs="Times New Roman"/>
                <w:kern w:val="0"/>
                <w:sz w:val="22"/>
              </w:rPr>
            </w:pPr>
            <w:r>
              <w:rPr>
                <w:rFonts w:hint="eastAsia" w:ascii="仿宋_GB2312"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313.19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153.65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159.54</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22</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20</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125E"/>
    <w:rsid w:val="0004565F"/>
    <w:rsid w:val="00065C5C"/>
    <w:rsid w:val="00072187"/>
    <w:rsid w:val="00075D5F"/>
    <w:rsid w:val="0008180F"/>
    <w:rsid w:val="000925E9"/>
    <w:rsid w:val="00093DA3"/>
    <w:rsid w:val="000B529B"/>
    <w:rsid w:val="000C24E6"/>
    <w:rsid w:val="000C3A19"/>
    <w:rsid w:val="000D7A81"/>
    <w:rsid w:val="000E4305"/>
    <w:rsid w:val="000F0D09"/>
    <w:rsid w:val="001245BB"/>
    <w:rsid w:val="001251A3"/>
    <w:rsid w:val="0015229A"/>
    <w:rsid w:val="00160266"/>
    <w:rsid w:val="001643E8"/>
    <w:rsid w:val="00174045"/>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B1C32"/>
    <w:rsid w:val="002C5E13"/>
    <w:rsid w:val="002C62BC"/>
    <w:rsid w:val="002E0EB8"/>
    <w:rsid w:val="002F3E58"/>
    <w:rsid w:val="0030542C"/>
    <w:rsid w:val="00311B7A"/>
    <w:rsid w:val="003126B6"/>
    <w:rsid w:val="00313D9C"/>
    <w:rsid w:val="00325215"/>
    <w:rsid w:val="0033339C"/>
    <w:rsid w:val="00335660"/>
    <w:rsid w:val="003B6D37"/>
    <w:rsid w:val="003C37EE"/>
    <w:rsid w:val="003C7E6D"/>
    <w:rsid w:val="004114B7"/>
    <w:rsid w:val="00414BD3"/>
    <w:rsid w:val="00424943"/>
    <w:rsid w:val="0042727E"/>
    <w:rsid w:val="0043175C"/>
    <w:rsid w:val="00437296"/>
    <w:rsid w:val="00444D85"/>
    <w:rsid w:val="00451590"/>
    <w:rsid w:val="00451871"/>
    <w:rsid w:val="004706DE"/>
    <w:rsid w:val="00472923"/>
    <w:rsid w:val="00486DCD"/>
    <w:rsid w:val="0049120C"/>
    <w:rsid w:val="004B0C3A"/>
    <w:rsid w:val="004C49A8"/>
    <w:rsid w:val="004C58D3"/>
    <w:rsid w:val="004D5788"/>
    <w:rsid w:val="004E3066"/>
    <w:rsid w:val="004E419C"/>
    <w:rsid w:val="004E74CD"/>
    <w:rsid w:val="00524EFD"/>
    <w:rsid w:val="00530DE0"/>
    <w:rsid w:val="00572067"/>
    <w:rsid w:val="005730D1"/>
    <w:rsid w:val="00573562"/>
    <w:rsid w:val="00590ECE"/>
    <w:rsid w:val="005C0E90"/>
    <w:rsid w:val="005D0C27"/>
    <w:rsid w:val="005D37CA"/>
    <w:rsid w:val="005F5714"/>
    <w:rsid w:val="005F7AE1"/>
    <w:rsid w:val="00611D03"/>
    <w:rsid w:val="00614A29"/>
    <w:rsid w:val="0061520C"/>
    <w:rsid w:val="00651BA2"/>
    <w:rsid w:val="00654FB9"/>
    <w:rsid w:val="00673D76"/>
    <w:rsid w:val="006854F0"/>
    <w:rsid w:val="006B1C4A"/>
    <w:rsid w:val="006B610D"/>
    <w:rsid w:val="006C206A"/>
    <w:rsid w:val="006E49F5"/>
    <w:rsid w:val="007013C8"/>
    <w:rsid w:val="00727C84"/>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2EA0"/>
    <w:rsid w:val="008A6576"/>
    <w:rsid w:val="008B3CC5"/>
    <w:rsid w:val="008B52CD"/>
    <w:rsid w:val="008C7C4D"/>
    <w:rsid w:val="008D3C58"/>
    <w:rsid w:val="008E4261"/>
    <w:rsid w:val="008E70D4"/>
    <w:rsid w:val="008F4662"/>
    <w:rsid w:val="0090563F"/>
    <w:rsid w:val="00905D08"/>
    <w:rsid w:val="00925753"/>
    <w:rsid w:val="00937F8B"/>
    <w:rsid w:val="009425F4"/>
    <w:rsid w:val="00943BD8"/>
    <w:rsid w:val="00954411"/>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B77AA"/>
    <w:rsid w:val="00AC0E98"/>
    <w:rsid w:val="00AC4748"/>
    <w:rsid w:val="00AD5259"/>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BE6099"/>
    <w:rsid w:val="00C005B2"/>
    <w:rsid w:val="00C1565C"/>
    <w:rsid w:val="00C21E0F"/>
    <w:rsid w:val="00C362CA"/>
    <w:rsid w:val="00C37A99"/>
    <w:rsid w:val="00C772C1"/>
    <w:rsid w:val="00C843CB"/>
    <w:rsid w:val="00C93D22"/>
    <w:rsid w:val="00CA7176"/>
    <w:rsid w:val="00CB51D7"/>
    <w:rsid w:val="00CC75B0"/>
    <w:rsid w:val="00CD2773"/>
    <w:rsid w:val="00CE01BA"/>
    <w:rsid w:val="00CE143B"/>
    <w:rsid w:val="00CE3A91"/>
    <w:rsid w:val="00D07DBA"/>
    <w:rsid w:val="00D16212"/>
    <w:rsid w:val="00D23C16"/>
    <w:rsid w:val="00D27003"/>
    <w:rsid w:val="00D324AD"/>
    <w:rsid w:val="00D9307A"/>
    <w:rsid w:val="00DB4322"/>
    <w:rsid w:val="00DD1D0C"/>
    <w:rsid w:val="00DE186D"/>
    <w:rsid w:val="00E167C7"/>
    <w:rsid w:val="00E440CF"/>
    <w:rsid w:val="00E55B78"/>
    <w:rsid w:val="00E76361"/>
    <w:rsid w:val="00E84020"/>
    <w:rsid w:val="00EB7A80"/>
    <w:rsid w:val="00EC47F6"/>
    <w:rsid w:val="00EE6D6D"/>
    <w:rsid w:val="00EF08C9"/>
    <w:rsid w:val="00EF535E"/>
    <w:rsid w:val="00F15CF0"/>
    <w:rsid w:val="00F42D41"/>
    <w:rsid w:val="00F471F7"/>
    <w:rsid w:val="00F66032"/>
    <w:rsid w:val="00F83B96"/>
    <w:rsid w:val="00F8441D"/>
    <w:rsid w:val="00F87C1E"/>
    <w:rsid w:val="00F958C2"/>
    <w:rsid w:val="00FA740E"/>
    <w:rsid w:val="00FC06C7"/>
    <w:rsid w:val="00FD5DB4"/>
    <w:rsid w:val="00FE1724"/>
    <w:rsid w:val="00FE753C"/>
    <w:rsid w:val="00FF2346"/>
    <w:rsid w:val="069C1D8B"/>
    <w:rsid w:val="14211153"/>
    <w:rsid w:val="14C17EA0"/>
    <w:rsid w:val="1AA065BF"/>
    <w:rsid w:val="2F81777F"/>
    <w:rsid w:val="39DB1E48"/>
    <w:rsid w:val="486A3402"/>
    <w:rsid w:val="4EC10EB7"/>
    <w:rsid w:val="5AEA670A"/>
    <w:rsid w:val="5E8463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6"/>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otnote reference"/>
    <w:semiHidden/>
    <w:unhideWhenUsed/>
    <w:qFormat/>
    <w:uiPriority w:val="99"/>
    <w:rPr>
      <w:vertAlign w:val="superscript"/>
    </w:rPr>
  </w:style>
  <w:style w:type="character" w:customStyle="1" w:styleId="12">
    <w:name w:val="页眉 Char"/>
    <w:basedOn w:val="10"/>
    <w:link w:val="4"/>
    <w:qFormat/>
    <w:uiPriority w:val="99"/>
    <w:rPr>
      <w:rFonts w:ascii="Times New Roman" w:hAnsi="Times New Roman" w:eastAsia="宋体" w:cs="Times New Roman"/>
      <w:sz w:val="18"/>
      <w:szCs w:val="18"/>
    </w:rPr>
  </w:style>
  <w:style w:type="character" w:customStyle="1" w:styleId="13">
    <w:name w:val="页脚 Char"/>
    <w:basedOn w:val="10"/>
    <w:link w:val="3"/>
    <w:qFormat/>
    <w:uiPriority w:val="99"/>
    <w:rPr>
      <w:rFonts w:ascii="Times New Roman" w:hAnsi="Times New Roman" w:eastAsia="宋体" w:cs="Times New Roman"/>
      <w:sz w:val="18"/>
      <w:szCs w:val="18"/>
    </w:rPr>
  </w:style>
  <w:style w:type="character" w:customStyle="1" w:styleId="14">
    <w:name w:val="批注框文本 Char"/>
    <w:basedOn w:val="10"/>
    <w:link w:val="2"/>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6">
    <w:name w:val="脚注文本 Char"/>
    <w:basedOn w:val="10"/>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51BB-CDEA-47ED-AE9F-E2C4E14927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1890</Words>
  <Characters>10777</Characters>
  <Lines>89</Lines>
  <Paragraphs>25</Paragraphs>
  <TotalTime>121</TotalTime>
  <ScaleCrop>false</ScaleCrop>
  <LinksUpToDate>false</LinksUpToDate>
  <CharactersWithSpaces>12642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2019-02-19T07:06:00Z</cp:lastPrinted>
  <dcterms:modified xsi:type="dcterms:W3CDTF">2024-05-15T02:58:22Z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0C917038D28247A9AB79EF011DEB7DC0</vt:lpwstr>
  </property>
</Properties>
</file>