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中国人民政治协商会议廊坊市广阳区委员会</w:t>
      </w: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2019年部门预算信息公开</w:t>
      </w:r>
      <w:bookmarkStart w:id="5" w:name="_GoBack"/>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r>
        <w:rPr>
          <w:rFonts w:hint="eastAsia" w:ascii="仿宋_GB2312" w:hAnsi="Times New Roman" w:eastAsia="仿宋_GB2312" w:cs="Times New Roman"/>
          <w:sz w:val="32"/>
          <w:szCs w:val="32"/>
        </w:rPr>
        <w:t>预算法》、《地方预决算公开操作规程》和《河北省省级预算公开办法》规定，现将</w:t>
      </w:r>
      <w:r>
        <w:rPr>
          <w:rFonts w:hint="eastAsia" w:ascii="仿宋_GB2312" w:eastAsia="仿宋_GB2312" w:cs="宋体"/>
          <w:color w:val="000000"/>
          <w:kern w:val="0"/>
          <w:sz w:val="32"/>
          <w:szCs w:val="32"/>
        </w:rPr>
        <w:t>中国人民政治协商会议廊坊市广阳区委员会</w:t>
      </w:r>
      <w:r>
        <w:rPr>
          <w:rFonts w:hint="eastAsia" w:ascii="仿宋_GB2312"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（一）按照中国人民政治协商会议章程进行工作。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（二）主要职能是政治协商和民主监督，组织参加本会的各党派、团体和各族各界人士参政议政。</w:t>
      </w:r>
    </w:p>
    <w:p>
      <w:pPr>
        <w:ind w:firstLine="640" w:firstLineChars="200"/>
        <w:rPr>
          <w:rFonts w:ascii="仿宋_GB2312" w:hAnsi="仿宋" w:eastAsia="仿宋_GB2312"/>
          <w:sz w:val="32"/>
          <w:szCs w:val="32"/>
        </w:rPr>
      </w:pPr>
      <w:r>
        <w:rPr>
          <w:rFonts w:hint="eastAsia" w:ascii="仿宋_GB2312" w:hAnsi="仿宋" w:eastAsia="仿宋_GB2312"/>
          <w:sz w:val="32"/>
          <w:szCs w:val="32"/>
        </w:rPr>
        <w:t>（三）宣传和贯彻执行国家的宪法法律和各项方针、政策，推动社会力量积极参加物质文明和社会主义精神文明建设，协助国家机关打击经济领域和其他领域内破坏社会主义的犯罪活动。</w:t>
      </w:r>
    </w:p>
    <w:p>
      <w:pPr>
        <w:ind w:firstLine="640" w:firstLineChars="200"/>
        <w:rPr>
          <w:rFonts w:ascii="仿宋_GB2312" w:hAnsi="仿宋" w:eastAsia="仿宋_GB2312"/>
          <w:sz w:val="32"/>
          <w:szCs w:val="32"/>
        </w:rPr>
      </w:pPr>
      <w:r>
        <w:rPr>
          <w:rFonts w:hint="eastAsia" w:ascii="仿宋_GB2312" w:hAnsi="仿宋" w:eastAsia="仿宋_GB2312"/>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（五）调整和处理统一战线各方面的关系和人民政协内部合作的重要事项。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（六）通过各种形式，积极传播先进思想，开展爱祖国、爱人民、爱劳动、爱科学、爱社会主义的公德及革命的理想、道德和纪律的宣传教育工作。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ind w:firstLine="640" w:firstLineChars="200"/>
        <w:rPr>
          <w:rFonts w:ascii="仿宋_GB2312" w:hAnsi="仿宋" w:eastAsia="仿宋_GB2312"/>
          <w:sz w:val="32"/>
          <w:szCs w:val="32"/>
        </w:rPr>
      </w:pPr>
      <w:r>
        <w:rPr>
          <w:rFonts w:hint="eastAsia" w:ascii="仿宋_GB2312" w:hAnsi="仿宋" w:eastAsia="仿宋_GB2312"/>
          <w:sz w:val="32"/>
          <w:szCs w:val="32"/>
        </w:rPr>
        <w:t>（八）组织委员视察、参观和调查，了解情况，就各项事业和群众生活的重要问题进行研究，通过建议案、提案和其他形式向党委、政府和其他有关组织提出建议和批评。</w:t>
      </w:r>
    </w:p>
    <w:p>
      <w:pPr>
        <w:ind w:firstLine="640" w:firstLineChars="200"/>
        <w:rPr>
          <w:rFonts w:ascii="仿宋_GB2312" w:hAnsi="仿宋" w:eastAsia="仿宋_GB2312"/>
          <w:sz w:val="32"/>
          <w:szCs w:val="32"/>
        </w:rPr>
      </w:pPr>
      <w:r>
        <w:rPr>
          <w:rFonts w:hint="eastAsia" w:ascii="仿宋_GB2312" w:hAnsi="仿宋" w:eastAsia="仿宋_GB2312"/>
          <w:sz w:val="32"/>
          <w:szCs w:val="32"/>
        </w:rPr>
        <w:t>（九）推动委员在自愿的基础上学习马克思列宁主义、毛泽东思想和邓小平理论，学习时事政治、学习和交流业务和科学技术知识，增强为祖国服务的才能。</w:t>
      </w:r>
    </w:p>
    <w:p>
      <w:pPr>
        <w:ind w:firstLine="640" w:firstLineChars="200"/>
        <w:rPr>
          <w:rFonts w:ascii="仿宋_GB2312" w:hAnsi="仿宋" w:eastAsia="仿宋_GB2312"/>
          <w:sz w:val="32"/>
          <w:szCs w:val="32"/>
        </w:rPr>
      </w:pPr>
      <w:r>
        <w:rPr>
          <w:rFonts w:hint="eastAsia" w:ascii="仿宋_GB2312" w:hAnsi="仿宋" w:eastAsia="仿宋_GB2312"/>
          <w:sz w:val="32"/>
          <w:szCs w:val="32"/>
        </w:rPr>
        <w:t>（十）宣传和参与贯彻执行国家关于统一祖国的方针政策，积极开展同台湾同胞和各界人士的联系，促进祖国统一大业的实现。</w:t>
      </w:r>
    </w:p>
    <w:p>
      <w:pPr>
        <w:ind w:firstLine="640" w:firstLineChars="200"/>
        <w:rPr>
          <w:rFonts w:ascii="仿宋_GB2312" w:hAnsi="仿宋" w:eastAsia="仿宋_GB2312"/>
          <w:sz w:val="32"/>
          <w:szCs w:val="32"/>
        </w:rPr>
      </w:pPr>
      <w:r>
        <w:rPr>
          <w:rFonts w:hint="eastAsia" w:ascii="仿宋_GB2312" w:hAnsi="仿宋" w:eastAsia="仿宋_GB2312"/>
          <w:sz w:val="32"/>
          <w:szCs w:val="32"/>
        </w:rPr>
        <w:t>（十一）宣传和协助贯彻执行国家的知识分子政策，以利于充分发挥知识分子在社会主义现代化建设中的作用。</w:t>
      </w:r>
    </w:p>
    <w:p>
      <w:pPr>
        <w:ind w:firstLine="640" w:firstLineChars="200"/>
        <w:rPr>
          <w:rFonts w:ascii="仿宋_GB2312" w:hAnsi="仿宋" w:eastAsia="仿宋_GB2312"/>
          <w:sz w:val="32"/>
          <w:szCs w:val="32"/>
        </w:rPr>
      </w:pPr>
      <w:r>
        <w:rPr>
          <w:rFonts w:hint="eastAsia" w:ascii="仿宋_GB2312" w:hAnsi="仿宋" w:eastAsia="仿宋_GB2312"/>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ind w:firstLine="640" w:firstLineChars="200"/>
        <w:rPr>
          <w:rFonts w:ascii="仿宋_GB2312" w:hAnsi="仿宋" w:eastAsia="仿宋_GB2312"/>
          <w:sz w:val="32"/>
          <w:szCs w:val="32"/>
        </w:rPr>
      </w:pPr>
      <w:r>
        <w:rPr>
          <w:rFonts w:hint="eastAsia" w:ascii="仿宋_GB2312" w:hAnsi="仿宋" w:eastAsia="仿宋_GB2312"/>
          <w:sz w:val="32"/>
          <w:szCs w:val="32"/>
        </w:rPr>
        <w:t>（十三）宣传和协助贯彻执行国家的宗教政策，团结宗教界爱国人士和宗教信仰者为祖国的建设和统一贡献力量。</w:t>
      </w:r>
    </w:p>
    <w:p>
      <w:pPr>
        <w:ind w:firstLine="640" w:firstLineChars="200"/>
        <w:rPr>
          <w:rFonts w:ascii="仿宋_GB2312" w:hAnsi="仿宋" w:eastAsia="仿宋_GB2312"/>
          <w:sz w:val="32"/>
          <w:szCs w:val="32"/>
        </w:rPr>
      </w:pPr>
      <w:r>
        <w:rPr>
          <w:rFonts w:hint="eastAsia" w:ascii="仿宋_GB2312" w:hAnsi="仿宋" w:eastAsia="仿宋_GB2312"/>
          <w:sz w:val="32"/>
          <w:szCs w:val="32"/>
        </w:rPr>
        <w:t>（十四）宣传和协助贯彻执行国家的侨务政策。加强同国外侨胞的联系和团结，鼓励他们为祖国的建设事业和统一祖国的大业</w:t>
      </w:r>
      <w:r>
        <w:rPr>
          <w:rFonts w:hint="eastAsia" w:ascii="仿宋_GB2312" w:hAnsi="仿宋" w:eastAsia="仿宋_GB2312"/>
          <w:sz w:val="32"/>
          <w:szCs w:val="32"/>
          <w:lang w:eastAsia="zh-CN"/>
        </w:rPr>
        <w:t>作出贡献</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（十五）根据统一战线组织的特点进行关于地方近代、现代史料的征集研究和出版工作。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中国人民政治协商会议廊坊市广阳区委员会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仿宋_GB2312" w:eastAsia="仿宋_GB2312" w:cs="宋体"/>
          <w:color w:val="000000"/>
          <w:kern w:val="0"/>
          <w:sz w:val="32"/>
          <w:szCs w:val="32"/>
        </w:rPr>
        <w:t>中国人民政治协商会议廊坊市广阳区委员会</w:t>
      </w:r>
      <w:r>
        <w:rPr>
          <w:rFonts w:ascii="Times New Roman" w:hAnsi="Times New Roman" w:eastAsia="仿宋_GB2312" w:cs="Times New Roman"/>
          <w:sz w:val="32"/>
          <w:szCs w:val="32"/>
        </w:rPr>
        <w:t>及所属事业单位的收支包含在部门预算中。</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反映本部门当年全部收入。2019年预算收入666.98万元，其中：一般公共预算收入666.98万元，基金预算收入0万元，财政专户核拨收入0万元，其他来源收入0万元。</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中国人民政治协商会议廊坊市广阳区委员会2019年度部门预算中支出预算的总体情况。2019年支出预算666.98万元，其中基本支出666.98万元，包括人员经费584.97万元和日常公用经费82.01万元；项目支出0万元。</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2019年预算收支安排666.98万元，较2018年预算减少72.94万元，其中：基本支出增加62.06万元，主要为人员支出；项目支出减少135万元，主要为会议、委员培训、视察等项目支出。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2019年，我部门机关运行经费共计安排2.33万元，主要用于中国人民政治协商会议廊坊市广阳区委员会办公区的日常维修、办公用房水电费、办公用房取暖费、办公用房物业管理费等日常运行支出。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财政拨款“三公”经费预算安排37.24万元。其中，因公出国（境）费0万元；公务用车购置及运维费8.74万元（其中：公务用车购置费为0万元，公务用车运维费8.74万元)；公务接待费28.5万元。与2018年相比减少1.96万元，其中，公务用车购置及运维费减少0.46万元（其中：公务用车购置费与2018年相比持平，无增减变化，公务用车运维费减少0.46万元)，主要原因是我部门切实落实勤俭节约各项规定，压减公车运行经费支出；公务接待费减少1.5万元，主要原因是我部门切实落实勤俭节约各项规定，严格控制公务接待费支出。</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bookmarkEnd w:id="0"/>
    <w:p>
      <w:pPr>
        <w:spacing w:line="500" w:lineRule="exact"/>
        <w:ind w:firstLine="560"/>
        <w:rPr>
          <w:rFonts w:ascii="仿宋_GB2312" w:eastAsia="仿宋_GB2312"/>
          <w:sz w:val="32"/>
          <w:szCs w:val="32"/>
        </w:rPr>
      </w:pPr>
      <w:r>
        <w:rPr>
          <w:rFonts w:hint="eastAsia" w:ascii="仿宋_GB2312" w:eastAsia="仿宋_GB2312"/>
          <w:sz w:val="32"/>
          <w:szCs w:val="32"/>
        </w:rPr>
        <w:t>（一）按照中国人民政治协商会议章程进行工作。</w:t>
      </w:r>
    </w:p>
    <w:p>
      <w:pPr>
        <w:spacing w:line="500" w:lineRule="exact"/>
        <w:ind w:firstLine="560"/>
        <w:rPr>
          <w:rFonts w:ascii="仿宋_GB2312" w:eastAsia="仿宋_GB2312"/>
          <w:sz w:val="32"/>
          <w:szCs w:val="32"/>
        </w:rPr>
      </w:pPr>
      <w:r>
        <w:rPr>
          <w:rFonts w:hint="eastAsia" w:ascii="仿宋_GB2312" w:eastAsia="仿宋_GB2312"/>
          <w:sz w:val="32"/>
          <w:szCs w:val="32"/>
        </w:rPr>
        <w:t>（二）主要职能是政治协商和民主监督，组织参加本会的各党派、团体和各族各界人士参政议政。</w:t>
      </w:r>
    </w:p>
    <w:p>
      <w:pPr>
        <w:spacing w:line="500" w:lineRule="exact"/>
        <w:ind w:firstLine="560"/>
        <w:rPr>
          <w:rFonts w:ascii="仿宋_GB2312" w:eastAsia="仿宋_GB2312"/>
          <w:sz w:val="32"/>
          <w:szCs w:val="32"/>
        </w:rPr>
      </w:pPr>
      <w:r>
        <w:rPr>
          <w:rFonts w:hint="eastAsia" w:ascii="仿宋_GB2312" w:eastAsia="仿宋_GB2312"/>
          <w:sz w:val="32"/>
          <w:szCs w:val="32"/>
        </w:rPr>
        <w:t>（三）宣传和贯彻执行国家的宪法法律和各项方针、政策，推动社会力量积极参加物质文明和社会主义精神文明建设，协助国家机关打击经济领域和其他领域内破坏社会主义的犯罪活动。</w:t>
      </w:r>
    </w:p>
    <w:p>
      <w:pPr>
        <w:spacing w:line="500" w:lineRule="exact"/>
        <w:ind w:firstLine="560"/>
        <w:rPr>
          <w:rFonts w:ascii="仿宋_GB2312" w:eastAsia="仿宋_GB2312"/>
          <w:sz w:val="32"/>
          <w:szCs w:val="32"/>
        </w:rPr>
      </w:pPr>
      <w:r>
        <w:rPr>
          <w:rFonts w:hint="eastAsia" w:ascii="仿宋_GB2312" w:eastAsia="仿宋_GB2312"/>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spacing w:line="500" w:lineRule="exact"/>
        <w:ind w:firstLine="560"/>
        <w:rPr>
          <w:rFonts w:ascii="仿宋_GB2312" w:eastAsia="仿宋_GB2312"/>
          <w:sz w:val="32"/>
          <w:szCs w:val="32"/>
        </w:rPr>
      </w:pPr>
      <w:r>
        <w:rPr>
          <w:rFonts w:hint="eastAsia" w:ascii="仿宋_GB2312" w:eastAsia="仿宋_GB2312"/>
          <w:sz w:val="32"/>
          <w:szCs w:val="32"/>
        </w:rPr>
        <w:t>（五）调整和处理统一战线各方面的关系和人民政协内部合作的重要事项。</w:t>
      </w:r>
    </w:p>
    <w:p>
      <w:pPr>
        <w:spacing w:line="500" w:lineRule="exact"/>
        <w:ind w:firstLine="560"/>
        <w:rPr>
          <w:rFonts w:ascii="仿宋_GB2312" w:eastAsia="仿宋_GB2312"/>
          <w:sz w:val="32"/>
          <w:szCs w:val="32"/>
        </w:rPr>
      </w:pPr>
      <w:r>
        <w:rPr>
          <w:rFonts w:hint="eastAsia" w:ascii="仿宋_GB2312" w:eastAsia="仿宋_GB2312"/>
          <w:sz w:val="32"/>
          <w:szCs w:val="32"/>
        </w:rPr>
        <w:t>（六）通过各种形式，积极传播先进思想，开展爱祖国、爱人民、爱劳动、爱科学、爱社会主义的公德及革命的理想、道德和纪律的宣传教育工作。</w:t>
      </w:r>
    </w:p>
    <w:p>
      <w:pPr>
        <w:spacing w:line="500" w:lineRule="exact"/>
        <w:ind w:firstLine="560"/>
        <w:rPr>
          <w:rFonts w:ascii="仿宋_GB2312" w:eastAsia="仿宋_GB2312"/>
          <w:sz w:val="32"/>
          <w:szCs w:val="32"/>
        </w:rPr>
      </w:pPr>
      <w:r>
        <w:rPr>
          <w:rFonts w:hint="eastAsia" w:ascii="仿宋_GB2312" w:eastAsia="仿宋_GB2312"/>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spacing w:line="500" w:lineRule="exact"/>
        <w:ind w:firstLine="560"/>
        <w:rPr>
          <w:rFonts w:ascii="仿宋_GB2312" w:eastAsia="仿宋_GB2312"/>
          <w:sz w:val="32"/>
          <w:szCs w:val="32"/>
        </w:rPr>
      </w:pPr>
      <w:r>
        <w:rPr>
          <w:rFonts w:hint="eastAsia" w:ascii="仿宋_GB2312" w:eastAsia="仿宋_GB2312"/>
          <w:sz w:val="32"/>
          <w:szCs w:val="32"/>
        </w:rPr>
        <w:t>（八）组织委员视察、参观和调查，了解情况，就各项事业和群众生活的重要问题进行研究，通过建议案、提案和其他形式向党委、政府和其他有关组织提出建议和批评。</w:t>
      </w:r>
    </w:p>
    <w:p>
      <w:pPr>
        <w:spacing w:line="500" w:lineRule="exact"/>
        <w:ind w:firstLine="560"/>
        <w:rPr>
          <w:rFonts w:ascii="仿宋_GB2312" w:eastAsia="仿宋_GB2312"/>
          <w:sz w:val="32"/>
          <w:szCs w:val="32"/>
        </w:rPr>
      </w:pPr>
      <w:r>
        <w:rPr>
          <w:rFonts w:hint="eastAsia" w:ascii="仿宋_GB2312" w:eastAsia="仿宋_GB2312"/>
          <w:sz w:val="32"/>
          <w:szCs w:val="32"/>
        </w:rPr>
        <w:t>（九）推动委员在自愿的基础上学习马克思列宁主义、毛泽东思想和邓小平理论，学习时事政治、学习和交流业务和科学技术知识，增强为祖国服务的才能。</w:t>
      </w:r>
    </w:p>
    <w:p>
      <w:pPr>
        <w:spacing w:line="500" w:lineRule="exact"/>
        <w:ind w:firstLine="560"/>
        <w:rPr>
          <w:rFonts w:ascii="仿宋_GB2312" w:eastAsia="仿宋_GB2312"/>
          <w:sz w:val="32"/>
          <w:szCs w:val="32"/>
        </w:rPr>
      </w:pPr>
      <w:r>
        <w:rPr>
          <w:rFonts w:hint="eastAsia" w:ascii="仿宋_GB2312" w:eastAsia="仿宋_GB2312"/>
          <w:sz w:val="32"/>
          <w:szCs w:val="32"/>
        </w:rPr>
        <w:t>（十）宣传和参与贯彻执行国家关于统一祖国的方针政策，积极开展同台湾同胞和各界人士的联系，促进祖国统一大业的实现。</w:t>
      </w:r>
    </w:p>
    <w:p>
      <w:pPr>
        <w:spacing w:line="500" w:lineRule="exact"/>
        <w:ind w:firstLine="560"/>
        <w:rPr>
          <w:rFonts w:ascii="仿宋_GB2312" w:eastAsia="仿宋_GB2312"/>
          <w:sz w:val="32"/>
          <w:szCs w:val="32"/>
        </w:rPr>
      </w:pPr>
      <w:r>
        <w:rPr>
          <w:rFonts w:hint="eastAsia" w:ascii="仿宋_GB2312" w:eastAsia="仿宋_GB2312"/>
          <w:sz w:val="32"/>
          <w:szCs w:val="32"/>
        </w:rPr>
        <w:t>（十一）宣传和协助贯彻执行国家的知识分子政策，以利于充分发挥知识分子在社会主义现代化建设中的作用。</w:t>
      </w:r>
    </w:p>
    <w:p>
      <w:pPr>
        <w:spacing w:line="500" w:lineRule="exact"/>
        <w:ind w:firstLine="560"/>
        <w:rPr>
          <w:rFonts w:ascii="仿宋_GB2312" w:eastAsia="仿宋_GB2312"/>
          <w:sz w:val="32"/>
          <w:szCs w:val="32"/>
        </w:rPr>
      </w:pPr>
      <w:r>
        <w:rPr>
          <w:rFonts w:hint="eastAsia" w:ascii="仿宋_GB2312" w:eastAsia="仿宋_GB2312"/>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spacing w:line="500" w:lineRule="exact"/>
        <w:ind w:firstLine="560"/>
        <w:rPr>
          <w:rFonts w:ascii="仿宋_GB2312" w:eastAsia="仿宋_GB2312"/>
          <w:sz w:val="32"/>
          <w:szCs w:val="32"/>
        </w:rPr>
      </w:pPr>
      <w:r>
        <w:rPr>
          <w:rFonts w:hint="eastAsia" w:ascii="仿宋_GB2312" w:eastAsia="仿宋_GB2312"/>
          <w:sz w:val="32"/>
          <w:szCs w:val="32"/>
        </w:rPr>
        <w:t>（十三）宣传和协助贯彻执行国家的宗教政策，团结宗教界爱国人士和宗教信仰者为祖国的建设和统一贡献力量。</w:t>
      </w:r>
    </w:p>
    <w:p>
      <w:pPr>
        <w:spacing w:line="500" w:lineRule="exact"/>
        <w:ind w:firstLine="560"/>
        <w:rPr>
          <w:rFonts w:ascii="仿宋_GB2312" w:eastAsia="仿宋_GB2312"/>
          <w:sz w:val="32"/>
          <w:szCs w:val="32"/>
        </w:rPr>
      </w:pPr>
      <w:r>
        <w:rPr>
          <w:rFonts w:hint="eastAsia" w:ascii="仿宋_GB2312" w:eastAsia="仿宋_GB2312"/>
          <w:sz w:val="32"/>
          <w:szCs w:val="32"/>
        </w:rPr>
        <w:t>（十四）宣传和协助贯彻执行国家的侨务政策。加强同国外侨胞的联系和团结，鼓励他们为祖国的建设事业和统一祖国的大业</w:t>
      </w:r>
      <w:r>
        <w:rPr>
          <w:rFonts w:hint="eastAsia" w:ascii="仿宋_GB2312" w:eastAsia="仿宋_GB2312"/>
          <w:sz w:val="32"/>
          <w:szCs w:val="32"/>
          <w:lang w:eastAsia="zh-CN"/>
        </w:rPr>
        <w:t>作出贡献</w:t>
      </w:r>
      <w:r>
        <w:rPr>
          <w:rFonts w:hint="eastAsia" w:ascii="仿宋_GB2312" w:eastAsia="仿宋_GB2312"/>
          <w:sz w:val="32"/>
          <w:szCs w:val="32"/>
        </w:rPr>
        <w:t>。</w:t>
      </w:r>
    </w:p>
    <w:p>
      <w:pPr>
        <w:spacing w:line="500" w:lineRule="exact"/>
        <w:ind w:firstLine="560"/>
        <w:rPr>
          <w:rFonts w:ascii="仿宋_GB2312" w:eastAsia="仿宋_GB2312"/>
          <w:sz w:val="32"/>
          <w:szCs w:val="32"/>
        </w:rPr>
      </w:pPr>
      <w:r>
        <w:rPr>
          <w:rFonts w:hint="eastAsia" w:ascii="仿宋_GB2312" w:eastAsia="仿宋_GB2312"/>
          <w:sz w:val="32"/>
          <w:szCs w:val="32"/>
        </w:rPr>
        <w:t>（十五）根据统一战线组织的特点进行关于地方近代、现代史料的征集研究和出版工作。</w:t>
      </w:r>
    </w:p>
    <w:p>
      <w:pPr>
        <w:ind w:firstLine="643" w:firstLineChars="200"/>
        <w:jc w:val="left"/>
        <w:rPr>
          <w:rFonts w:ascii="楷体_GB2312" w:eastAsia="楷体_GB2312"/>
          <w:b/>
          <w:sz w:val="32"/>
          <w:szCs w:val="32"/>
        </w:rPr>
      </w:pPr>
      <w:r>
        <w:rPr>
          <w:rFonts w:hint="eastAsia" w:ascii="楷体_GB2312" w:eastAsia="楷体_GB2312"/>
          <w:b/>
          <w:sz w:val="32"/>
          <w:szCs w:val="32"/>
        </w:rPr>
        <w:t>职责分类绩效目标：</w:t>
      </w:r>
    </w:p>
    <w:p>
      <w:pPr>
        <w:spacing w:line="500" w:lineRule="exact"/>
        <w:ind w:firstLine="560" w:firstLineChars="175"/>
        <w:rPr>
          <w:rFonts w:ascii="仿宋_GB2312" w:eastAsia="仿宋_GB2312"/>
          <w:sz w:val="32"/>
          <w:szCs w:val="32"/>
        </w:rPr>
      </w:pPr>
      <w:r>
        <w:rPr>
          <w:rFonts w:hint="eastAsia" w:ascii="仿宋_GB2312" w:eastAsia="仿宋_GB2312"/>
          <w:sz w:val="32"/>
          <w:szCs w:val="32"/>
        </w:rPr>
        <w:t>一、政治协商：就大政方针及重要问题在决策之前进行协商和就决策执行过程中的重要问题进行协商。目标：完善各项会议制度，规范会议程序，提高会议质量，提高政治协商水平。</w:t>
      </w:r>
    </w:p>
    <w:p>
      <w:pPr>
        <w:spacing w:line="500" w:lineRule="exact"/>
        <w:ind w:firstLine="560"/>
        <w:rPr>
          <w:rFonts w:ascii="仿宋_GB2312" w:eastAsia="仿宋_GB2312"/>
          <w:sz w:val="32"/>
          <w:szCs w:val="32"/>
        </w:rPr>
      </w:pPr>
      <w:r>
        <w:rPr>
          <w:rFonts w:hint="eastAsia" w:ascii="仿宋_GB2312" w:eastAsia="仿宋_GB2312"/>
          <w:sz w:val="32"/>
          <w:szCs w:val="32"/>
        </w:rPr>
        <w:t>二、民主监督：有效履行民主监督职责。通过意见、建议、批评的方式对国家法律法规的实施、重大方针政策的贯彻执行、</w:t>
      </w:r>
      <w:r>
        <w:rPr>
          <w:rFonts w:hint="eastAsia" w:ascii="仿宋_GB2312" w:eastAsia="仿宋_GB2312"/>
          <w:sz w:val="32"/>
          <w:szCs w:val="32"/>
          <w:lang w:eastAsia="zh-CN"/>
        </w:rPr>
        <w:t>县委、县政府</w:t>
      </w:r>
      <w:r>
        <w:rPr>
          <w:rFonts w:hint="eastAsia" w:ascii="仿宋_GB2312" w:eastAsia="仿宋_GB2312"/>
          <w:sz w:val="32"/>
          <w:szCs w:val="32"/>
        </w:rPr>
        <w:t>的工作进行政治监督。目标：完善民主监督机制，畅通民主监督渠道，建立健全知情、沟通制度，将民主监督寓于委员提案、进行视察、参与工作检查等活动中，提高民主监督质量和成效。</w:t>
      </w:r>
    </w:p>
    <w:p>
      <w:pPr>
        <w:spacing w:line="500" w:lineRule="exact"/>
        <w:ind w:firstLine="560"/>
        <w:rPr>
          <w:rFonts w:ascii="仿宋_GB2312" w:eastAsia="仿宋_GB2312"/>
          <w:sz w:val="32"/>
          <w:szCs w:val="32"/>
        </w:rPr>
      </w:pPr>
      <w:r>
        <w:rPr>
          <w:rFonts w:hint="eastAsia" w:ascii="仿宋_GB2312" w:eastAsia="仿宋_GB2312"/>
          <w:sz w:val="32"/>
          <w:szCs w:val="32"/>
        </w:rPr>
        <w:t>三、参政议政：通过对重大问题以及人民群众普遍关心的问题，开展调查研究，向县委、县政府提出意见和建议。目标：发挥政协作为扩大社会各界有序参与的重要渠道作用，探索开展活动的新方法新途径，充分调动委员参政议政积极，向县委、县政府提出高质量的建议案。</w:t>
      </w:r>
    </w:p>
    <w:p>
      <w:pPr>
        <w:spacing w:line="500" w:lineRule="exact"/>
        <w:ind w:firstLine="560"/>
        <w:rPr>
          <w:rFonts w:ascii="仿宋_GB2312" w:eastAsia="仿宋_GB2312"/>
          <w:sz w:val="32"/>
          <w:szCs w:val="32"/>
        </w:rPr>
      </w:pPr>
      <w:r>
        <w:rPr>
          <w:rFonts w:hint="eastAsia" w:ascii="仿宋_GB2312" w:eastAsia="仿宋_GB2312"/>
          <w:sz w:val="32"/>
          <w:szCs w:val="32"/>
        </w:rPr>
        <w:t>四、政协事务管理：县政协自身建设、宣传工作，与有关单位的联系协调；负责机关外事工作，机构编制、人事任免、人员培训、考核奖惩、工资福利，后勤保障、经费资产管理、基建和审计，接待、离退休人员服务，承办政协主席、副主席、秘书长交办的其他事项。目标：机关自身建设、服务保障能力进一步提升。</w:t>
      </w:r>
    </w:p>
    <w:p>
      <w:pPr>
        <w:spacing w:line="584" w:lineRule="exact"/>
        <w:ind w:firstLine="560"/>
        <w:rPr>
          <w:rFonts w:ascii="Times New Roman" w:hAnsi="Times New Roman" w:eastAsia="楷体_GB2312" w:cs="Times New Roman"/>
          <w:b/>
          <w:sz w:val="32"/>
          <w:szCs w:val="32"/>
        </w:rPr>
      </w:pPr>
      <w:bookmarkStart w:id="1" w:name="_Toc2088686"/>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2" w:name="_Toc504489147"/>
      <w:r>
        <w:rPr>
          <w:rFonts w:ascii="Times New Roman" w:hAnsi="Times New Roman" w:eastAsia="仿宋_GB2312" w:cs="Times New Roman"/>
          <w:b/>
          <w:sz w:val="32"/>
        </w:rPr>
        <w:t>部门职责-工作活动绩效目标</w:t>
      </w:r>
      <w:bookmarkEnd w:id="2"/>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131中国人民政治协商会议廊坊市广阳区委员会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一、政治协商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就大政方针及重要问题在决策之前进行协商和就决策执行过程中的重要问题进行协商。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1、政协会议</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各类会议是政协履行职能的主要形式，是开展工作的主体，是委员履行自身职责的主要途径。</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会议活动组织率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会议活动完成率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会议活动参会人数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2、协商民主</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根据形势、任务和党委政府统一部署，安排协商活动，召开专题座谈会等。</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增强开展政治协商的自觉性和主动性，规范协商内容，丰富协商形式和层次，把政治协商纳入决策程序。对外交往工作成效显著。</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专题协商完进度（</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专题协商完成率（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建议督办完成率（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二、民主监督</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有效履行民主监督职责。通过意见、建议、批评的方式对国家法律法规的实施、重大方针政策的贯彻执行、区委、区政府的工作进行政治监督。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1、监督事务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组织、鼓励和引导委员深入实际，通过建议案、提案等形式进行监督。通过有组织的调查和检查活动实施监督。</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组织、鼓励和引导委员深入实际，通过建议案、提案等形式进行监督。通过有组织的调查和检查活动实施监督。</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重大工作进度（</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重大工作参与率（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重大工作组织率（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2、提案工作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对政协委员和参加政协的各党派团体以及各专委会（提案者）的提案进行审查立案，立案后交承办单位办理，适时督办。</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提案办理进度（</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提案办理率（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提案办理数量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三、参政议政</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通过对重大问题以及人民群众普遍关心的问题，开展调查研究，向区委、区政府提出意见和建议。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发挥政协作为扩大社会各界有序参与的重要渠道作用，探索开展活动的新方法淅途径，充分调动委员参政议政积极，向区委、区政府提出高质量的建议案。</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1、专题调研</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组织委员深入实际、联系群众、了解党和国家方针政策贯彻落实情况并收集和反映社情民意。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深入工作实际、深入基层，掌握反映真实情况的第一手材料，了解平时难以听到的群众呼声，形成有利于党和国家制定和调整符合群众意愿的政策措施。</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重点课题完成率（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重点课题和专项调研数量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专项调研完成率（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2、巡视察看</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组织委员对经济发展的重大项目及人民群众普遍关注的重大问题进行巡视察看。</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通过界别渠道对既定问题或项目进行实地考察和认真论证，以视察报告或其他形式提出重要的咨询意见。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视察活动完成率（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视察活动进度（</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视察活动数量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四、政协事务管理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机关自身建设、服务保障能力进一步提升。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加强区政协机关自身建设和宣传工作，扩大与政协办公室，区委、区人大常委会、政府办公室，区各民主党派、工商联、人民团体、区直有关部门和市、区政协的联系、协调工作。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委员学习培训率（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机关干部学习培训率（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党组、</w:t>
            </w:r>
            <w:r>
              <w:rPr>
                <w:rFonts w:hint="eastAsia" w:ascii="方正书宋_GBK" w:eastAsia="方正书宋_GBK"/>
                <w:lang w:eastAsia="zh-CN"/>
              </w:rPr>
              <w:t>理论学习中心组</w:t>
            </w:r>
            <w:r>
              <w:rPr>
                <w:rFonts w:hint="eastAsia" w:ascii="方正书宋_GBK" w:eastAsia="方正书宋_GBK"/>
              </w:rPr>
              <w:t>学习培训率（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协机关的外事工作，机构编制、人事任免、调配及人员培训、考核奖惩、工资福利，后勤保障、机关经费管理、资产管理、基建和审计，机关接待、离退休人员服务，以及承办区政协主席、副主席、秘书长交办的其他事项。</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老干部服务保障率（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友好往来计划完成率（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bookmarkEnd w:id="1"/>
    </w:tbl>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仿宋_GB2312" w:hAnsi="Times New Roman" w:eastAsia="仿宋_GB2312" w:cs="Times New Roman"/>
          <w:sz w:val="32"/>
          <w:szCs w:val="24"/>
        </w:rPr>
      </w:pPr>
      <w:bookmarkStart w:id="3" w:name="_Toc471398468"/>
      <w:r>
        <w:rPr>
          <w:rFonts w:hint="eastAsia" w:ascii="仿宋_GB2312" w:hAnsi="Times New Roman" w:eastAsia="仿宋_GB2312" w:cs="Times New Roman"/>
          <w:sz w:val="32"/>
          <w:szCs w:val="24"/>
        </w:rPr>
        <w:t>2019年，我部门安排政府采购预算2.30万元。具体内容见下表。</w:t>
      </w:r>
    </w:p>
    <w:bookmarkEnd w:id="3"/>
    <w:p>
      <w:pPr>
        <w:spacing w:line="584" w:lineRule="exact"/>
        <w:jc w:val="center"/>
        <w:outlineLvl w:val="0"/>
        <w:rPr>
          <w:rFonts w:ascii="Times New Roman" w:hAnsi="Times New Roman" w:eastAsia="仿宋_GB2312" w:cs="Times New Roman"/>
          <w:sz w:val="32"/>
        </w:rPr>
      </w:pPr>
      <w:bookmarkStart w:id="4" w:name="_Toc504489153"/>
      <w:r>
        <w:rPr>
          <w:rFonts w:ascii="Times New Roman" w:hAnsi="Times New Roman" w:eastAsia="仿宋_GB2312" w:cs="Times New Roman"/>
          <w:sz w:val="32"/>
        </w:rPr>
        <w:t>部门政府采购预算</w:t>
      </w:r>
      <w:bookmarkEnd w:id="4"/>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131中国人民政治协商会议廊坊市广阳区委员会</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2.3</w:t>
            </w: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2.3</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2.3</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2.3</w:t>
            </w: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日常公用</w:t>
            </w:r>
          </w:p>
        </w:tc>
        <w:tc>
          <w:tcPr>
            <w:tcW w:w="363" w:type="pct"/>
            <w:shd w:val="clear" w:color="auto" w:fill="auto"/>
            <w:vAlign w:val="center"/>
          </w:tcPr>
          <w:p>
            <w:pPr>
              <w:spacing w:line="584" w:lineRule="exact"/>
              <w:jc w:val="right"/>
              <w:rPr>
                <w:rFonts w:ascii="仿宋_GB2312" w:hAnsi="Times New Roman" w:eastAsia="仿宋_GB2312" w:cs="Times New Roman"/>
                <w:bCs/>
                <w:sz w:val="22"/>
              </w:rPr>
            </w:pPr>
            <w:r>
              <w:rPr>
                <w:rFonts w:hint="eastAsia" w:ascii="仿宋_GB2312" w:hAnsi="Times New Roman" w:eastAsia="仿宋_GB2312" w:cs="Times New Roman"/>
                <w:bCs/>
                <w:sz w:val="22"/>
              </w:rPr>
              <w:t>1</w:t>
            </w:r>
          </w:p>
        </w:tc>
        <w:tc>
          <w:tcPr>
            <w:tcW w:w="320" w:type="pct"/>
            <w:shd w:val="clear" w:color="auto" w:fill="auto"/>
            <w:vAlign w:val="center"/>
          </w:tcPr>
          <w:p>
            <w:pPr>
              <w:spacing w:line="584" w:lineRule="exact"/>
              <w:jc w:val="center"/>
              <w:rPr>
                <w:rFonts w:ascii="仿宋_GB2312" w:hAnsi="Times New Roman" w:eastAsia="仿宋_GB2312" w:cs="Times New Roman"/>
                <w:bCs/>
                <w:sz w:val="22"/>
              </w:rPr>
            </w:pPr>
            <w:r>
              <w:rPr>
                <w:rFonts w:hint="eastAsia" w:ascii="仿宋_GB2312" w:hAnsi="Times New Roman" w:eastAsia="仿宋_GB2312" w:cs="Times New Roman"/>
                <w:bCs/>
                <w:sz w:val="22"/>
              </w:rPr>
              <w:t>计算机</w:t>
            </w:r>
          </w:p>
        </w:tc>
        <w:tc>
          <w:tcPr>
            <w:tcW w:w="471" w:type="pct"/>
            <w:shd w:val="clear" w:color="auto" w:fill="auto"/>
            <w:vAlign w:val="center"/>
          </w:tcPr>
          <w:p>
            <w:pPr>
              <w:spacing w:line="584" w:lineRule="exact"/>
              <w:jc w:val="left"/>
              <w:rPr>
                <w:rFonts w:ascii="仿宋_GB2312" w:hAnsi="Times New Roman" w:eastAsia="仿宋_GB2312" w:cs="Times New Roman"/>
                <w:bCs/>
                <w:sz w:val="22"/>
              </w:rPr>
            </w:pPr>
            <w:r>
              <w:rPr>
                <w:rFonts w:hint="eastAsia" w:ascii="仿宋_GB2312" w:hAnsi="Times New Roman" w:eastAsia="仿宋_GB2312" w:cs="Times New Roman"/>
                <w:bCs/>
                <w:sz w:val="22"/>
              </w:rPr>
              <w:t>A0201</w:t>
            </w:r>
          </w:p>
        </w:tc>
        <w:tc>
          <w:tcPr>
            <w:tcW w:w="247" w:type="pct"/>
            <w:shd w:val="clear" w:color="auto" w:fill="auto"/>
            <w:vAlign w:val="center"/>
          </w:tcPr>
          <w:p>
            <w:pPr>
              <w:spacing w:line="584" w:lineRule="exact"/>
              <w:jc w:val="left"/>
              <w:rPr>
                <w:rFonts w:ascii="仿宋_GB2312" w:hAnsi="Times New Roman" w:eastAsia="仿宋_GB2312" w:cs="Times New Roman"/>
                <w:bCs/>
                <w:sz w:val="22"/>
              </w:rPr>
            </w:pPr>
            <w:r>
              <w:rPr>
                <w:rFonts w:hint="eastAsia" w:ascii="仿宋_GB2312" w:hAnsi="Times New Roman" w:eastAsia="仿宋_GB2312" w:cs="Times New Roman"/>
                <w:bCs/>
                <w:sz w:val="22"/>
              </w:rPr>
              <w:t>台</w:t>
            </w:r>
          </w:p>
        </w:tc>
        <w:tc>
          <w:tcPr>
            <w:tcW w:w="254" w:type="pct"/>
            <w:shd w:val="clear" w:color="auto" w:fill="auto"/>
            <w:vAlign w:val="center"/>
          </w:tcPr>
          <w:p>
            <w:pPr>
              <w:spacing w:line="584" w:lineRule="exact"/>
              <w:jc w:val="right"/>
              <w:rPr>
                <w:rFonts w:ascii="仿宋_GB2312" w:hAnsi="Times New Roman" w:eastAsia="仿宋_GB2312" w:cs="Times New Roman"/>
                <w:bCs/>
                <w:sz w:val="22"/>
              </w:rPr>
            </w:pPr>
            <w:r>
              <w:rPr>
                <w:rFonts w:hint="eastAsia" w:ascii="仿宋_GB2312" w:hAnsi="Times New Roman" w:eastAsia="仿宋_GB2312" w:cs="Times New Roman"/>
                <w:bCs/>
                <w:sz w:val="22"/>
              </w:rPr>
              <w:t>2</w:t>
            </w:r>
          </w:p>
        </w:tc>
        <w:tc>
          <w:tcPr>
            <w:tcW w:w="326" w:type="pct"/>
            <w:shd w:val="clear" w:color="auto" w:fill="auto"/>
            <w:vAlign w:val="center"/>
          </w:tcPr>
          <w:p>
            <w:pPr>
              <w:spacing w:line="584" w:lineRule="exact"/>
              <w:jc w:val="right"/>
              <w:rPr>
                <w:rFonts w:ascii="仿宋_GB2312" w:hAnsi="Times New Roman" w:eastAsia="仿宋_GB2312" w:cs="Times New Roman"/>
                <w:bCs/>
                <w:sz w:val="22"/>
              </w:rPr>
            </w:pPr>
            <w:r>
              <w:rPr>
                <w:rFonts w:hint="eastAsia" w:ascii="仿宋_GB2312" w:hAnsi="Times New Roman" w:eastAsia="仿宋_GB2312" w:cs="Times New Roman"/>
                <w:bCs/>
                <w:sz w:val="22"/>
              </w:rPr>
              <w:t>0.5</w:t>
            </w:r>
          </w:p>
        </w:tc>
        <w:tc>
          <w:tcPr>
            <w:tcW w:w="328" w:type="pct"/>
            <w:shd w:val="clear" w:color="auto" w:fill="auto"/>
            <w:vAlign w:val="center"/>
          </w:tcPr>
          <w:p>
            <w:pPr>
              <w:spacing w:line="584" w:lineRule="exact"/>
              <w:jc w:val="right"/>
              <w:rPr>
                <w:rFonts w:ascii="仿宋_GB2312" w:hAnsi="Times New Roman" w:eastAsia="仿宋_GB2312" w:cs="Times New Roman"/>
                <w:bCs/>
                <w:sz w:val="22"/>
              </w:rPr>
            </w:pPr>
            <w:r>
              <w:rPr>
                <w:rFonts w:hint="eastAsia" w:ascii="仿宋_GB2312" w:hAnsi="Times New Roman" w:eastAsia="仿宋_GB2312" w:cs="Times New Roman"/>
                <w:bCs/>
                <w:sz w:val="22"/>
              </w:rPr>
              <w:t>1</w:t>
            </w:r>
          </w:p>
        </w:tc>
        <w:tc>
          <w:tcPr>
            <w:tcW w:w="328" w:type="pct"/>
            <w:shd w:val="clear" w:color="auto" w:fill="auto"/>
            <w:vAlign w:val="center"/>
          </w:tcPr>
          <w:p>
            <w:pPr>
              <w:spacing w:line="584" w:lineRule="exact"/>
              <w:jc w:val="right"/>
              <w:rPr>
                <w:rFonts w:ascii="仿宋_GB2312" w:hAnsi="Times New Roman" w:eastAsia="仿宋_GB2312" w:cs="Times New Roman"/>
                <w:bCs/>
                <w:sz w:val="22"/>
              </w:rPr>
            </w:pPr>
            <w:r>
              <w:rPr>
                <w:rFonts w:hint="eastAsia" w:ascii="仿宋_GB2312" w:hAnsi="Times New Roman" w:eastAsia="仿宋_GB2312" w:cs="Times New Roman"/>
                <w:bCs/>
                <w:sz w:val="22"/>
              </w:rPr>
              <w:t>1</w:t>
            </w:r>
          </w:p>
        </w:tc>
        <w:tc>
          <w:tcPr>
            <w:tcW w:w="328" w:type="pct"/>
            <w:shd w:val="clear" w:color="auto" w:fill="auto"/>
            <w:vAlign w:val="center"/>
          </w:tcPr>
          <w:p>
            <w:pPr>
              <w:spacing w:line="584" w:lineRule="exact"/>
              <w:jc w:val="right"/>
              <w:rPr>
                <w:rFonts w:ascii="仿宋_GB2312" w:hAnsi="Times New Roman" w:eastAsia="仿宋_GB2312" w:cs="Times New Roman"/>
                <w:bCs/>
                <w:sz w:val="22"/>
              </w:rPr>
            </w:pPr>
            <w:r>
              <w:rPr>
                <w:rFonts w:hint="eastAsia" w:ascii="仿宋_GB2312" w:hAnsi="Times New Roman" w:eastAsia="仿宋_GB2312" w:cs="Times New Roman"/>
                <w:bCs/>
                <w:sz w:val="22"/>
              </w:rPr>
              <w:t>1</w:t>
            </w:r>
          </w:p>
        </w:tc>
        <w:tc>
          <w:tcPr>
            <w:tcW w:w="271" w:type="pct"/>
            <w:shd w:val="clear" w:color="auto" w:fill="auto"/>
            <w:vAlign w:val="center"/>
          </w:tcPr>
          <w:p>
            <w:pPr>
              <w:spacing w:line="584" w:lineRule="exact"/>
              <w:jc w:val="right"/>
              <w:rPr>
                <w:rFonts w:ascii="仿宋_GB2312" w:hAnsi="Times New Roman" w:eastAsia="仿宋_GB2312" w:cs="Times New Roman"/>
                <w:sz w:val="22"/>
              </w:rPr>
            </w:pPr>
          </w:p>
        </w:tc>
        <w:tc>
          <w:tcPr>
            <w:tcW w:w="317" w:type="pct"/>
            <w:shd w:val="clear" w:color="auto" w:fill="auto"/>
            <w:vAlign w:val="center"/>
          </w:tcPr>
          <w:p>
            <w:pPr>
              <w:spacing w:line="584" w:lineRule="exact"/>
              <w:jc w:val="right"/>
              <w:rPr>
                <w:rFonts w:ascii="仿宋_GB2312" w:hAnsi="Times New Roman" w:eastAsia="仿宋_GB2312" w:cs="Times New Roman"/>
                <w:sz w:val="22"/>
              </w:rPr>
            </w:pPr>
          </w:p>
        </w:tc>
        <w:tc>
          <w:tcPr>
            <w:tcW w:w="319" w:type="pct"/>
            <w:shd w:val="clear" w:color="auto" w:fill="auto"/>
            <w:vAlign w:val="center"/>
          </w:tcPr>
          <w:p>
            <w:pPr>
              <w:spacing w:line="584" w:lineRule="exact"/>
              <w:jc w:val="right"/>
              <w:rPr>
                <w:rFonts w:ascii="仿宋_GB2312" w:hAnsi="Times New Roman" w:eastAsia="仿宋_GB2312" w:cs="Times New Roman"/>
                <w:sz w:val="22"/>
              </w:rPr>
            </w:pPr>
          </w:p>
        </w:tc>
        <w:tc>
          <w:tcPr>
            <w:tcW w:w="302" w:type="pct"/>
            <w:shd w:val="clear" w:color="auto" w:fill="auto"/>
            <w:vAlign w:val="center"/>
          </w:tcPr>
          <w:p>
            <w:pPr>
              <w:spacing w:line="584" w:lineRule="exact"/>
              <w:jc w:val="right"/>
              <w:rPr>
                <w:rFonts w:ascii="仿宋_GB2312" w:hAnsi="Times New Roman" w:eastAsia="仿宋_GB2312"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日常公用</w:t>
            </w:r>
          </w:p>
        </w:tc>
        <w:tc>
          <w:tcPr>
            <w:tcW w:w="363"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0.3</w:t>
            </w:r>
          </w:p>
        </w:tc>
        <w:tc>
          <w:tcPr>
            <w:tcW w:w="320"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打印设备</w:t>
            </w:r>
          </w:p>
        </w:tc>
        <w:tc>
          <w:tcPr>
            <w:tcW w:w="471"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A02010601</w:t>
            </w:r>
          </w:p>
        </w:tc>
        <w:tc>
          <w:tcPr>
            <w:tcW w:w="247"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台</w:t>
            </w:r>
          </w:p>
        </w:tc>
        <w:tc>
          <w:tcPr>
            <w:tcW w:w="254"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1</w:t>
            </w:r>
          </w:p>
        </w:tc>
        <w:tc>
          <w:tcPr>
            <w:tcW w:w="326"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0.3</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0.3</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0.3</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0.3</w:t>
            </w:r>
          </w:p>
        </w:tc>
        <w:tc>
          <w:tcPr>
            <w:tcW w:w="271" w:type="pct"/>
            <w:shd w:val="clear" w:color="auto" w:fill="auto"/>
            <w:vAlign w:val="center"/>
          </w:tcPr>
          <w:p>
            <w:pPr>
              <w:spacing w:line="584" w:lineRule="exact"/>
              <w:jc w:val="right"/>
              <w:rPr>
                <w:rFonts w:ascii="仿宋_GB2312" w:hAnsi="Times New Roman" w:eastAsia="仿宋_GB2312" w:cs="Times New Roman"/>
                <w:sz w:val="22"/>
              </w:rPr>
            </w:pPr>
          </w:p>
        </w:tc>
        <w:tc>
          <w:tcPr>
            <w:tcW w:w="317" w:type="pct"/>
            <w:shd w:val="clear" w:color="auto" w:fill="auto"/>
            <w:vAlign w:val="center"/>
          </w:tcPr>
          <w:p>
            <w:pPr>
              <w:spacing w:line="584" w:lineRule="exact"/>
              <w:jc w:val="right"/>
              <w:rPr>
                <w:rFonts w:ascii="仿宋_GB2312" w:hAnsi="Times New Roman" w:eastAsia="仿宋_GB2312" w:cs="Times New Roman"/>
                <w:sz w:val="22"/>
              </w:rPr>
            </w:pPr>
          </w:p>
        </w:tc>
        <w:tc>
          <w:tcPr>
            <w:tcW w:w="319" w:type="pct"/>
            <w:shd w:val="clear" w:color="auto" w:fill="auto"/>
            <w:vAlign w:val="center"/>
          </w:tcPr>
          <w:p>
            <w:pPr>
              <w:spacing w:line="584" w:lineRule="exact"/>
              <w:jc w:val="right"/>
              <w:rPr>
                <w:rFonts w:ascii="仿宋_GB2312" w:hAnsi="Times New Roman" w:eastAsia="仿宋_GB2312" w:cs="Times New Roman"/>
                <w:sz w:val="22"/>
              </w:rPr>
            </w:pPr>
          </w:p>
        </w:tc>
        <w:tc>
          <w:tcPr>
            <w:tcW w:w="302" w:type="pct"/>
            <w:shd w:val="clear" w:color="auto" w:fill="auto"/>
            <w:vAlign w:val="center"/>
          </w:tcPr>
          <w:p>
            <w:pPr>
              <w:spacing w:line="584" w:lineRule="exact"/>
              <w:jc w:val="right"/>
              <w:rPr>
                <w:rFonts w:ascii="仿宋_GB2312" w:hAnsi="Times New Roman" w:eastAsia="仿宋_GB2312"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日常公用</w:t>
            </w:r>
          </w:p>
        </w:tc>
        <w:tc>
          <w:tcPr>
            <w:tcW w:w="363"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320"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家具</w:t>
            </w:r>
          </w:p>
        </w:tc>
        <w:tc>
          <w:tcPr>
            <w:tcW w:w="471"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A06</w:t>
            </w:r>
          </w:p>
        </w:tc>
        <w:tc>
          <w:tcPr>
            <w:tcW w:w="247"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套</w:t>
            </w:r>
          </w:p>
        </w:tc>
        <w:tc>
          <w:tcPr>
            <w:tcW w:w="254"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2</w:t>
            </w:r>
          </w:p>
        </w:tc>
        <w:tc>
          <w:tcPr>
            <w:tcW w:w="326"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0.25</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271" w:type="pct"/>
            <w:shd w:val="clear" w:color="auto" w:fill="auto"/>
            <w:vAlign w:val="center"/>
          </w:tcPr>
          <w:p>
            <w:pPr>
              <w:spacing w:line="584" w:lineRule="exact"/>
              <w:jc w:val="right"/>
              <w:rPr>
                <w:rFonts w:ascii="仿宋_GB2312" w:hAnsi="Times New Roman" w:eastAsia="仿宋_GB2312" w:cs="Times New Roman"/>
                <w:sz w:val="22"/>
              </w:rPr>
            </w:pPr>
          </w:p>
        </w:tc>
        <w:tc>
          <w:tcPr>
            <w:tcW w:w="317" w:type="pct"/>
            <w:shd w:val="clear" w:color="auto" w:fill="auto"/>
            <w:vAlign w:val="center"/>
          </w:tcPr>
          <w:p>
            <w:pPr>
              <w:spacing w:line="584" w:lineRule="exact"/>
              <w:jc w:val="right"/>
              <w:rPr>
                <w:rFonts w:ascii="仿宋_GB2312" w:hAnsi="Times New Roman" w:eastAsia="仿宋_GB2312" w:cs="Times New Roman"/>
                <w:sz w:val="22"/>
              </w:rPr>
            </w:pPr>
          </w:p>
        </w:tc>
        <w:tc>
          <w:tcPr>
            <w:tcW w:w="319" w:type="pct"/>
            <w:shd w:val="clear" w:color="auto" w:fill="auto"/>
            <w:vAlign w:val="center"/>
          </w:tcPr>
          <w:p>
            <w:pPr>
              <w:spacing w:line="584" w:lineRule="exact"/>
              <w:jc w:val="right"/>
              <w:rPr>
                <w:rFonts w:ascii="仿宋_GB2312" w:hAnsi="Times New Roman" w:eastAsia="仿宋_GB2312" w:cs="Times New Roman"/>
                <w:sz w:val="22"/>
              </w:rPr>
            </w:pPr>
          </w:p>
        </w:tc>
        <w:tc>
          <w:tcPr>
            <w:tcW w:w="302" w:type="pct"/>
            <w:shd w:val="clear" w:color="auto" w:fill="auto"/>
            <w:vAlign w:val="center"/>
          </w:tcPr>
          <w:p>
            <w:pPr>
              <w:spacing w:line="584" w:lineRule="exact"/>
              <w:jc w:val="right"/>
              <w:rPr>
                <w:rFonts w:ascii="仿宋_GB2312" w:hAnsi="Times New Roman" w:eastAsia="仿宋_GB2312"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日常公用</w:t>
            </w:r>
          </w:p>
        </w:tc>
        <w:tc>
          <w:tcPr>
            <w:tcW w:w="363"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320"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家具</w:t>
            </w:r>
          </w:p>
        </w:tc>
        <w:tc>
          <w:tcPr>
            <w:tcW w:w="471"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A06</w:t>
            </w:r>
          </w:p>
        </w:tc>
        <w:tc>
          <w:tcPr>
            <w:tcW w:w="247" w:type="pct"/>
            <w:shd w:val="clear" w:color="auto" w:fill="auto"/>
            <w:vAlign w:val="center"/>
          </w:tcPr>
          <w:p>
            <w:pPr>
              <w:spacing w:line="584" w:lineRule="exact"/>
              <w:jc w:val="left"/>
              <w:rPr>
                <w:rFonts w:ascii="仿宋_GB2312" w:hAnsi="Times New Roman" w:eastAsia="仿宋_GB2312" w:cs="Times New Roman"/>
                <w:sz w:val="22"/>
              </w:rPr>
            </w:pPr>
            <w:r>
              <w:rPr>
                <w:rFonts w:hint="eastAsia" w:ascii="仿宋_GB2312" w:hAnsi="Times New Roman" w:eastAsia="仿宋_GB2312" w:cs="Times New Roman"/>
                <w:sz w:val="22"/>
              </w:rPr>
              <w:t>组</w:t>
            </w:r>
          </w:p>
        </w:tc>
        <w:tc>
          <w:tcPr>
            <w:tcW w:w="254"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5</w:t>
            </w:r>
          </w:p>
        </w:tc>
        <w:tc>
          <w:tcPr>
            <w:tcW w:w="326"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0.1</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328" w:type="pct"/>
            <w:shd w:val="clear" w:color="auto" w:fill="auto"/>
            <w:vAlign w:val="center"/>
          </w:tcPr>
          <w:p>
            <w:pPr>
              <w:spacing w:line="584" w:lineRule="exact"/>
              <w:jc w:val="right"/>
              <w:rPr>
                <w:rFonts w:ascii="仿宋_GB2312" w:hAnsi="Times New Roman" w:eastAsia="仿宋_GB2312" w:cs="Times New Roman"/>
                <w:sz w:val="22"/>
              </w:rPr>
            </w:pPr>
            <w:r>
              <w:rPr>
                <w:rFonts w:hint="eastAsia" w:ascii="仿宋_GB2312" w:hAnsi="Times New Roman" w:eastAsia="仿宋_GB2312" w:cs="Times New Roman"/>
                <w:sz w:val="22"/>
              </w:rPr>
              <w:t>0.5</w:t>
            </w:r>
          </w:p>
        </w:tc>
        <w:tc>
          <w:tcPr>
            <w:tcW w:w="271" w:type="pct"/>
            <w:shd w:val="clear" w:color="auto" w:fill="auto"/>
            <w:vAlign w:val="center"/>
          </w:tcPr>
          <w:p>
            <w:pPr>
              <w:spacing w:line="584" w:lineRule="exact"/>
              <w:jc w:val="right"/>
              <w:rPr>
                <w:rFonts w:ascii="仿宋_GB2312" w:hAnsi="Times New Roman" w:eastAsia="仿宋_GB2312" w:cs="Times New Roman"/>
                <w:sz w:val="22"/>
              </w:rPr>
            </w:pPr>
          </w:p>
        </w:tc>
        <w:tc>
          <w:tcPr>
            <w:tcW w:w="317" w:type="pct"/>
            <w:shd w:val="clear" w:color="auto" w:fill="auto"/>
            <w:vAlign w:val="center"/>
          </w:tcPr>
          <w:p>
            <w:pPr>
              <w:spacing w:line="584" w:lineRule="exact"/>
              <w:jc w:val="right"/>
              <w:rPr>
                <w:rFonts w:ascii="仿宋_GB2312" w:hAnsi="Times New Roman" w:eastAsia="仿宋_GB2312" w:cs="Times New Roman"/>
                <w:sz w:val="22"/>
              </w:rPr>
            </w:pPr>
          </w:p>
        </w:tc>
        <w:tc>
          <w:tcPr>
            <w:tcW w:w="319" w:type="pct"/>
            <w:shd w:val="clear" w:color="auto" w:fill="auto"/>
            <w:vAlign w:val="center"/>
          </w:tcPr>
          <w:p>
            <w:pPr>
              <w:spacing w:line="584" w:lineRule="exact"/>
              <w:jc w:val="right"/>
              <w:rPr>
                <w:rFonts w:ascii="仿宋_GB2312" w:hAnsi="Times New Roman" w:eastAsia="仿宋_GB2312" w:cs="Times New Roman"/>
                <w:sz w:val="22"/>
              </w:rPr>
            </w:pPr>
          </w:p>
        </w:tc>
        <w:tc>
          <w:tcPr>
            <w:tcW w:w="302" w:type="pct"/>
            <w:shd w:val="clear" w:color="auto" w:fill="auto"/>
            <w:vAlign w:val="center"/>
          </w:tcPr>
          <w:p>
            <w:pPr>
              <w:spacing w:line="584" w:lineRule="exact"/>
              <w:jc w:val="right"/>
              <w:rPr>
                <w:rFonts w:ascii="仿宋_GB2312" w:hAnsi="Times New Roman" w:eastAsia="仿宋_GB2312" w:cs="Times New Roman"/>
                <w:sz w:val="22"/>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中国人民政治协商会议廊坊市广阳区委员会（含所属单位）上年末固定资产金额为167.23万元，本年度我部门拟购置固定资产主要为计算机设备、打印设备、办公家具等，已列入政府采购预算。详见下表。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编制部门：131中国人民政治协商会议廊坊市广阳区委员会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截止时间：2018年12月31日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167.23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77.26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89.97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6CA0"/>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2F66C7"/>
    <w:rsid w:val="0030542C"/>
    <w:rsid w:val="00311B7A"/>
    <w:rsid w:val="003126B6"/>
    <w:rsid w:val="00313D9C"/>
    <w:rsid w:val="00325215"/>
    <w:rsid w:val="0033339C"/>
    <w:rsid w:val="00335660"/>
    <w:rsid w:val="003533F3"/>
    <w:rsid w:val="003A1EE4"/>
    <w:rsid w:val="003B6D37"/>
    <w:rsid w:val="003E4BC9"/>
    <w:rsid w:val="00414BD3"/>
    <w:rsid w:val="00416C99"/>
    <w:rsid w:val="00424943"/>
    <w:rsid w:val="0042727E"/>
    <w:rsid w:val="0043175C"/>
    <w:rsid w:val="00437296"/>
    <w:rsid w:val="00451590"/>
    <w:rsid w:val="00451871"/>
    <w:rsid w:val="00463AF3"/>
    <w:rsid w:val="00464D13"/>
    <w:rsid w:val="004706DE"/>
    <w:rsid w:val="00472923"/>
    <w:rsid w:val="00486DCD"/>
    <w:rsid w:val="0049120C"/>
    <w:rsid w:val="004B0C3A"/>
    <w:rsid w:val="004C49A8"/>
    <w:rsid w:val="004C5479"/>
    <w:rsid w:val="004C58D3"/>
    <w:rsid w:val="004D5788"/>
    <w:rsid w:val="004E3066"/>
    <w:rsid w:val="004E419C"/>
    <w:rsid w:val="004E5BBA"/>
    <w:rsid w:val="004E74CD"/>
    <w:rsid w:val="00524EFD"/>
    <w:rsid w:val="005340F0"/>
    <w:rsid w:val="005350A4"/>
    <w:rsid w:val="0055243C"/>
    <w:rsid w:val="00572067"/>
    <w:rsid w:val="00573562"/>
    <w:rsid w:val="00590ECE"/>
    <w:rsid w:val="005C0E90"/>
    <w:rsid w:val="005D0C27"/>
    <w:rsid w:val="005D37CA"/>
    <w:rsid w:val="005F1AE9"/>
    <w:rsid w:val="005F5714"/>
    <w:rsid w:val="005F7AE1"/>
    <w:rsid w:val="00611D03"/>
    <w:rsid w:val="00613643"/>
    <w:rsid w:val="00614A29"/>
    <w:rsid w:val="00651BA2"/>
    <w:rsid w:val="00654FB9"/>
    <w:rsid w:val="00671537"/>
    <w:rsid w:val="00673D76"/>
    <w:rsid w:val="006854F0"/>
    <w:rsid w:val="006B1C4A"/>
    <w:rsid w:val="006B610D"/>
    <w:rsid w:val="006C206A"/>
    <w:rsid w:val="006E49F5"/>
    <w:rsid w:val="006F1CC7"/>
    <w:rsid w:val="007013C8"/>
    <w:rsid w:val="00727C84"/>
    <w:rsid w:val="0074338E"/>
    <w:rsid w:val="00753836"/>
    <w:rsid w:val="0075393C"/>
    <w:rsid w:val="00754592"/>
    <w:rsid w:val="00757469"/>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2C51"/>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12B"/>
    <w:rsid w:val="00A8536F"/>
    <w:rsid w:val="00A911E7"/>
    <w:rsid w:val="00A939D9"/>
    <w:rsid w:val="00AA138F"/>
    <w:rsid w:val="00AB5F8F"/>
    <w:rsid w:val="00AB77AA"/>
    <w:rsid w:val="00AC0E98"/>
    <w:rsid w:val="00AC4748"/>
    <w:rsid w:val="00AD5259"/>
    <w:rsid w:val="00B01D36"/>
    <w:rsid w:val="00B078CD"/>
    <w:rsid w:val="00B20712"/>
    <w:rsid w:val="00B23CCF"/>
    <w:rsid w:val="00B34BF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C0643"/>
    <w:rsid w:val="00DD1D0C"/>
    <w:rsid w:val="00DE186D"/>
    <w:rsid w:val="00DF2B5D"/>
    <w:rsid w:val="00E167C7"/>
    <w:rsid w:val="00E440CF"/>
    <w:rsid w:val="00E55B78"/>
    <w:rsid w:val="00E76361"/>
    <w:rsid w:val="00E84020"/>
    <w:rsid w:val="00EA00B5"/>
    <w:rsid w:val="00EB7A80"/>
    <w:rsid w:val="00EC47F6"/>
    <w:rsid w:val="00EE6D6D"/>
    <w:rsid w:val="00EF08C9"/>
    <w:rsid w:val="00EF535E"/>
    <w:rsid w:val="00F15CF0"/>
    <w:rsid w:val="00F471F7"/>
    <w:rsid w:val="00F61F2D"/>
    <w:rsid w:val="00F66032"/>
    <w:rsid w:val="00F83B96"/>
    <w:rsid w:val="00F8441D"/>
    <w:rsid w:val="00F84F0D"/>
    <w:rsid w:val="00F87C1E"/>
    <w:rsid w:val="00F958C2"/>
    <w:rsid w:val="00F96C6F"/>
    <w:rsid w:val="00FA740E"/>
    <w:rsid w:val="00FC06C7"/>
    <w:rsid w:val="00FD5DB4"/>
    <w:rsid w:val="00FE1724"/>
    <w:rsid w:val="00FE753C"/>
    <w:rsid w:val="00FF2346"/>
    <w:rsid w:val="25E04381"/>
    <w:rsid w:val="2CB03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8761-C505-4641-865E-8AB8AEA750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1076</Words>
  <Characters>6135</Characters>
  <Lines>51</Lines>
  <Paragraphs>14</Paragraphs>
  <TotalTime>104</TotalTime>
  <ScaleCrop>false</ScaleCrop>
  <LinksUpToDate>false</LinksUpToDate>
  <CharactersWithSpaces>7197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2019-02-25T02:45:00Z</dcterms:created>
  <dc:creator>guest</dc:creator>
  <cp:lastModifiedBy>111</cp:lastModifiedBy>
  <cp:lastPrinted>2019-02-18T02:45:00Z</cp:lastPrinted>
  <dcterms:modified xsi:type="dcterms:W3CDTF">2024-05-16T00:46:25Z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F2BF815FF58E44C4A59E54518A97DBC1</vt:lpwstr>
  </property>
</Properties>
</file>