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 2019年度政府预算其他预算</w:t>
      </w:r>
    </w:p>
    <w:p>
      <w:pPr>
        <w:widowControl/>
        <w:spacing w:line="600" w:lineRule="exact"/>
        <w:jc w:val="center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相关事项情况说明</w:t>
      </w:r>
      <w:r>
        <w:rPr>
          <w:rFonts w:hint="eastAsia" w:ascii="宋体" w:cs="宋体"/>
          <w:color w:val="000000"/>
          <w:kern w:val="0"/>
          <w:sz w:val="18"/>
          <w:szCs w:val="18"/>
        </w:rPr>
        <w:t> 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600" w:lineRule="atLeast"/>
        <w:ind w:firstLine="643" w:firstLineChars="200"/>
        <w:jc w:val="left"/>
        <w:rPr>
          <w:rFonts w:asci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一、</w:t>
      </w:r>
      <w:r>
        <w:rPr>
          <w:rFonts w:ascii="黑体" w:eastAsia="黑体" w:cs="宋体"/>
          <w:b/>
          <w:color w:val="000000"/>
          <w:kern w:val="0"/>
          <w:sz w:val="32"/>
          <w:szCs w:val="32"/>
        </w:rPr>
        <w:t>广阳区财政资金安排</w:t>
      </w: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“三公经费”情况</w:t>
      </w:r>
    </w:p>
    <w:p>
      <w:pPr>
        <w:widowControl/>
        <w:spacing w:line="600" w:lineRule="atLeast"/>
        <w:ind w:firstLine="63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2019年度</w:t>
      </w:r>
      <w:r>
        <w:rPr>
          <w:rFonts w:ascii="仿宋_GB2312" w:eastAsia="仿宋_GB2312" w:cs="宋体"/>
          <w:kern w:val="0"/>
          <w:sz w:val="32"/>
          <w:szCs w:val="32"/>
        </w:rPr>
        <w:t>编制</w:t>
      </w:r>
      <w:r>
        <w:rPr>
          <w:rFonts w:hint="eastAsia" w:ascii="仿宋_GB2312" w:eastAsia="仿宋_GB2312" w:cs="宋体"/>
          <w:kern w:val="0"/>
          <w:sz w:val="32"/>
          <w:szCs w:val="32"/>
        </w:rPr>
        <w:t>预算时我区在保障基本公共服务合理需求的前提下，</w:t>
      </w:r>
      <w:r>
        <w:rPr>
          <w:rFonts w:ascii="仿宋_GB2312" w:eastAsia="仿宋_GB2312" w:cs="宋体"/>
          <w:kern w:val="0"/>
          <w:sz w:val="32"/>
          <w:szCs w:val="32"/>
        </w:rPr>
        <w:t>从</w:t>
      </w:r>
      <w:r>
        <w:rPr>
          <w:rFonts w:hint="eastAsia" w:ascii="仿宋_GB2312" w:eastAsia="仿宋_GB2312" w:cs="宋体"/>
          <w:kern w:val="0"/>
          <w:sz w:val="32"/>
          <w:szCs w:val="32"/>
        </w:rPr>
        <w:t>严控制“三公”经费，我区“三公”经费预算安排710万元，</w:t>
      </w:r>
      <w:r>
        <w:rPr>
          <w:rFonts w:ascii="仿宋_GB2312" w:eastAsia="仿宋_GB2312" w:cs="宋体"/>
          <w:kern w:val="0"/>
          <w:sz w:val="32"/>
          <w:szCs w:val="32"/>
        </w:rPr>
        <w:t>比上年预算数</w:t>
      </w:r>
      <w:r>
        <w:rPr>
          <w:rFonts w:hint="eastAsia" w:ascii="仿宋_GB2312" w:eastAsia="仿宋_GB2312" w:cs="宋体"/>
          <w:kern w:val="0"/>
          <w:sz w:val="32"/>
          <w:szCs w:val="32"/>
        </w:rPr>
        <w:t>减少37</w:t>
      </w:r>
      <w:r>
        <w:rPr>
          <w:rFonts w:ascii="仿宋_GB2312" w:eastAsia="仿宋_GB2312" w:cs="宋体"/>
          <w:kern w:val="0"/>
          <w:sz w:val="32"/>
          <w:szCs w:val="32"/>
        </w:rPr>
        <w:t>万元，全部为一般公共预算安排。具体安排情况如下：</w:t>
      </w:r>
    </w:p>
    <w:p>
      <w:pPr>
        <w:widowControl/>
        <w:spacing w:line="600" w:lineRule="atLeast"/>
        <w:ind w:firstLine="643" w:firstLineChars="20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因公出国（境）费</w:t>
      </w: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安排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47.5万元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按要求比2018年压缩5%，减少2.5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年预算对全区各部门单位因公临时出国境进行集中预留。</w:t>
      </w:r>
    </w:p>
    <w:p>
      <w:pPr>
        <w:widowControl/>
        <w:spacing w:line="600" w:lineRule="atLeast"/>
        <w:ind w:firstLine="643" w:firstLineChars="20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公务用车购置及运维费</w:t>
      </w: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安排4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49.45万元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，比上年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减少27.95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其中公务用车购置费为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45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与2018年持平，无增减变化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公务用车运行费为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04.45万元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，比上年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减少27.95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主要是合理安排资金，节约车辆开支。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2018年预算对全区公务用车费运行进行合理安排。</w:t>
      </w:r>
    </w:p>
    <w:p>
      <w:pPr>
        <w:widowControl/>
        <w:spacing w:line="600" w:lineRule="atLeast"/>
        <w:ind w:firstLine="643" w:firstLineChars="20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公务接待费</w:t>
      </w:r>
      <w:r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安排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209万元。按照要求压缩5%，比2018年减少11万元。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主要因公务接待逐年规范，公务接待费用趋于稳定。</w:t>
      </w:r>
    </w:p>
    <w:p>
      <w:pPr>
        <w:pStyle w:val="8"/>
        <w:ind w:firstLine="643"/>
        <w:rPr>
          <w:rFonts w:ascii="仿宋" w:eastAsia="仿宋"/>
          <w:sz w:val="32"/>
          <w:szCs w:val="32"/>
        </w:rPr>
      </w:pP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二、举借债务情况</w:t>
      </w: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br w:type="textWrapping"/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  <w:t xml:space="preserve">  </w:t>
      </w:r>
      <w:r>
        <w:rPr>
          <w:rFonts w:ascii="宋体" w:hAnsi="宋体" w:eastAsia="仿宋_GB2312" w:cs="宋体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总体情况。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广阳区2017年末政府性债务余额数为164979.48万元。省厅下达的2018年广阳区政府债务新增债务限额，全部为一般债务限额，金额为1800万元。2018年新增置换债券743万元。截止至2018年末，广阳区政府债务余额为166045.71万元，其中一般债务余额为13245.71万元，专项债务余额为152800万元。</w:t>
      </w:r>
    </w:p>
    <w:p>
      <w:pPr>
        <w:pStyle w:val="8"/>
        <w:ind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（二）新增政府债券规范管理情况。</w:t>
      </w:r>
    </w:p>
    <w:p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截止至2018年末，广阳区政府债券余额为165813</w:t>
      </w:r>
      <w:r>
        <w:rPr>
          <w:rFonts w:hint="eastAsia" w:ascii="仿宋" w:eastAsia="仿宋"/>
          <w:sz w:val="32"/>
          <w:szCs w:val="32"/>
          <w:lang w:eastAsia="zh-CN"/>
        </w:rPr>
        <w:t>万元</w:t>
      </w:r>
      <w:r>
        <w:rPr>
          <w:rFonts w:hint="eastAsia" w:ascii="仿宋" w:eastAsia="仿宋"/>
          <w:sz w:val="32"/>
          <w:szCs w:val="32"/>
        </w:rPr>
        <w:t>，其中一般债券余额13013万元，专项债券余额为152800万元。广阳区2018年共计偿还政府债券利息总额为4571.3万元。</w:t>
      </w:r>
    </w:p>
    <w:p>
      <w:pPr>
        <w:widowControl/>
        <w:spacing w:line="600" w:lineRule="exact"/>
        <w:ind w:firstLine="630"/>
        <w:jc w:val="left"/>
        <w:rPr>
          <w:rFonts w:ascii="仿宋_GB2312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" w:eastAsia="仿宋" w:cs="仿宋"/>
          <w:sz w:val="32"/>
          <w:szCs w:val="32"/>
        </w:rPr>
        <w:t>广阳区2018年新增一般债券1800万元，结合我区2018年相关建设需求，</w:t>
      </w:r>
      <w:r>
        <w:rPr>
          <w:rFonts w:hint="eastAsia" w:ascii="仿宋" w:eastAsia="仿宋" w:cs="仿宋"/>
          <w:color w:val="343434"/>
          <w:kern w:val="0"/>
          <w:sz w:val="32"/>
          <w:szCs w:val="32"/>
        </w:rPr>
        <w:t>报经区政府同意，全部用于区交通局采留线（冀京界至九州连接线段）大中</w:t>
      </w:r>
      <w:r>
        <w:rPr>
          <w:rFonts w:hint="eastAsia" w:ascii="仿宋" w:eastAsia="仿宋" w:cs="仿宋"/>
          <w:sz w:val="32"/>
          <w:szCs w:val="32"/>
        </w:rPr>
        <w:t>修工程；2018年新增置换债券743万元，区本级资金1476.62万元，全部用于偿还存量债务，已经于2018年底支出完毕。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楷体_GB2312" w:eastAsia="楷体_GB2312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cs="宋体"/>
          <w:b/>
          <w:bCs/>
          <w:color w:val="000000"/>
          <w:kern w:val="0"/>
          <w:sz w:val="32"/>
          <w:szCs w:val="32"/>
        </w:rPr>
        <w:t>三</w:t>
      </w:r>
      <w:r>
        <w:rPr>
          <w:rFonts w:hint="eastAsia" w:ascii="楷体_GB2312" w:eastAsia="楷体_GB2312" w:cs="宋体"/>
          <w:b/>
          <w:bCs/>
          <w:color w:val="000000"/>
          <w:kern w:val="0"/>
          <w:sz w:val="32"/>
          <w:szCs w:val="32"/>
        </w:rPr>
        <w:t>）2019年对偿还债务</w:t>
      </w:r>
      <w:r>
        <w:rPr>
          <w:rFonts w:ascii="楷体_GB2312" w:eastAsia="楷体_GB2312" w:cs="宋体"/>
          <w:b/>
          <w:bCs/>
          <w:color w:val="000000"/>
          <w:kern w:val="0"/>
          <w:sz w:val="32"/>
          <w:szCs w:val="32"/>
        </w:rPr>
        <w:t>安排</w:t>
      </w:r>
      <w:r>
        <w:rPr>
          <w:rFonts w:hint="eastAsia" w:ascii="楷体_GB2312" w:eastAsia="楷体_GB2312" w:cs="宋体"/>
          <w:b/>
          <w:bCs/>
          <w:color w:val="000000"/>
          <w:kern w:val="0"/>
          <w:sz w:val="32"/>
          <w:szCs w:val="32"/>
        </w:rPr>
        <w:t>预算1057.33</w:t>
      </w:r>
      <w:r>
        <w:rPr>
          <w:rFonts w:ascii="楷体_GB2312" w:eastAsia="楷体_GB2312" w:cs="宋体"/>
          <w:b/>
          <w:bCs/>
          <w:color w:val="000000"/>
          <w:kern w:val="0"/>
          <w:sz w:val="32"/>
          <w:szCs w:val="32"/>
        </w:rPr>
        <w:t>万元</w:t>
      </w:r>
      <w:r>
        <w:rPr>
          <w:rFonts w:hint="eastAsia" w:ascii="楷体_GB2312" w:eastAsia="楷体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主要用于一般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债券与专项债券利息及付息服务费。</w:t>
      </w:r>
    </w:p>
    <w:p>
      <w:pPr>
        <w:widowControl/>
        <w:spacing w:line="600" w:lineRule="atLeast"/>
        <w:jc w:val="left"/>
        <w:rPr>
          <w:rFonts w:hint="eastAsia" w:asci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kern w:val="0"/>
          <w:sz w:val="32"/>
          <w:szCs w:val="32"/>
        </w:rPr>
        <w:t xml:space="preserve">  </w:t>
      </w:r>
      <w:r>
        <w:rPr>
          <w:rFonts w:hint="eastAsia" w:ascii="宋体" w:hAnsi="宋体" w:eastAsia="黑体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三、转移支付情况</w:t>
      </w:r>
    </w:p>
    <w:p>
      <w:pPr>
        <w:widowControl/>
        <w:spacing w:line="600" w:lineRule="atLeast"/>
        <w:ind w:firstLine="627" w:firstLineChars="196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2019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年编制预算时我区收到上级提前下达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2019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年转移支付资金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19759.6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4万元，其中一般性转移支付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12817.22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万元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;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专项转移支付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6942.4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2万元（其中包含专项基金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231.84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万元）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,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相应安排预算支出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lang w:val="zh-CN"/>
        </w:rPr>
        <w:t>19759.6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zh-CN"/>
        </w:rPr>
        <w:t>4万元。</w:t>
      </w:r>
    </w:p>
    <w:p>
      <w:pPr>
        <w:widowControl/>
        <w:spacing w:line="600" w:lineRule="atLeast"/>
        <w:jc w:val="left"/>
        <w:rPr>
          <w:rFonts w:asci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  <w:t>  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  <w:t>四、2019年度绩效预算工作开展情况</w:t>
      </w:r>
    </w:p>
    <w:p>
      <w:pPr>
        <w:widowControl/>
        <w:spacing w:line="600" w:lineRule="atLeast"/>
        <w:ind w:firstLine="640" w:firstLineChars="200"/>
        <w:jc w:val="left"/>
        <w:rPr>
          <w:rFonts w:ascii="楷体_GB2312" w:eastAsia="楷体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按照预算绩效管理改革要求，以绩效为导向，严格执行绩效预算管理。2019年，按照省市文件要求，重新修订了部门职责、工作活动及绩效评价指标，对预算项目执行及工作活动进行了绩效评价，并将绩效评价结果应用到实际工作中，进一步提升了部门预算绩效管理工作水平。</w:t>
      </w:r>
    </w:p>
    <w:p>
      <w:pPr>
        <w:widowControl/>
        <w:spacing w:line="600" w:lineRule="atLeast"/>
        <w:ind w:firstLine="643" w:firstLineChars="200"/>
        <w:jc w:val="left"/>
        <w:rPr>
          <w:rFonts w:asci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五、2019年本级政府采购预算情况说明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2019年度，我区安排政府采购预算资金757.49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按采购类别划分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全部为货物类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为495.09万元，服务类为2.4万元，工程类为260万元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。按资金来源性质划分全部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一般公共预算拨款安排。</w:t>
      </w:r>
    </w:p>
    <w:p>
      <w:pPr>
        <w:widowControl/>
        <w:spacing w:line="600" w:lineRule="atLeast"/>
        <w:ind w:firstLine="630" w:firstLineChars="196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b/>
          <w:color w:val="000000"/>
          <w:kern w:val="0"/>
          <w:sz w:val="32"/>
          <w:szCs w:val="32"/>
        </w:rPr>
        <w:t>六、其他重要事项说明</w:t>
      </w:r>
      <w:r>
        <w:rPr>
          <w:rFonts w:hint="eastAsia" w:ascii="黑体" w:eastAsia="黑体" w:cs="宋体"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无其他重要事项说明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br w:type="textWrapping"/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E22E93"/>
    <w:rsid w:val="00013DB9"/>
    <w:rsid w:val="00025988"/>
    <w:rsid w:val="000A17DA"/>
    <w:rsid w:val="001B19BC"/>
    <w:rsid w:val="00225564"/>
    <w:rsid w:val="00280884"/>
    <w:rsid w:val="002B6D2A"/>
    <w:rsid w:val="002F56DF"/>
    <w:rsid w:val="0037736A"/>
    <w:rsid w:val="003E79B6"/>
    <w:rsid w:val="00504AC0"/>
    <w:rsid w:val="006C3077"/>
    <w:rsid w:val="006E4ADA"/>
    <w:rsid w:val="00743093"/>
    <w:rsid w:val="0074375A"/>
    <w:rsid w:val="007C42B6"/>
    <w:rsid w:val="00856F82"/>
    <w:rsid w:val="0086524F"/>
    <w:rsid w:val="009354F4"/>
    <w:rsid w:val="009F33CD"/>
    <w:rsid w:val="00A103C3"/>
    <w:rsid w:val="00AF08A8"/>
    <w:rsid w:val="00B91A25"/>
    <w:rsid w:val="00C036DE"/>
    <w:rsid w:val="00C84EB9"/>
    <w:rsid w:val="00DF2EA2"/>
    <w:rsid w:val="00E22E93"/>
    <w:rsid w:val="00E61BC7"/>
    <w:rsid w:val="00F805E4"/>
    <w:rsid w:val="039D6A28"/>
    <w:rsid w:val="36D002D7"/>
    <w:rsid w:val="69C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uiPriority w:val="0"/>
    <w:rPr>
      <w:b/>
      <w:bCs/>
    </w:rPr>
  </w:style>
  <w:style w:type="character" w:customStyle="1" w:styleId="7">
    <w:name w:val="apple-converted-space"/>
    <w:basedOn w:val="5"/>
    <w:uiPriority w:val="0"/>
  </w:style>
  <w:style w:type="paragraph" w:customStyle="1" w:styleId="8">
    <w:name w:val="列出段落1"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1114</Characters>
  <Lines>9</Lines>
  <Paragraphs>2</Paragraphs>
  <TotalTime>381</TotalTime>
  <ScaleCrop>false</ScaleCrop>
  <LinksUpToDate>false</LinksUpToDate>
  <CharactersWithSpaces>1307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2017-10-30T01:59:00Z</dcterms:created>
  <dc:creator>lenovo</dc:creator>
  <cp:lastModifiedBy>111</cp:lastModifiedBy>
  <dcterms:modified xsi:type="dcterms:W3CDTF">2024-05-16T08:33:59Z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4D727E34956E46588A4D46876BAFD7FD</vt:lpwstr>
  </property>
</Properties>
</file>