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廊坊市广阳区新开路街道办事处</w:t>
      </w:r>
      <w:r>
        <w:rPr>
          <w:rFonts w:ascii="方正小标宋简体" w:eastAsia="方正小标宋简体" w:cs="宋体"/>
          <w:b/>
          <w:bCs/>
          <w:color w:val="000000"/>
          <w:kern w:val="0"/>
          <w:sz w:val="44"/>
          <w:szCs w:val="44"/>
        </w:rPr>
        <w:t>2018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按照《预算法》、《地方预决算公开操作规程》和《河北省省级预算公开办法》规定，现将</w:t>
      </w:r>
      <w:r>
        <w:rPr>
          <w:rFonts w:hint="eastAsia" w:ascii="仿宋_GB2312" w:eastAsia="仿宋_GB2312" w:cs="宋体"/>
          <w:color w:val="000000"/>
          <w:kern w:val="0"/>
          <w:sz w:val="32"/>
          <w:szCs w:val="32"/>
        </w:rPr>
        <w:t>廊坊市</w:t>
      </w:r>
      <w:r>
        <w:rPr>
          <w:rFonts w:hint="eastAsia" w:ascii="仿宋_GB2312" w:eastAsia="仿宋_GB2312" w:cs="宋体"/>
          <w:kern w:val="0"/>
          <w:sz w:val="32"/>
          <w:szCs w:val="32"/>
        </w:rPr>
        <w:t>广阳区</w:t>
      </w:r>
      <w:r>
        <w:rPr>
          <w:rFonts w:hint="eastAsia" w:ascii="仿宋_GB2312" w:eastAsia="仿宋_GB2312" w:cs="宋体"/>
          <w:bCs/>
          <w:kern w:val="0"/>
          <w:sz w:val="32"/>
          <w:szCs w:val="32"/>
        </w:rPr>
        <w:t>新开路街道办事处</w:t>
      </w:r>
      <w:r>
        <w:rPr>
          <w:rFonts w:hint="eastAsia" w:ascii="仿宋_GB2312" w:eastAsia="仿宋_GB2312"/>
          <w:sz w:val="32"/>
          <w:szCs w:val="32"/>
        </w:rPr>
        <w:t>2018年部门预算公开如下：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widowControl/>
        <w:spacing w:line="570" w:lineRule="exact"/>
        <w:ind w:left="639" w:leftChars="228" w:hanging="160" w:hangingChars="50"/>
        <w:jc w:val="left"/>
        <w:rPr>
          <w:rFonts w:ascii="仿宋_GB2312" w:eastAsia="仿宋_GB2312"/>
          <w:color w:val="000000"/>
          <w:sz w:val="32"/>
          <w:szCs w:val="32"/>
        </w:rPr>
      </w:pPr>
      <w:r>
        <w:rPr>
          <w:rFonts w:ascii="仿宋_GB2312" w:eastAsia="仿宋_GB2312" w:cs="宋体"/>
          <w:kern w:val="0"/>
          <w:sz w:val="32"/>
          <w:szCs w:val="32"/>
        </w:rPr>
        <w:t>1</w:t>
      </w:r>
      <w:r>
        <w:rPr>
          <w:rFonts w:hint="eastAsia" w:ascii="仿宋_GB2312" w:eastAsia="仿宋_GB2312" w:cs="宋体"/>
          <w:kern w:val="0"/>
          <w:sz w:val="32"/>
          <w:szCs w:val="32"/>
        </w:rPr>
        <w:t>、党政办公室：</w:t>
      </w:r>
      <w:r>
        <w:rPr>
          <w:rFonts w:hint="eastAsia" w:ascii="仿宋_GB2312" w:eastAsia="仿宋_GB2312"/>
          <w:color w:val="000000"/>
          <w:sz w:val="32"/>
          <w:szCs w:val="32"/>
        </w:rPr>
        <w:t>机关日常文件管理工作。</w:t>
      </w:r>
    </w:p>
    <w:p>
      <w:pPr>
        <w:widowControl/>
        <w:spacing w:line="570" w:lineRule="exact"/>
        <w:ind w:left="639" w:leftChars="228" w:hanging="160" w:hangingChars="50"/>
        <w:jc w:val="left"/>
        <w:rPr>
          <w:rFonts w:ascii="仿宋_GB2312" w:eastAsia="仿宋_GB2312" w:cs="宋体"/>
          <w:kern w:val="0"/>
          <w:sz w:val="32"/>
          <w:szCs w:val="32"/>
        </w:rPr>
      </w:pPr>
      <w:r>
        <w:rPr>
          <w:rFonts w:ascii="仿宋_GB2312" w:eastAsia="仿宋_GB2312" w:cs="宋体"/>
          <w:kern w:val="0"/>
          <w:sz w:val="32"/>
          <w:szCs w:val="32"/>
        </w:rPr>
        <w:t>2</w:t>
      </w:r>
      <w:r>
        <w:rPr>
          <w:rFonts w:hint="eastAsia" w:ascii="仿宋_GB2312" w:eastAsia="仿宋_GB2312" w:cs="宋体"/>
          <w:kern w:val="0"/>
          <w:sz w:val="32"/>
          <w:szCs w:val="32"/>
        </w:rPr>
        <w:t>、保障所：</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）将市本级下岗失业人员困难认定资料上报至市人社局进行认定工作。</w:t>
      </w:r>
      <w:r>
        <w:rPr>
          <w:rFonts w:ascii="仿宋_GB2312" w:eastAsia="仿宋_GB2312"/>
          <w:color w:val="000000"/>
          <w:sz w:val="32"/>
          <w:szCs w:val="32"/>
        </w:rPr>
        <w:t xml:space="preserve"> </w:t>
      </w: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）将广阳区下岗失业人员困难认定资料上报至广阳区劳动局进行认定工作。</w:t>
      </w:r>
      <w:r>
        <w:rPr>
          <w:rFonts w:ascii="仿宋_GB2312" w:eastAsia="仿宋_GB2312"/>
          <w:color w:val="000000"/>
          <w:sz w:val="32"/>
          <w:szCs w:val="32"/>
        </w:rPr>
        <w:t xml:space="preserve"> </w:t>
      </w: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）将安次区下岗失业人员困难认定资料上报至安次区人社局进行认定工作。</w:t>
      </w:r>
    </w:p>
    <w:p>
      <w:pPr>
        <w:widowControl/>
        <w:spacing w:line="570" w:lineRule="exact"/>
        <w:ind w:left="639" w:leftChars="228" w:hanging="160" w:hangingChars="50"/>
        <w:jc w:val="left"/>
        <w:rPr>
          <w:rFonts w:ascii="仿宋_GB2312" w:eastAsia="仿宋_GB2312" w:cs="宋体"/>
          <w:kern w:val="0"/>
          <w:sz w:val="32"/>
          <w:szCs w:val="32"/>
        </w:rPr>
      </w:pPr>
      <w:r>
        <w:rPr>
          <w:rFonts w:ascii="仿宋_GB2312" w:eastAsia="仿宋_GB2312" w:cs="宋体"/>
          <w:kern w:val="0"/>
          <w:sz w:val="32"/>
          <w:szCs w:val="32"/>
        </w:rPr>
        <w:t>3</w:t>
      </w:r>
      <w:r>
        <w:rPr>
          <w:rFonts w:hint="eastAsia" w:ascii="仿宋_GB2312" w:eastAsia="仿宋_GB2312" w:cs="宋体"/>
          <w:kern w:val="0"/>
          <w:sz w:val="32"/>
          <w:szCs w:val="32"/>
        </w:rPr>
        <w:t>、计生办：</w:t>
      </w:r>
      <w:r>
        <w:rPr>
          <w:rFonts w:hint="eastAsia" w:ascii="仿宋_GB2312" w:eastAsia="仿宋_GB2312" w:cs="宋体"/>
          <w:color w:val="000000"/>
          <w:sz w:val="32"/>
          <w:szCs w:val="32"/>
        </w:rPr>
        <w:t>①</w:t>
      </w:r>
      <w:r>
        <w:rPr>
          <w:rFonts w:ascii="仿宋_GB2312" w:eastAsia="仿宋_GB2312" w:cs="Times New Roman"/>
          <w:color w:val="000000"/>
          <w:sz w:val="32"/>
          <w:szCs w:val="32"/>
        </w:rPr>
        <w:t xml:space="preserve"> </w:t>
      </w:r>
      <w:r>
        <w:rPr>
          <w:rFonts w:hint="eastAsia" w:ascii="仿宋_GB2312" w:eastAsia="仿宋_GB2312"/>
          <w:color w:val="000000"/>
          <w:sz w:val="32"/>
          <w:szCs w:val="32"/>
        </w:rPr>
        <w:t>按照“一票否决”制度落实计划生育工作，协调解决人口计生工作重点难点问题；</w:t>
      </w:r>
      <w:r>
        <w:rPr>
          <w:rFonts w:ascii="仿宋_GB2312" w:eastAsia="仿宋_GB2312"/>
          <w:color w:val="000000"/>
          <w:sz w:val="32"/>
          <w:szCs w:val="32"/>
        </w:rPr>
        <w:t xml:space="preserve"> </w:t>
      </w:r>
      <w:r>
        <w:rPr>
          <w:rFonts w:hint="eastAsia" w:ascii="仿宋_GB2312" w:eastAsia="仿宋_GB2312" w:cs="宋体"/>
          <w:color w:val="000000"/>
          <w:sz w:val="32"/>
          <w:szCs w:val="32"/>
        </w:rPr>
        <w:t>②</w:t>
      </w:r>
      <w:r>
        <w:rPr>
          <w:rFonts w:ascii="仿宋_GB2312" w:eastAsia="仿宋_GB2312" w:cs="Times New Roman"/>
          <w:color w:val="000000"/>
          <w:sz w:val="32"/>
          <w:szCs w:val="32"/>
        </w:rPr>
        <w:t xml:space="preserve"> </w:t>
      </w:r>
      <w:r>
        <w:rPr>
          <w:rFonts w:hint="eastAsia" w:ascii="仿宋_GB2312" w:eastAsia="仿宋_GB2312"/>
          <w:color w:val="000000"/>
          <w:sz w:val="32"/>
          <w:szCs w:val="32"/>
        </w:rPr>
        <w:t>配齐配强行政、技术服务人员，保持结构、队伍的稳定工作；</w:t>
      </w:r>
      <w:r>
        <w:rPr>
          <w:rFonts w:ascii="仿宋_GB2312" w:eastAsia="仿宋_GB2312"/>
          <w:color w:val="000000"/>
          <w:sz w:val="32"/>
          <w:szCs w:val="32"/>
        </w:rPr>
        <w:t xml:space="preserve"> </w:t>
      </w:r>
      <w:r>
        <w:rPr>
          <w:rFonts w:hint="eastAsia" w:ascii="仿宋_GB2312" w:eastAsia="仿宋_GB2312" w:cs="宋体"/>
          <w:color w:val="000000"/>
          <w:sz w:val="32"/>
          <w:szCs w:val="32"/>
        </w:rPr>
        <w:t>③</w:t>
      </w:r>
      <w:r>
        <w:rPr>
          <w:rFonts w:ascii="仿宋_GB2312" w:eastAsia="仿宋_GB2312" w:cs="Times New Roman"/>
          <w:color w:val="000000"/>
          <w:sz w:val="32"/>
          <w:szCs w:val="32"/>
        </w:rPr>
        <w:t xml:space="preserve"> </w:t>
      </w:r>
      <w:r>
        <w:rPr>
          <w:rFonts w:hint="eastAsia" w:ascii="仿宋_GB2312" w:eastAsia="仿宋_GB2312"/>
          <w:color w:val="000000"/>
          <w:sz w:val="32"/>
          <w:szCs w:val="32"/>
        </w:rPr>
        <w:t>实行目标管理责任制，统筹解决人口问题；</w:t>
      </w:r>
      <w:r>
        <w:rPr>
          <w:rFonts w:ascii="仿宋_GB2312" w:eastAsia="仿宋_GB2312"/>
          <w:color w:val="000000"/>
          <w:sz w:val="32"/>
          <w:szCs w:val="32"/>
        </w:rPr>
        <w:t xml:space="preserve"> </w:t>
      </w:r>
      <w:r>
        <w:rPr>
          <w:rFonts w:hint="eastAsia" w:ascii="仿宋_GB2312" w:eastAsia="仿宋_GB2312" w:cs="宋体"/>
          <w:color w:val="000000"/>
          <w:sz w:val="32"/>
          <w:szCs w:val="32"/>
        </w:rPr>
        <w:t>④</w:t>
      </w:r>
      <w:r>
        <w:rPr>
          <w:rFonts w:ascii="仿宋_GB2312" w:eastAsia="仿宋_GB2312" w:cs="Times New Roman"/>
          <w:color w:val="000000"/>
          <w:sz w:val="32"/>
          <w:szCs w:val="32"/>
        </w:rPr>
        <w:t xml:space="preserve"> </w:t>
      </w:r>
      <w:r>
        <w:rPr>
          <w:rFonts w:hint="eastAsia" w:ascii="仿宋_GB2312" w:eastAsia="仿宋_GB2312"/>
          <w:color w:val="000000"/>
          <w:sz w:val="32"/>
          <w:szCs w:val="32"/>
        </w:rPr>
        <w:t>保证财政投入；</w:t>
      </w:r>
      <w:r>
        <w:rPr>
          <w:rFonts w:ascii="仿宋_GB2312" w:eastAsia="仿宋_GB2312"/>
          <w:color w:val="000000"/>
          <w:sz w:val="32"/>
          <w:szCs w:val="32"/>
        </w:rPr>
        <w:t xml:space="preserve"> </w:t>
      </w:r>
      <w:r>
        <w:rPr>
          <w:rFonts w:hint="eastAsia" w:ascii="仿宋_GB2312" w:eastAsia="仿宋_GB2312" w:cs="宋体"/>
          <w:color w:val="000000"/>
          <w:sz w:val="32"/>
          <w:szCs w:val="32"/>
        </w:rPr>
        <w:t>⑤</w:t>
      </w:r>
      <w:r>
        <w:rPr>
          <w:rFonts w:ascii="仿宋_GB2312" w:eastAsia="仿宋_GB2312" w:cs="Times New Roman"/>
          <w:color w:val="000000"/>
          <w:sz w:val="32"/>
          <w:szCs w:val="32"/>
        </w:rPr>
        <w:t xml:space="preserve"> </w:t>
      </w:r>
      <w:r>
        <w:rPr>
          <w:rFonts w:hint="eastAsia" w:ascii="仿宋_GB2312" w:eastAsia="仿宋_GB2312"/>
          <w:color w:val="000000"/>
          <w:sz w:val="32"/>
          <w:szCs w:val="32"/>
        </w:rPr>
        <w:t>出生政策符合率</w:t>
      </w:r>
      <w:r>
        <w:rPr>
          <w:rFonts w:ascii="仿宋_GB2312" w:eastAsia="仿宋_GB2312"/>
          <w:color w:val="000000"/>
          <w:sz w:val="32"/>
          <w:szCs w:val="32"/>
        </w:rPr>
        <w:t>95%</w:t>
      </w:r>
      <w:r>
        <w:rPr>
          <w:rFonts w:hint="eastAsia" w:ascii="仿宋_GB2312" w:eastAsia="仿宋_GB2312"/>
          <w:color w:val="000000"/>
          <w:sz w:val="32"/>
          <w:szCs w:val="32"/>
        </w:rPr>
        <w:t>以上</w:t>
      </w:r>
    </w:p>
    <w:p>
      <w:pPr>
        <w:widowControl/>
        <w:spacing w:line="570" w:lineRule="exact"/>
        <w:ind w:left="639" w:leftChars="228" w:hanging="160" w:hangingChars="50"/>
        <w:jc w:val="left"/>
        <w:rPr>
          <w:rFonts w:ascii="仿宋_GB2312" w:eastAsia="仿宋_GB2312"/>
          <w:color w:val="000000"/>
          <w:sz w:val="32"/>
          <w:szCs w:val="32"/>
        </w:rPr>
      </w:pPr>
      <w:r>
        <w:rPr>
          <w:rFonts w:ascii="仿宋_GB2312" w:eastAsia="仿宋_GB2312" w:cs="宋体"/>
          <w:kern w:val="0"/>
          <w:sz w:val="32"/>
          <w:szCs w:val="32"/>
        </w:rPr>
        <w:t>4</w:t>
      </w:r>
      <w:r>
        <w:rPr>
          <w:rFonts w:hint="eastAsia" w:ascii="仿宋_GB2312" w:eastAsia="仿宋_GB2312" w:cs="宋体"/>
          <w:kern w:val="0"/>
          <w:sz w:val="32"/>
          <w:szCs w:val="32"/>
        </w:rPr>
        <w:t>、组员办：</w:t>
      </w:r>
      <w:r>
        <w:rPr>
          <w:rFonts w:hint="eastAsia" w:ascii="仿宋_GB2312" w:eastAsia="仿宋_GB2312"/>
          <w:color w:val="000000"/>
          <w:sz w:val="32"/>
          <w:szCs w:val="32"/>
        </w:rPr>
        <w:t>基层组织</w:t>
      </w:r>
      <w:r>
        <w:rPr>
          <w:rFonts w:ascii="仿宋_GB2312" w:eastAsia="仿宋_GB2312"/>
          <w:color w:val="000000"/>
          <w:sz w:val="32"/>
          <w:szCs w:val="32"/>
        </w:rPr>
        <w:t xml:space="preserve"> </w:t>
      </w:r>
      <w:r>
        <w:rPr>
          <w:rFonts w:hint="eastAsia" w:ascii="仿宋_GB2312" w:eastAsia="仿宋_GB2312"/>
          <w:color w:val="000000"/>
          <w:sz w:val="32"/>
          <w:szCs w:val="32"/>
        </w:rPr>
        <w:t>建设工作、党员管理工作。</w:t>
      </w:r>
    </w:p>
    <w:p>
      <w:pPr>
        <w:widowControl/>
        <w:spacing w:line="570" w:lineRule="exact"/>
        <w:ind w:left="639" w:leftChars="228" w:hanging="160" w:hangingChars="50"/>
        <w:jc w:val="left"/>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、综治办：</w:t>
      </w:r>
      <w:r>
        <w:rPr>
          <w:rFonts w:ascii="仿宋_GB2312" w:eastAsia="仿宋_GB2312"/>
          <w:color w:val="000000"/>
          <w:sz w:val="32"/>
          <w:szCs w:val="32"/>
        </w:rPr>
        <w:t>1</w:t>
      </w:r>
      <w:r>
        <w:rPr>
          <w:rFonts w:hint="eastAsia" w:ascii="仿宋_GB2312" w:eastAsia="仿宋_GB2312"/>
          <w:color w:val="000000"/>
          <w:sz w:val="32"/>
          <w:szCs w:val="32"/>
        </w:rPr>
        <w:t>、年初与各社区签订全年安全稳定责任状。</w:t>
      </w:r>
      <w:r>
        <w:rPr>
          <w:rFonts w:ascii="仿宋_GB2312" w:eastAsia="仿宋_GB2312"/>
          <w:color w:val="000000"/>
          <w:sz w:val="32"/>
          <w:szCs w:val="32"/>
        </w:rPr>
        <w:t>2</w:t>
      </w:r>
      <w:r>
        <w:rPr>
          <w:rFonts w:hint="eastAsia" w:ascii="仿宋_GB2312" w:eastAsia="仿宋_GB2312"/>
          <w:color w:val="000000"/>
          <w:sz w:val="32"/>
          <w:szCs w:val="32"/>
        </w:rPr>
        <w:t>、铁路沿线的社区要与辖区单位签订《爱路护路保证书》</w:t>
      </w:r>
      <w:r>
        <w:rPr>
          <w:rFonts w:ascii="仿宋_GB2312" w:eastAsia="仿宋_GB2312"/>
          <w:color w:val="000000"/>
          <w:sz w:val="32"/>
          <w:szCs w:val="32"/>
        </w:rPr>
        <w:t>3</w:t>
      </w:r>
      <w:r>
        <w:rPr>
          <w:rFonts w:hint="eastAsia" w:ascii="仿宋_GB2312" w:eastAsia="仿宋_GB2312"/>
          <w:color w:val="000000"/>
          <w:sz w:val="32"/>
          <w:szCs w:val="32"/>
        </w:rPr>
        <w:t>、各社区定期宣传法律知识、消防知识、健康知识等。</w:t>
      </w:r>
      <w:r>
        <w:rPr>
          <w:rFonts w:ascii="仿宋_GB2312" w:eastAsia="仿宋_GB2312"/>
          <w:color w:val="000000"/>
          <w:sz w:val="32"/>
          <w:szCs w:val="32"/>
        </w:rPr>
        <w:t>4</w:t>
      </w:r>
      <w:r>
        <w:rPr>
          <w:rFonts w:hint="eastAsia" w:ascii="仿宋_GB2312" w:eastAsia="仿宋_GB2312"/>
          <w:color w:val="000000"/>
          <w:sz w:val="32"/>
          <w:szCs w:val="32"/>
        </w:rPr>
        <w:t>、各社区组织辖区志愿者在重点时期在小区内进行巡逻。</w:t>
      </w:r>
    </w:p>
    <w:p>
      <w:pPr>
        <w:widowControl/>
        <w:spacing w:line="570" w:lineRule="exact"/>
        <w:ind w:left="639" w:leftChars="228" w:hanging="160" w:hangingChars="50"/>
        <w:jc w:val="left"/>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财政所：审核原始凭证，对符合标准的票据进行款项支付，记账处理。月末，和银行对账，打印会计凭证，整理装订，归档保存。对财政局拨付的工资进行核定，确定无误后组织发放；对审核无误的养老、医疗及住房公积金的缴纳工作；机关人员住房公积金的支取、查询、转移工作。</w:t>
      </w:r>
    </w:p>
    <w:p>
      <w:pPr>
        <w:widowControl/>
        <w:spacing w:line="570" w:lineRule="exact"/>
        <w:ind w:left="639" w:leftChars="228" w:hanging="160" w:hangingChars="50"/>
        <w:jc w:val="left"/>
        <w:rPr>
          <w:rFonts w:ascii="仿宋_GB2312" w:eastAsia="仿宋_GB2312" w:cs="宋体"/>
          <w:color w:val="000000"/>
          <w:kern w:val="0"/>
          <w:sz w:val="32"/>
          <w:szCs w:val="32"/>
        </w:rPr>
      </w:pPr>
      <w:r>
        <w:rPr>
          <w:rFonts w:ascii="仿宋_GB2312" w:eastAsia="仿宋_GB2312"/>
          <w:color w:val="000000"/>
          <w:sz w:val="32"/>
          <w:szCs w:val="32"/>
        </w:rPr>
        <w:t>7</w:t>
      </w:r>
      <w:r>
        <w:rPr>
          <w:rFonts w:hint="eastAsia" w:ascii="仿宋_GB2312" w:eastAsia="仿宋_GB2312"/>
          <w:color w:val="000000"/>
          <w:sz w:val="32"/>
          <w:szCs w:val="32"/>
        </w:rPr>
        <w:t>、民政所：切实做好低保信息系统相关工作，积极做好低保系统数据库更新工作，并加强对居委会工作人员的业务指导以及新增人员的申请与审核工作。</w:t>
      </w:r>
      <w:r>
        <w:rPr>
          <w:rFonts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6"/>
        <w:tblW w:w="12215" w:type="dxa"/>
        <w:tblCellSpacing w:w="0" w:type="dxa"/>
        <w:tblInd w:w="53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097"/>
        <w:gridCol w:w="2078"/>
        <w:gridCol w:w="1795"/>
        <w:gridCol w:w="42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83" w:hRule="atLeast"/>
          <w:tblHeader/>
          <w:tblCellSpacing w:w="0" w:type="dxa"/>
        </w:trPr>
        <w:tc>
          <w:tcPr>
            <w:tcW w:w="4097"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9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45"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5" w:hRule="atLeast"/>
          <w:tblCellSpacing w:w="0" w:type="dxa"/>
        </w:trPr>
        <w:tc>
          <w:tcPr>
            <w:tcW w:w="4097"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color w:val="000000"/>
                <w:kern w:val="0"/>
                <w:sz w:val="28"/>
                <w:szCs w:val="28"/>
              </w:rPr>
              <w:t>廊坊市</w:t>
            </w:r>
            <w:r>
              <w:rPr>
                <w:rFonts w:hint="eastAsia" w:ascii="仿宋_GB2312" w:eastAsia="仿宋_GB2312" w:cs="宋体"/>
                <w:kern w:val="0"/>
                <w:sz w:val="28"/>
                <w:szCs w:val="28"/>
              </w:rPr>
              <w:t>广阳区</w:t>
            </w:r>
            <w:r>
              <w:rPr>
                <w:rFonts w:hint="eastAsia" w:ascii="仿宋_GB2312" w:eastAsia="仿宋_GB2312" w:cs="宋体"/>
                <w:bCs/>
                <w:kern w:val="0"/>
                <w:sz w:val="28"/>
                <w:szCs w:val="28"/>
              </w:rPr>
              <w:t>新开路街道办事处</w:t>
            </w:r>
          </w:p>
        </w:tc>
        <w:tc>
          <w:tcPr>
            <w:tcW w:w="207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highlight w:val="yellow"/>
              </w:rPr>
            </w:pPr>
            <w:r>
              <w:rPr>
                <w:rFonts w:hint="eastAsia" w:ascii="仿宋_GB2312" w:eastAsia="仿宋_GB2312" w:cs="宋体"/>
                <w:kern w:val="0"/>
                <w:sz w:val="32"/>
                <w:szCs w:val="32"/>
              </w:rPr>
              <w:t>行政</w:t>
            </w:r>
          </w:p>
        </w:tc>
        <w:tc>
          <w:tcPr>
            <w:tcW w:w="179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45"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广阳区新开路街道办事处</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hint="eastAsia" w:ascii="仿宋_GB2312" w:eastAsia="仿宋_GB2312" w:cs="宋体"/>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1657.82</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1657.82</w:t>
      </w:r>
      <w:r>
        <w:rPr>
          <w:rFonts w:hint="eastAsia" w:ascii="仿宋_GB2312" w:eastAsia="仿宋_GB2312" w:cs="宋体"/>
          <w:color w:val="000000"/>
          <w:kern w:val="0"/>
          <w:sz w:val="32"/>
          <w:szCs w:val="32"/>
        </w:rPr>
        <w:t>万元，政府性基金收入0万元，财政专户核拨收入0万元，其他来源收入0万元。</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spacing w:line="57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收支预算总表支出栏、基本支出表、项目支出表按经济分类和支出功能分类科目编制，反映河北省</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年度部门预算中支出预算的总体情况。</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1657.82</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1479.33</w:t>
      </w:r>
      <w:r>
        <w:rPr>
          <w:rFonts w:hint="eastAsia" w:ascii="仿宋_GB2312" w:eastAsia="仿宋_GB2312" w:cs="宋体"/>
          <w:color w:val="000000"/>
          <w:kern w:val="0"/>
          <w:sz w:val="32"/>
          <w:szCs w:val="32"/>
        </w:rPr>
        <w:t>万元，包括人员经费1355.46万元和日常公用经费123.87万元；项目支出</w:t>
      </w:r>
      <w:r>
        <w:rPr>
          <w:rFonts w:ascii="仿宋_GB2312" w:eastAsia="仿宋_GB2312" w:cs="宋体"/>
          <w:color w:val="000000"/>
          <w:kern w:val="0"/>
          <w:sz w:val="32"/>
          <w:szCs w:val="32"/>
        </w:rPr>
        <w:t>178.49</w:t>
      </w:r>
      <w:r>
        <w:rPr>
          <w:rFonts w:hint="eastAsia" w:ascii="仿宋_GB2312" w:eastAsia="仿宋_GB2312" w:cs="宋体"/>
          <w:color w:val="000000"/>
          <w:kern w:val="0"/>
          <w:sz w:val="32"/>
          <w:szCs w:val="32"/>
        </w:rPr>
        <w:t>万元，主要为社区聘用人员经费。</w:t>
      </w:r>
      <w:r>
        <w:rPr>
          <w:rFonts w:ascii="仿宋_GB2312" w:eastAsia="仿宋_GB2312" w:cs="宋体"/>
          <w:color w:val="000000"/>
          <w:kern w:val="0"/>
          <w:sz w:val="32"/>
          <w:szCs w:val="32"/>
        </w:rPr>
        <w:t xml:space="preserve"> </w:t>
      </w:r>
    </w:p>
    <w:p>
      <w:pPr>
        <w:widowControl/>
        <w:spacing w:line="570" w:lineRule="exac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570" w:lineRule="exact"/>
        <w:ind w:firstLine="640" w:firstLineChars="200"/>
        <w:jc w:val="left"/>
        <w:rPr>
          <w:rFonts w:ascii="黑体" w:eastAsia="黑体" w:cs="宋体"/>
          <w:b/>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1657.82</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345.27</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166.78</w:t>
      </w:r>
      <w:r>
        <w:rPr>
          <w:rFonts w:hint="eastAsia" w:ascii="仿宋_GB2312" w:eastAsia="仿宋_GB2312" w:cs="宋体"/>
          <w:color w:val="000000"/>
          <w:kern w:val="0"/>
          <w:sz w:val="32"/>
          <w:szCs w:val="32"/>
        </w:rPr>
        <w:t>万元，主要为增加人员支出；项目支出增加</w:t>
      </w:r>
      <w:r>
        <w:rPr>
          <w:rFonts w:ascii="仿宋_GB2312" w:eastAsia="仿宋_GB2312" w:cs="宋体"/>
          <w:color w:val="000000"/>
          <w:kern w:val="0"/>
          <w:sz w:val="32"/>
          <w:szCs w:val="32"/>
        </w:rPr>
        <w:t>178.49</w:t>
      </w:r>
      <w:r>
        <w:rPr>
          <w:rFonts w:hint="eastAsia" w:ascii="仿宋_GB2312" w:eastAsia="仿宋_GB2312" w:cs="宋体"/>
          <w:color w:val="000000"/>
          <w:kern w:val="0"/>
          <w:sz w:val="32"/>
          <w:szCs w:val="32"/>
        </w:rPr>
        <w:t>万元，主要增加社区政权和社区建设项目支出。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年预算安排我街道机关运行经费</w:t>
      </w:r>
      <w:r>
        <w:rPr>
          <w:rFonts w:ascii="仿宋_GB2312" w:eastAsia="仿宋_GB2312" w:cs="宋体"/>
          <w:color w:val="000000"/>
          <w:kern w:val="0"/>
          <w:sz w:val="32"/>
          <w:szCs w:val="32"/>
        </w:rPr>
        <w:t>8.15</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8.15</w:t>
      </w:r>
      <w:r>
        <w:rPr>
          <w:rFonts w:hint="eastAsia" w:ascii="仿宋_GB2312" w:eastAsia="仿宋_GB2312" w:cs="宋体"/>
          <w:color w:val="000000"/>
          <w:kern w:val="0"/>
          <w:sz w:val="32"/>
          <w:szCs w:val="32"/>
        </w:rPr>
        <w:t>万元，其他业务费0万元。主要用于机关办公区的日常维修、办公用房水电费、办公用房取暖费、办公用房物业管理费等日常运行支出。</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宋体" w:hAnsi="宋体"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年，我街道“三公”经费预算安排</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万元，其中因公出国（境）费0万元;公务用车购置及运维费</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万元（其中：公务用车购置费0万元，公务用车运行费为</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；公务接待费0万元。与</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年增</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万元，主要原因是</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年无此项预算。</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ascii="仿宋_GB2312"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olor w:val="000000"/>
          <w:sz w:val="32"/>
          <w:szCs w:val="32"/>
        </w:rPr>
        <w:t>一、负责党委全面工作，主持召集党委会议和党员</w:t>
      </w:r>
      <w:r>
        <w:rPr>
          <w:rFonts w:ascii="仿宋_GB2312" w:eastAsia="仿宋_GB2312"/>
          <w:color w:val="000000"/>
          <w:sz w:val="32"/>
          <w:szCs w:val="32"/>
        </w:rPr>
        <w:t>(</w:t>
      </w:r>
      <w:r>
        <w:rPr>
          <w:rFonts w:hint="eastAsia" w:ascii="仿宋_GB2312" w:eastAsia="仿宋_GB2312"/>
          <w:color w:val="000000"/>
          <w:sz w:val="32"/>
          <w:szCs w:val="32"/>
        </w:rPr>
        <w:t>党员代表</w:t>
      </w:r>
      <w:r>
        <w:rPr>
          <w:rFonts w:ascii="仿宋_GB2312" w:eastAsia="仿宋_GB2312"/>
          <w:color w:val="000000"/>
          <w:sz w:val="32"/>
          <w:szCs w:val="32"/>
        </w:rPr>
        <w:t>)</w:t>
      </w:r>
      <w:r>
        <w:rPr>
          <w:rFonts w:hint="eastAsia" w:ascii="仿宋_GB2312" w:eastAsia="仿宋_GB2312"/>
          <w:color w:val="000000"/>
          <w:sz w:val="32"/>
          <w:szCs w:val="32"/>
        </w:rPr>
        <w:t>大会，认真贯彻执行党的路线、方针、政策和上级的决议、指示，贯彻党委的决议和决定</w:t>
      </w:r>
      <w:r>
        <w:rPr>
          <w:rFonts w:ascii="仿宋_GB2312" w:eastAsia="仿宋_GB2312"/>
          <w:color w:val="000000"/>
          <w:sz w:val="32"/>
          <w:szCs w:val="32"/>
        </w:rPr>
        <w:t>;</w:t>
      </w:r>
      <w:r>
        <w:rPr>
          <w:rFonts w:hint="eastAsia" w:ascii="仿宋_GB2312" w:eastAsia="仿宋_GB2312"/>
          <w:color w:val="000000"/>
          <w:sz w:val="32"/>
          <w:szCs w:val="32"/>
        </w:rPr>
        <w:t>研究安排党委工作，将党委工作中的重大问题及时提交党委和党员</w:t>
      </w:r>
      <w:r>
        <w:rPr>
          <w:rFonts w:ascii="仿宋_GB2312" w:eastAsia="仿宋_GB2312"/>
          <w:color w:val="000000"/>
          <w:sz w:val="32"/>
          <w:szCs w:val="32"/>
        </w:rPr>
        <w:t>(</w:t>
      </w:r>
      <w:r>
        <w:rPr>
          <w:rFonts w:hint="eastAsia" w:ascii="仿宋_GB2312" w:eastAsia="仿宋_GB2312"/>
          <w:color w:val="000000"/>
          <w:sz w:val="32"/>
          <w:szCs w:val="32"/>
        </w:rPr>
        <w:t>党员代表</w:t>
      </w:r>
      <w:r>
        <w:rPr>
          <w:rFonts w:ascii="仿宋_GB2312" w:eastAsia="仿宋_GB2312"/>
          <w:color w:val="000000"/>
          <w:sz w:val="32"/>
          <w:szCs w:val="32"/>
        </w:rPr>
        <w:t>)</w:t>
      </w:r>
      <w:r>
        <w:rPr>
          <w:rFonts w:hint="eastAsia" w:ascii="仿宋_GB2312" w:eastAsia="仿宋_GB2312"/>
          <w:color w:val="000000"/>
          <w:sz w:val="32"/>
          <w:szCs w:val="32"/>
        </w:rPr>
        <w:t>大会讨论决定。</w:t>
      </w:r>
      <w:r>
        <w:rPr>
          <w:rFonts w:ascii="仿宋_GB2312" w:eastAsia="仿宋_GB2312"/>
          <w:color w:val="000000"/>
          <w:sz w:val="32"/>
          <w:szCs w:val="32"/>
        </w:rPr>
        <w:t xml:space="preserve"> </w:t>
      </w:r>
      <w:r>
        <w:rPr>
          <w:rFonts w:hint="eastAsia" w:ascii="仿宋_GB2312" w:eastAsia="仿宋_GB2312"/>
          <w:color w:val="000000"/>
          <w:sz w:val="32"/>
          <w:szCs w:val="32"/>
        </w:rPr>
        <w:t>二、坚持贯彻民主集中制原则和“三会一课”制度。</w:t>
      </w:r>
      <w:r>
        <w:rPr>
          <w:rFonts w:ascii="仿宋_GB2312" w:eastAsia="仿宋_GB2312"/>
          <w:color w:val="000000"/>
          <w:sz w:val="32"/>
          <w:szCs w:val="32"/>
        </w:rPr>
        <w:t xml:space="preserve"> </w:t>
      </w:r>
      <w:r>
        <w:rPr>
          <w:rFonts w:hint="eastAsia" w:ascii="仿宋_GB2312" w:eastAsia="仿宋_GB2312"/>
          <w:color w:val="000000"/>
          <w:sz w:val="32"/>
          <w:szCs w:val="32"/>
        </w:rPr>
        <w:t>三、负责党的建设工作，保证党建目标的实现，及时准确地完成上级党委下达的各项任务。</w:t>
      </w:r>
      <w:r>
        <w:rPr>
          <w:rFonts w:ascii="仿宋_GB2312" w:eastAsia="仿宋_GB2312"/>
          <w:color w:val="000000"/>
          <w:sz w:val="32"/>
          <w:szCs w:val="32"/>
        </w:rPr>
        <w:t xml:space="preserve"> </w:t>
      </w:r>
      <w:r>
        <w:rPr>
          <w:rFonts w:hint="eastAsia" w:ascii="仿宋_GB2312" w:eastAsia="仿宋_GB2312"/>
          <w:color w:val="000000"/>
          <w:sz w:val="32"/>
          <w:szCs w:val="32"/>
        </w:rPr>
        <w:t>四、负责党委班子思想、组织、作风建设，负责党员、干部队伍的教育与管理。</w:t>
      </w:r>
      <w:r>
        <w:rPr>
          <w:rFonts w:ascii="仿宋_GB2312" w:eastAsia="仿宋_GB2312"/>
          <w:color w:val="000000"/>
          <w:sz w:val="32"/>
          <w:szCs w:val="32"/>
        </w:rPr>
        <w:t xml:space="preserve"> </w:t>
      </w:r>
      <w:r>
        <w:rPr>
          <w:rFonts w:hint="eastAsia" w:ascii="仿宋_GB2312" w:eastAsia="仿宋_GB2312"/>
          <w:color w:val="000000"/>
          <w:sz w:val="32"/>
          <w:szCs w:val="32"/>
        </w:rPr>
        <w:t>五、负责党委班子中心组理论学习工作，按时召开党委民主生活会，搞好党委的自身建设，充分发挥党委的集体领导作用。</w:t>
      </w:r>
      <w:r>
        <w:rPr>
          <w:rFonts w:ascii="仿宋_GB2312" w:eastAsia="仿宋_GB2312"/>
          <w:color w:val="000000"/>
          <w:sz w:val="32"/>
          <w:szCs w:val="32"/>
        </w:rPr>
        <w:t xml:space="preserve"> </w:t>
      </w:r>
      <w:r>
        <w:rPr>
          <w:rFonts w:hint="eastAsia" w:ascii="仿宋_GB2312" w:eastAsia="仿宋_GB2312"/>
          <w:color w:val="000000"/>
          <w:sz w:val="32"/>
          <w:szCs w:val="32"/>
        </w:rPr>
        <w:t>六、负责党风廉政建设和反腐败工作，抓好精神文明建设，指导工、青、妇等群团组织和职能部门，广泛深入开展精神文明创建活动。</w:t>
      </w:r>
      <w:r>
        <w:rPr>
          <w:rFonts w:ascii="仿宋_GB2312" w:eastAsia="仿宋_GB2312"/>
          <w:color w:val="000000"/>
          <w:sz w:val="32"/>
          <w:szCs w:val="32"/>
        </w:rPr>
        <w:t xml:space="preserve"> </w:t>
      </w:r>
      <w:r>
        <w:rPr>
          <w:rFonts w:hint="eastAsia" w:ascii="仿宋_GB2312" w:eastAsia="仿宋_GB2312"/>
          <w:color w:val="000000"/>
          <w:sz w:val="32"/>
          <w:szCs w:val="32"/>
        </w:rPr>
        <w:t>七、检查党委工作计划、决议的执行情况，按时向上级党委和党员</w:t>
      </w:r>
      <w:r>
        <w:rPr>
          <w:rFonts w:ascii="仿宋_GB2312" w:eastAsia="仿宋_GB2312"/>
          <w:color w:val="000000"/>
          <w:sz w:val="32"/>
          <w:szCs w:val="32"/>
        </w:rPr>
        <w:t>(</w:t>
      </w:r>
      <w:r>
        <w:rPr>
          <w:rFonts w:hint="eastAsia" w:ascii="仿宋_GB2312" w:eastAsia="仿宋_GB2312"/>
          <w:color w:val="000000"/>
          <w:sz w:val="32"/>
          <w:szCs w:val="32"/>
        </w:rPr>
        <w:t>或党员代表</w:t>
      </w:r>
      <w:r>
        <w:rPr>
          <w:rFonts w:ascii="仿宋_GB2312" w:eastAsia="仿宋_GB2312"/>
          <w:color w:val="000000"/>
          <w:sz w:val="32"/>
          <w:szCs w:val="32"/>
        </w:rPr>
        <w:t>)</w:t>
      </w:r>
      <w:r>
        <w:rPr>
          <w:rFonts w:hint="eastAsia" w:ascii="仿宋_GB2312" w:eastAsia="仿宋_GB2312"/>
          <w:color w:val="000000"/>
          <w:sz w:val="32"/>
          <w:szCs w:val="32"/>
        </w:rPr>
        <w:t>大会报告工作。</w:t>
      </w:r>
      <w:r>
        <w:rPr>
          <w:rFonts w:ascii="仿宋_GB2312" w:eastAsia="仿宋_GB2312"/>
          <w:color w:val="000000"/>
          <w:sz w:val="32"/>
          <w:szCs w:val="32"/>
        </w:rPr>
        <w:t xml:space="preserve"> </w:t>
      </w:r>
      <w:r>
        <w:rPr>
          <w:rFonts w:hint="eastAsia" w:ascii="仿宋_GB2312" w:eastAsia="仿宋_GB2312"/>
          <w:color w:val="000000"/>
          <w:sz w:val="32"/>
          <w:szCs w:val="32"/>
        </w:rPr>
        <w:t>八、落实党政同责、一岗双责所要求的其他工作</w:t>
      </w:r>
      <w:r>
        <w:rPr>
          <w:rFonts w:ascii="仿宋_GB2312" w:eastAsia="仿宋_GB2312" w:cs="宋体"/>
          <w:color w:val="000000"/>
          <w:kern w:val="0"/>
          <w:sz w:val="32"/>
          <w:szCs w:val="32"/>
        </w:rPr>
        <w:br w:type="textWrapping"/>
      </w:r>
    </w:p>
    <w:p>
      <w:pPr>
        <w:spacing w:line="570" w:lineRule="exact"/>
        <w:jc w:val="center"/>
        <w:outlineLvl w:val="0"/>
        <w:rPr>
          <w:rFonts w:ascii="方正小标宋_GBK" w:eastAsia="方正小标宋_GBK"/>
          <w:sz w:val="32"/>
        </w:rPr>
      </w:pPr>
      <w:bookmarkStart w:id="0" w:name="_Toc505087879"/>
      <w:r>
        <w:rPr>
          <w:rFonts w:hint="eastAsia" w:ascii="方正小标宋_GBK" w:eastAsia="方正小标宋_GBK"/>
          <w:sz w:val="32"/>
        </w:rPr>
        <w:t>部门职责-工作活动绩效目标</w:t>
      </w:r>
      <w:bookmarkEnd w:id="0"/>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方正小标宋_GBK" w:eastAsia="方正小标宋_GBK"/>
                <w:sz w:val="24"/>
              </w:rPr>
            </w:pPr>
            <w:r>
              <w:rPr>
                <w:rFonts w:hint="eastAsia" w:ascii="方正小标宋_GBK" w:eastAsia="方正小标宋_GBK"/>
                <w:sz w:val="24"/>
              </w:rPr>
              <w:t>918廊坊市广阳区新开路街道办事处</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一、政务服务</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政务公开、镇政府、街办处会议管理、督察督办、政务联络等工作。</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1、政务公开</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承担街办处政务公开暨行政权力公开透明运行工作领导小组的日常工作，指导和协调全街办处政务公开及政务服务中心建设、推进行政服务体系标准化建设工作。</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通过完成街办处政务信息公开工作的指导监督工作，使全街办处信息公开业务队伍素质不断提高，业务水平进一步提升；政府政务信息公开范围不断扩大，公开内容得到进一步细化。</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政务公开率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政务公开次数</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政务公开内容</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2、政务联络</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负责管理区政府驻外办事处工作。负责区领导、区有关部门公务活动的接待安排；</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做好区际间与本街办处政务往来服务保障工作</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重大活动联络服务工作完成率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重大会议的协调安保工作完成率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重大会议的内容完成情况</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对外联络任务完成次数</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对外联络任务完成程度</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对外联络任务效果</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3、会议管理</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政府会议的准备和服务工作，协助政府领导组织会议决定事项的落实。</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做好街道会议保障；严格召开的会议审批，控制会议费开支规模。</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重大会议的协调安保工作完成率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大型会议执行度</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4、督查督办</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确保街道决定事项及街道领导重要指示得到贯彻落实。</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督察督办次数</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督察督办程度</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决策部署督查反馈率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二、应急管理</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基层政府值班工作，及时报告重要情况，传达和督促落实街办处领导指示。协助街办处领导做好需由基层政府组织处理的突发事件应急处置工作。</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1、应急管理</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维护好本地政府应急平台，确保街办处应急工作顺利完成；各类突发事件得到及时妥善处置</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突发事件处理率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突发事件处理程度</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突发事件处理效果</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三、电子政务管理</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1、政府电子政务管理与服务</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确保各类会议顺利进行；保障街道网络系统安全、稳定运行，技术设备安全可用</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网站事故次数</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网站内容</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网站作用</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四、地方志事务</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全街道地方志事务管理。</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1、地方志事务管理</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为社会各界方便快捷提供街道情，为经济社会建设服务</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编印差错率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真实程度</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影响范围</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五、街道政务管理</w:t>
            </w:r>
          </w:p>
        </w:tc>
        <w:tc>
          <w:tcPr>
            <w:tcW w:w="12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178.49</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178.49</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高质量审核公文，让县领导满意；及时办理各类文电，确保事项在第一时间得到街道批示意见；高质量起草的街道重要讲话及重要文稿。</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综合业务工作完成率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综合业务工作完成效果</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综合业务完成作用</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70%-80%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60%以下</w:t>
            </w:r>
          </w:p>
        </w:tc>
      </w:tr>
    </w:tbl>
    <w:p>
      <w:pPr>
        <w:widowControl/>
        <w:spacing w:line="570" w:lineRule="exact"/>
        <w:ind w:firstLine="630"/>
        <w:jc w:val="left"/>
        <w:rPr>
          <w:rFonts w:ascii="宋体" w:hAnsi="宋体" w:eastAsia="仿宋_GB2312" w:cs="宋体"/>
          <w:color w:val="000000"/>
          <w:kern w:val="0"/>
          <w:sz w:val="32"/>
          <w:szCs w:val="32"/>
        </w:rPr>
      </w:pPr>
      <w:r>
        <w:rPr>
          <w:rFonts w:ascii="宋体" w:hAnsi="宋体" w:eastAsia="仿宋_GB2312" w:cs="宋体"/>
          <w:color w:val="000000"/>
          <w:kern w:val="0"/>
          <w:sz w:val="32"/>
          <w:szCs w:val="32"/>
        </w:rPr>
        <w:t> </w:t>
      </w: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年，我部门无安排政府采购。</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6"/>
        <w:tblW w:w="1405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1085"/>
        <w:gridCol w:w="825"/>
        <w:gridCol w:w="813"/>
        <w:gridCol w:w="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rPr>
              <w:t>918-廊坊市广阳区新开路街道办事处</w:t>
            </w:r>
          </w:p>
        </w:tc>
        <w:tc>
          <w:tcPr>
            <w:tcW w:w="6082" w:type="dxa"/>
            <w:gridSpan w:val="7"/>
            <w:tcBorders>
              <w:top w:val="single" w:color="FFFFFF" w:sz="6" w:space="0"/>
              <w:left w:val="single" w:color="FFFFFF" w:sz="6" w:space="0"/>
              <w:right w:val="single" w:color="FFFFFF" w:sz="6" w:space="0"/>
            </w:tcBorders>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283" w:type="dxa"/>
            <w:gridSpan w:val="2"/>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r>
              <w:rPr>
                <w:rFonts w:ascii="仿宋_GB2312" w:eastAsia="仿宋_GB2312" w:cs="Times New Roman"/>
                <w:b/>
                <w:sz w:val="28"/>
                <w:szCs w:val="28"/>
              </w:rPr>
              <w:t xml:space="preserve">  </w:t>
            </w:r>
            <w:r>
              <w:rPr>
                <w:rFonts w:hint="eastAsia" w:ascii="仿宋_GB2312" w:eastAsia="仿宋_GB2312" w:cs="Times New Roman"/>
                <w:b/>
                <w:sz w:val="28"/>
                <w:szCs w:val="28"/>
              </w:rPr>
              <w:t>单位</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6082" w:type="dxa"/>
            <w:gridSpan w:val="7"/>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0"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429" w:type="dxa"/>
            <w:gridSpan w:val="5"/>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800"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0" w:type="dxa"/>
            <w:vMerge w:val="continue"/>
            <w:vAlign w:val="center"/>
          </w:tcPr>
          <w:p/>
        </w:tc>
        <w:tc>
          <w:tcPr>
            <w:tcW w:w="1013" w:type="dxa"/>
            <w:vMerge w:val="continue"/>
            <w:vAlign w:val="center"/>
          </w:tcP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continue"/>
            <w:vAlign w:val="center"/>
          </w:tcP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1085"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25"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1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800"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0"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1085" w:type="dxa"/>
            <w:vAlign w:val="center"/>
          </w:tcPr>
          <w:p>
            <w:pPr>
              <w:spacing w:line="570" w:lineRule="exact"/>
              <w:jc w:val="center"/>
              <w:rPr>
                <w:rFonts w:ascii="仿宋_GB2312" w:eastAsia="仿宋_GB2312" w:cs="Times New Roman"/>
                <w:b/>
                <w:sz w:val="28"/>
                <w:szCs w:val="28"/>
              </w:rPr>
            </w:pPr>
          </w:p>
        </w:tc>
        <w:tc>
          <w:tcPr>
            <w:tcW w:w="825" w:type="dxa"/>
            <w:vAlign w:val="center"/>
          </w:tcPr>
          <w:p>
            <w:pPr>
              <w:spacing w:line="570" w:lineRule="exact"/>
              <w:jc w:val="center"/>
              <w:rPr>
                <w:rFonts w:ascii="仿宋_GB2312" w:eastAsia="仿宋_GB2312" w:cs="Times New Roman"/>
                <w:b/>
                <w:sz w:val="28"/>
                <w:szCs w:val="28"/>
              </w:rPr>
            </w:pPr>
          </w:p>
        </w:tc>
        <w:tc>
          <w:tcPr>
            <w:tcW w:w="813" w:type="dxa"/>
            <w:vAlign w:val="center"/>
          </w:tcPr>
          <w:p>
            <w:pPr>
              <w:spacing w:line="570" w:lineRule="exact"/>
              <w:jc w:val="center"/>
              <w:rPr>
                <w:rFonts w:ascii="仿宋_GB2312" w:eastAsia="仿宋_GB2312" w:cs="Times New Roman"/>
                <w:b/>
                <w:sz w:val="28"/>
                <w:szCs w:val="28"/>
              </w:rPr>
            </w:pPr>
          </w:p>
        </w:tc>
        <w:tc>
          <w:tcPr>
            <w:tcW w:w="800" w:type="dxa"/>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0" w:type="dxa"/>
            <w:vAlign w:val="center"/>
          </w:tcPr>
          <w:p>
            <w:pPr>
              <w:spacing w:line="570" w:lineRule="exact"/>
              <w:jc w:val="center"/>
              <w:rPr>
                <w:rFonts w:ascii="仿宋_GB2312" w:eastAsia="仿宋_GB2312" w:cs="Times New Roman"/>
                <w:b/>
                <w:sz w:val="28"/>
                <w:szCs w:val="28"/>
              </w:rPr>
            </w:pP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1085" w:type="dxa"/>
            <w:vAlign w:val="center"/>
          </w:tcPr>
          <w:p>
            <w:pPr>
              <w:spacing w:line="570" w:lineRule="exact"/>
              <w:jc w:val="center"/>
              <w:rPr>
                <w:rFonts w:ascii="仿宋_GB2312" w:eastAsia="仿宋_GB2312" w:cs="Times New Roman"/>
                <w:b/>
                <w:sz w:val="28"/>
                <w:szCs w:val="28"/>
              </w:rPr>
            </w:pPr>
          </w:p>
        </w:tc>
        <w:tc>
          <w:tcPr>
            <w:tcW w:w="825" w:type="dxa"/>
            <w:vAlign w:val="center"/>
          </w:tcPr>
          <w:p>
            <w:pPr>
              <w:spacing w:line="570" w:lineRule="exact"/>
              <w:jc w:val="center"/>
              <w:rPr>
                <w:rFonts w:ascii="仿宋_GB2312" w:eastAsia="仿宋_GB2312" w:cs="Times New Roman"/>
                <w:b/>
                <w:sz w:val="28"/>
                <w:szCs w:val="28"/>
              </w:rPr>
            </w:pPr>
          </w:p>
        </w:tc>
        <w:tc>
          <w:tcPr>
            <w:tcW w:w="813" w:type="dxa"/>
            <w:vAlign w:val="center"/>
          </w:tcPr>
          <w:p>
            <w:pPr>
              <w:spacing w:line="570" w:lineRule="exact"/>
              <w:jc w:val="center"/>
              <w:rPr>
                <w:rFonts w:ascii="仿宋_GB2312" w:eastAsia="仿宋_GB2312" w:cs="Times New Roman"/>
                <w:b/>
                <w:sz w:val="28"/>
                <w:szCs w:val="28"/>
              </w:rPr>
            </w:pPr>
          </w:p>
        </w:tc>
        <w:tc>
          <w:tcPr>
            <w:tcW w:w="800" w:type="dxa"/>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0" w:type="dxa"/>
            <w:vAlign w:val="center"/>
          </w:tcPr>
          <w:p>
            <w:pPr>
              <w:spacing w:line="570" w:lineRule="exact"/>
              <w:jc w:val="center"/>
              <w:rPr>
                <w:rFonts w:ascii="仿宋_GB2312" w:eastAsia="仿宋_GB2312" w:cs="Times New Roman"/>
                <w:sz w:val="28"/>
                <w:szCs w:val="28"/>
              </w:rPr>
            </w:pPr>
          </w:p>
        </w:tc>
        <w:tc>
          <w:tcPr>
            <w:tcW w:w="1013"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1327"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56"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1085" w:type="dxa"/>
            <w:vAlign w:val="center"/>
          </w:tcPr>
          <w:p>
            <w:pPr>
              <w:spacing w:line="570" w:lineRule="exact"/>
              <w:jc w:val="center"/>
              <w:rPr>
                <w:rFonts w:ascii="仿宋_GB2312" w:eastAsia="仿宋_GB2312" w:cs="Times New Roman"/>
                <w:sz w:val="28"/>
                <w:szCs w:val="28"/>
              </w:rPr>
            </w:pPr>
          </w:p>
        </w:tc>
        <w:tc>
          <w:tcPr>
            <w:tcW w:w="825" w:type="dxa"/>
            <w:vAlign w:val="center"/>
          </w:tcPr>
          <w:p>
            <w:pPr>
              <w:spacing w:line="570" w:lineRule="exact"/>
              <w:jc w:val="center"/>
              <w:rPr>
                <w:rFonts w:ascii="仿宋_GB2312" w:eastAsia="仿宋_GB2312" w:cs="Times New Roman"/>
                <w:sz w:val="28"/>
                <w:szCs w:val="28"/>
              </w:rPr>
            </w:pPr>
          </w:p>
        </w:tc>
        <w:tc>
          <w:tcPr>
            <w:tcW w:w="813" w:type="dxa"/>
            <w:vAlign w:val="center"/>
          </w:tcPr>
          <w:p>
            <w:pPr>
              <w:spacing w:line="570" w:lineRule="exact"/>
              <w:jc w:val="center"/>
              <w:rPr>
                <w:rFonts w:ascii="仿宋_GB2312" w:eastAsia="仿宋_GB2312" w:cs="Times New Roman"/>
                <w:sz w:val="28"/>
                <w:szCs w:val="28"/>
              </w:rPr>
            </w:pPr>
          </w:p>
        </w:tc>
        <w:tc>
          <w:tcPr>
            <w:tcW w:w="800" w:type="dxa"/>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0" w:type="dxa"/>
            <w:vAlign w:val="center"/>
          </w:tcPr>
          <w:p>
            <w:pPr>
              <w:spacing w:line="570" w:lineRule="exact"/>
              <w:jc w:val="center"/>
              <w:rPr>
                <w:rFonts w:ascii="仿宋_GB2312" w:eastAsia="仿宋_GB2312" w:cs="Times New Roman"/>
                <w:sz w:val="28"/>
                <w:szCs w:val="28"/>
              </w:rPr>
            </w:pPr>
          </w:p>
        </w:tc>
        <w:tc>
          <w:tcPr>
            <w:tcW w:w="1013"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1327"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56"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1085" w:type="dxa"/>
            <w:vAlign w:val="center"/>
          </w:tcPr>
          <w:p>
            <w:pPr>
              <w:spacing w:line="570" w:lineRule="exact"/>
              <w:jc w:val="center"/>
              <w:rPr>
                <w:rFonts w:ascii="仿宋_GB2312" w:eastAsia="仿宋_GB2312" w:cs="Times New Roman"/>
                <w:sz w:val="28"/>
                <w:szCs w:val="28"/>
              </w:rPr>
            </w:pPr>
          </w:p>
        </w:tc>
        <w:tc>
          <w:tcPr>
            <w:tcW w:w="825" w:type="dxa"/>
            <w:vAlign w:val="center"/>
          </w:tcPr>
          <w:p>
            <w:pPr>
              <w:spacing w:line="570" w:lineRule="exact"/>
              <w:jc w:val="center"/>
              <w:rPr>
                <w:rFonts w:ascii="仿宋_GB2312" w:eastAsia="仿宋_GB2312" w:cs="Times New Roman"/>
                <w:sz w:val="28"/>
                <w:szCs w:val="28"/>
              </w:rPr>
            </w:pPr>
          </w:p>
        </w:tc>
        <w:tc>
          <w:tcPr>
            <w:tcW w:w="813" w:type="dxa"/>
            <w:vAlign w:val="center"/>
          </w:tcPr>
          <w:p>
            <w:pPr>
              <w:spacing w:line="570" w:lineRule="exact"/>
              <w:jc w:val="center"/>
              <w:rPr>
                <w:rFonts w:ascii="仿宋_GB2312" w:eastAsia="仿宋_GB2312" w:cs="Times New Roman"/>
                <w:sz w:val="28"/>
                <w:szCs w:val="28"/>
              </w:rPr>
            </w:pPr>
          </w:p>
        </w:tc>
        <w:tc>
          <w:tcPr>
            <w:tcW w:w="800" w:type="dxa"/>
            <w:vAlign w:val="center"/>
          </w:tcPr>
          <w:p>
            <w:pPr>
              <w:spacing w:line="570" w:lineRule="exact"/>
              <w:jc w:val="center"/>
              <w:rPr>
                <w:rFonts w:ascii="仿宋_GB2312" w:eastAsia="仿宋_GB2312" w:cs="Times New Roman"/>
                <w:sz w:val="28"/>
                <w:szCs w:val="28"/>
              </w:rPr>
            </w:pPr>
          </w:p>
        </w:tc>
      </w:tr>
    </w:tbl>
    <w:p>
      <w:pPr>
        <w:widowControl/>
        <w:spacing w:line="570" w:lineRule="exact"/>
        <w:jc w:val="left"/>
        <w:rPr>
          <w:rFonts w:hint="eastAsia" w:ascii="黑体" w:eastAsia="黑体" w:cs="宋体"/>
          <w:b/>
          <w:bCs/>
          <w:color w:val="000000"/>
          <w:kern w:val="0"/>
          <w:sz w:val="32"/>
          <w:szCs w:val="32"/>
        </w:rPr>
      </w:pPr>
    </w:p>
    <w:p>
      <w:pPr>
        <w:widowControl/>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广阳区新开路街道办事处</w:t>
      </w:r>
      <w:bookmarkStart w:id="1" w:name="_GoBack"/>
      <w:bookmarkEnd w:id="1"/>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110.99</w:t>
      </w:r>
      <w:r>
        <w:rPr>
          <w:rFonts w:hint="eastAsia" w:ascii="仿宋_GB2312" w:eastAsia="仿宋_GB2312" w:cs="宋体"/>
          <w:color w:val="000000"/>
          <w:kern w:val="0"/>
          <w:sz w:val="32"/>
          <w:szCs w:val="32"/>
        </w:rPr>
        <w:t>万元，我部门本年度无拟购置固定资产，详见下表。</w:t>
      </w:r>
    </w:p>
    <w:tbl>
      <w:tblPr>
        <w:tblStyle w:val="6"/>
        <w:tblW w:w="10400" w:type="dxa"/>
        <w:jc w:val="center"/>
        <w:tblCellSpacing w:w="0" w:type="dxa"/>
        <w:tblInd w:w="0" w:type="dxa"/>
        <w:tblLayout w:type="fixed"/>
        <w:tblCellMar>
          <w:top w:w="0" w:type="dxa"/>
          <w:left w:w="0" w:type="dxa"/>
          <w:bottom w:w="0" w:type="dxa"/>
          <w:right w:w="0" w:type="dxa"/>
        </w:tblCellMar>
      </w:tblPr>
      <w:tblGrid>
        <w:gridCol w:w="4025"/>
        <w:gridCol w:w="2585"/>
        <w:gridCol w:w="3790"/>
      </w:tblGrid>
      <w:tr>
        <w:tblPrEx>
          <w:tblLayout w:type="fixed"/>
          <w:tblCellMar>
            <w:top w:w="0" w:type="dxa"/>
            <w:left w:w="0" w:type="dxa"/>
            <w:bottom w:w="0" w:type="dxa"/>
            <w:right w:w="0" w:type="dxa"/>
          </w:tblCellMar>
        </w:tblPrEx>
        <w:trPr>
          <w:trHeight w:val="705" w:hRule="atLeast"/>
          <w:tblCellSpacing w:w="0" w:type="dxa"/>
          <w:jc w:val="center"/>
        </w:trPr>
        <w:tc>
          <w:tcPr>
            <w:tcW w:w="10400" w:type="dxa"/>
            <w:gridSpan w:val="3"/>
            <w:noWrap/>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Layout w:type="fixed"/>
          <w:tblCellMar>
            <w:top w:w="0" w:type="dxa"/>
            <w:left w:w="0" w:type="dxa"/>
            <w:bottom w:w="0" w:type="dxa"/>
            <w:right w:w="0" w:type="dxa"/>
          </w:tblCellMar>
        </w:tblPrEx>
        <w:trPr>
          <w:trHeight w:val="510" w:hRule="atLeast"/>
          <w:tblCellSpacing w:w="0" w:type="dxa"/>
          <w:jc w:val="center"/>
        </w:trPr>
        <w:tc>
          <w:tcPr>
            <w:tcW w:w="6610" w:type="dxa"/>
            <w:gridSpan w:val="2"/>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编制部门：918</w:t>
            </w:r>
            <w:r>
              <w:rPr>
                <w:rFonts w:hint="eastAsia" w:ascii="仿宋_GB2312" w:eastAsia="仿宋_GB2312" w:cs="宋体"/>
                <w:b/>
                <w:bCs/>
                <w:kern w:val="0"/>
                <w:sz w:val="28"/>
                <w:szCs w:val="28"/>
              </w:rPr>
              <w:t>廊坊市广阳区新开路街道办事处</w:t>
            </w:r>
          </w:p>
        </w:tc>
        <w:tc>
          <w:tcPr>
            <w:tcW w:w="3790" w:type="dxa"/>
            <w:noWrap/>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2017</w:t>
            </w:r>
            <w:r>
              <w:rPr>
                <w:rFonts w:hint="eastAsia" w:ascii="仿宋_GB2312" w:eastAsia="仿宋_GB2312" w:cs="宋体"/>
                <w:kern w:val="0"/>
                <w:sz w:val="28"/>
                <w:szCs w:val="28"/>
              </w:rPr>
              <w:t>年</w:t>
            </w:r>
            <w:r>
              <w:rPr>
                <w:rFonts w:ascii="仿宋_GB2312" w:eastAsia="仿宋_GB2312" w:cs="宋体"/>
                <w:kern w:val="0"/>
                <w:sz w:val="28"/>
                <w:szCs w:val="28"/>
              </w:rPr>
              <w:t>12</w:t>
            </w:r>
            <w:r>
              <w:rPr>
                <w:rFonts w:hint="eastAsia" w:ascii="仿宋_GB2312" w:eastAsia="仿宋_GB2312" w:cs="宋体"/>
                <w:kern w:val="0"/>
                <w:sz w:val="28"/>
                <w:szCs w:val="28"/>
              </w:rPr>
              <w:t>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110.99</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22.4</w:t>
            </w: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r>
      <w:tr>
        <w:tblPrEx>
          <w:tblLayout w:type="fixed"/>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88.59</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ascii="黑体" w:eastAsia="黑体" w:cs="宋体"/>
          <w:sz w:val="32"/>
          <w:szCs w:val="32"/>
        </w:rPr>
        <w:br w:type="textWrapping"/>
      </w:r>
      <w:r>
        <w:rPr>
          <w:b/>
          <w:bCs/>
          <w:sz w:val="32"/>
          <w:szCs w:val="32"/>
        </w:rPr>
        <w:t xml:space="preserve">    </w:t>
      </w:r>
      <w:r>
        <w:rPr>
          <w:rFonts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eastAsia="仿宋_GB2312"/>
          <w:sz w:val="32"/>
          <w:szCs w:val="32"/>
        </w:rPr>
      </w:pPr>
      <w:r>
        <w:rPr>
          <w:rFonts w:hint="eastAsia" w:ascii="黑体" w:eastAsia="黑体" w:cs="宋体"/>
          <w:b/>
          <w:bCs/>
          <w:color w:val="000000"/>
          <w:kern w:val="0"/>
          <w:sz w:val="32"/>
          <w:szCs w:val="32"/>
        </w:rPr>
        <w:t>九、其他需要说明的事项</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586501"/>
    <w:rsid w:val="00586501"/>
    <w:rsid w:val="007E6E45"/>
    <w:rsid w:val="00B87E30"/>
    <w:rsid w:val="1876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uiPriority w:val="0"/>
    <w:rPr>
      <w:rFonts w:cs="Times New Roman"/>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907</Words>
  <Characters>5171</Characters>
  <Lines>43</Lines>
  <Paragraphs>12</Paragraphs>
  <TotalTime>0</TotalTime>
  <ScaleCrop>false</ScaleCrop>
  <LinksUpToDate>false</LinksUpToDate>
  <CharactersWithSpaces>6066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lenovo</cp:lastModifiedBy>
  <dcterms:modified xsi:type="dcterms:W3CDTF">2018-02-15T08:18:50Z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