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r>
        <w:rPr>
          <w:rFonts w:hint="eastAsia" w:ascii="方正小标宋简体" w:eastAsia="方正小标宋简体" w:cs="宋体"/>
          <w:b/>
          <w:bCs/>
          <w:color w:val="000000"/>
          <w:kern w:val="0"/>
          <w:sz w:val="44"/>
          <w:szCs w:val="44"/>
        </w:rPr>
        <w:t>廊坊市广阳区万庄镇人民政府</w:t>
      </w:r>
      <w:r>
        <w:rPr>
          <w:rFonts w:ascii="方正小标宋简体" w:eastAsia="方正小标宋简体" w:cs="宋体"/>
          <w:b/>
          <w:bCs/>
          <w:color w:val="000000"/>
          <w:kern w:val="0"/>
          <w:sz w:val="44"/>
          <w:szCs w:val="44"/>
        </w:rPr>
        <w:t>2018</w:t>
      </w:r>
      <w:r>
        <w:rPr>
          <w:rFonts w:hint="eastAsia" w:ascii="方正小标宋简体" w:eastAsia="方正小标宋简体" w:cs="宋体"/>
          <w:b/>
          <w:bCs/>
          <w:color w:val="000000"/>
          <w:kern w:val="0"/>
          <w:sz w:val="44"/>
          <w:szCs w:val="44"/>
        </w:rPr>
        <w:t>年部门预算信息公开</w:t>
      </w:r>
    </w:p>
    <w:p>
      <w:pPr>
        <w:ind w:firstLine="640" w:firstLineChars="200"/>
        <w:rPr>
          <w:rFonts w:ascii="仿宋_GB2312" w:eastAsia="仿宋_GB2312"/>
          <w:sz w:val="32"/>
          <w:szCs w:val="32"/>
        </w:rPr>
      </w:pPr>
      <w:r>
        <w:rPr>
          <w:rFonts w:hint="eastAsia" w:ascii="仿宋_GB2312" w:eastAsia="仿宋_GB2312"/>
          <w:sz w:val="32"/>
          <w:szCs w:val="32"/>
        </w:rPr>
        <w:t>按照《预算法》、《地方预决算公开操作规程》和《河北省省级预算公开办法》规定，现将</w:t>
      </w:r>
      <w:r>
        <w:rPr>
          <w:rFonts w:hint="eastAsia" w:ascii="仿宋_GB2312" w:eastAsia="仿宋_GB2312" w:cs="宋体"/>
          <w:color w:val="000000"/>
          <w:kern w:val="0"/>
          <w:sz w:val="32"/>
          <w:szCs w:val="32"/>
        </w:rPr>
        <w:t>廊坊市广阳区万庄镇人民政府</w:t>
      </w:r>
      <w:r>
        <w:rPr>
          <w:rFonts w:ascii="仿宋_GB2312" w:eastAsia="仿宋_GB2312"/>
          <w:sz w:val="32"/>
          <w:szCs w:val="32"/>
        </w:rPr>
        <w:t>2018</w:t>
      </w:r>
      <w:r>
        <w:rPr>
          <w:rFonts w:hint="eastAsia" w:ascii="仿宋_GB2312" w:eastAsia="仿宋_GB2312"/>
          <w:sz w:val="32"/>
          <w:szCs w:val="32"/>
        </w:rPr>
        <w:t>年部门预算公开如下：</w:t>
      </w:r>
    </w:p>
    <w:p>
      <w:pPr>
        <w:widowControl/>
        <w:numPr>
          <w:ilvl w:val="0"/>
          <w:numId w:val="1"/>
        </w:numPr>
        <w:spacing w:line="360" w:lineRule="atLeast"/>
        <w:jc w:val="left"/>
        <w:rPr>
          <w:rFonts w:ascii="仿宋_GB2312" w:eastAsia="仿宋_GB2312" w:cs="宋体"/>
          <w:b/>
          <w:bCs/>
          <w:color w:val="000000"/>
          <w:kern w:val="0"/>
          <w:sz w:val="32"/>
          <w:szCs w:val="32"/>
        </w:rPr>
      </w:pPr>
      <w:r>
        <w:rPr>
          <w:rFonts w:hint="eastAsia" w:ascii="黑体" w:eastAsia="黑体" w:cs="宋体"/>
          <w:b/>
          <w:bCs/>
          <w:color w:val="000000"/>
          <w:kern w:val="0"/>
          <w:sz w:val="32"/>
          <w:szCs w:val="32"/>
        </w:rPr>
        <w:t>部门职责及机构设置情况</w:t>
      </w:r>
      <w:r>
        <w:rPr>
          <w:rFonts w:ascii="黑体" w:eastAsia="黑体" w:cs="宋体"/>
          <w:b/>
          <w:bCs/>
          <w:color w:val="000000"/>
          <w:kern w:val="0"/>
          <w:sz w:val="32"/>
          <w:szCs w:val="32"/>
        </w:rPr>
        <w:t xml:space="preserve">   </w:t>
      </w:r>
      <w:r>
        <w:rPr>
          <w:rFonts w:ascii="黑体" w:eastAsia="黑体" w:cs="宋体"/>
          <w:color w:val="000000"/>
          <w:kern w:val="0"/>
          <w:sz w:val="32"/>
          <w:szCs w:val="32"/>
        </w:rPr>
        <w:br w:type="textWrapping"/>
      </w:r>
      <w:r>
        <w:rPr>
          <w:rFonts w:hint="eastAsia" w:ascii="仿宋_GB2312" w:eastAsia="仿宋_GB2312" w:cs="宋体"/>
          <w:b/>
          <w:bCs/>
          <w:color w:val="000000"/>
          <w:kern w:val="0"/>
          <w:sz w:val="32"/>
          <w:szCs w:val="32"/>
        </w:rPr>
        <w:t>部门职责</w:t>
      </w:r>
      <w:r>
        <w:rPr>
          <w:rFonts w:hint="eastAsia" w:ascii="楷体_GB2312" w:eastAsia="楷体_GB2312" w:cs="宋体"/>
          <w:b/>
          <w:bCs/>
          <w:color w:val="000000"/>
          <w:kern w:val="0"/>
          <w:sz w:val="32"/>
          <w:szCs w:val="32"/>
        </w:rPr>
        <w:t>：</w:t>
      </w:r>
    </w:p>
    <w:p>
      <w:pPr>
        <w:widowControl/>
        <w:spacing w:line="360" w:lineRule="atLeast"/>
        <w:ind w:firstLine="472" w:firstLineChars="147"/>
        <w:jc w:val="left"/>
        <w:rPr>
          <w:rFonts w:ascii="仿宋_GB2312" w:eastAsia="仿宋_GB2312" w:cs="宋体"/>
          <w:b/>
          <w:bCs/>
          <w:color w:val="000000"/>
          <w:kern w:val="0"/>
          <w:sz w:val="32"/>
          <w:szCs w:val="32"/>
        </w:rPr>
      </w:pPr>
      <w:r>
        <w:rPr>
          <w:rFonts w:hint="eastAsia" w:ascii="仿宋_GB2312" w:eastAsia="仿宋_GB2312" w:cs="宋体"/>
          <w:b/>
          <w:color w:val="000000"/>
          <w:kern w:val="0"/>
          <w:sz w:val="32"/>
          <w:szCs w:val="32"/>
        </w:rPr>
        <w:t>（一）转变乡镇职能，明确乡镇工作重点。</w:t>
      </w:r>
      <w:r>
        <w:rPr>
          <w:rFonts w:hint="eastAsia" w:ascii="仿宋_GB2312" w:eastAsia="仿宋_GB2312" w:cs="宋体"/>
          <w:color w:val="000000"/>
          <w:kern w:val="0"/>
          <w:sz w:val="32"/>
          <w:szCs w:val="32"/>
        </w:rPr>
        <w:t>改革中要着力推</w:t>
      </w:r>
      <w:r>
        <w:rPr>
          <w:rFonts w:hint="eastAsia" w:ascii="仿宋_GB2312" w:hAnsi="宋体" w:eastAsia="仿宋_GB2312" w:cs="宋体"/>
          <w:color w:val="000000"/>
          <w:kern w:val="0"/>
          <w:sz w:val="32"/>
          <w:szCs w:val="32"/>
        </w:rPr>
        <w:t>进职能转变，乡镇党委、政府在履行好法律赋予职责的基础上，重点强化一下职责。</w:t>
      </w:r>
      <w:r>
        <w:rPr>
          <w:rFonts w:hint="eastAsia" w:ascii="仿宋_GB2312" w:hAnsi="宋体" w:eastAsia="仿宋_GB2312" w:cs="宋体"/>
          <w:b/>
          <w:color w:val="000000"/>
          <w:kern w:val="0"/>
          <w:sz w:val="32"/>
          <w:szCs w:val="32"/>
        </w:rPr>
        <w:t>第一，促进经济发展、增加农民收入。</w:t>
      </w:r>
      <w:r>
        <w:rPr>
          <w:rFonts w:hint="eastAsia" w:ascii="仿宋_GB2312" w:hAnsi="宋体" w:eastAsia="仿宋_GB2312" w:cs="宋体"/>
          <w:color w:val="000000"/>
          <w:kern w:val="0"/>
          <w:sz w:val="32"/>
          <w:szCs w:val="32"/>
        </w:rPr>
        <w:t>认真贯彻落实党和国家在农村的方针政策和强农惠农措施，坚持科学发展，积极转变经济发展方式，推动产业结构调整。结合实际制定本地产业发展规划，培育特色优势产业和特色经济，扶持壮大龙头企业，促进现代农业发展。稳定和完善农村基本经营制度，支持农民专业合作经济组织发展，健全农村市场和农业服务体系。大力推广先进科学技术，强化劳动力技能培训，做好农村剩余劳动力转移输出，促进农民增产增收。</w:t>
      </w:r>
      <w:r>
        <w:rPr>
          <w:rFonts w:hint="eastAsia" w:ascii="仿宋_GB2312" w:hAnsi="宋体" w:eastAsia="仿宋_GB2312" w:cs="宋体"/>
          <w:b/>
          <w:color w:val="000000"/>
          <w:kern w:val="0"/>
          <w:sz w:val="32"/>
          <w:szCs w:val="32"/>
        </w:rPr>
        <w:t>第二，强化公共服务、着力改善民生。</w:t>
      </w:r>
      <w:r>
        <w:rPr>
          <w:rFonts w:hint="eastAsia" w:ascii="仿宋_GB2312" w:hAnsi="宋体" w:eastAsia="仿宋_GB2312" w:cs="宋体"/>
          <w:color w:val="000000"/>
          <w:kern w:val="0"/>
          <w:sz w:val="32"/>
          <w:szCs w:val="32"/>
        </w:rPr>
        <w:t>做好农村社会保障工作，加快新型农村公共服务体系建设，着力解决群众最关心、最直接、最现实的利益问题。推进新农村建设，不断完善公益设施和基础设施。加强教育、科技、卫生和精神文明建设，繁荣发展农村文化，提高农村人口素质。落实计划生育政策，稳定农村低生育水平。加强生态建设和环境保护，努力改善农村人居环境，不断提高农民生活质量</w:t>
      </w:r>
      <w:r>
        <w:rPr>
          <w:rFonts w:hint="eastAsia" w:ascii="仿宋_GB2312" w:hAnsi="宋体" w:eastAsia="仿宋_GB2312" w:cs="宋体"/>
          <w:b/>
          <w:color w:val="000000"/>
          <w:kern w:val="0"/>
          <w:sz w:val="32"/>
          <w:szCs w:val="32"/>
        </w:rPr>
        <w:t>。第三，加强社会管理、维护农村稳定。</w:t>
      </w:r>
      <w:r>
        <w:rPr>
          <w:rFonts w:hint="eastAsia" w:ascii="仿宋_GB2312" w:hAnsi="宋体" w:eastAsia="仿宋_GB2312" w:cs="宋体"/>
          <w:color w:val="000000"/>
          <w:kern w:val="0"/>
          <w:sz w:val="32"/>
          <w:szCs w:val="32"/>
        </w:rPr>
        <w:t>普及农村法制教育，强化社会治安综合治理，加强信访和民师纠纷调解，维护农村公共秩序和社会稳定。加强安全生产、市场监管、疾病防控和农畜产品治理监控等社会管理，健全农民权益保障机制，维护农村社会公平正义。建立健全应急保障体系，加强突发事件预警和管理，做好防灾减灾工作。第四，推进基层民主、祖静农村和谐。加强农村党的基层组织建设，不断提高党组织领导农村经济社会发展的能力和水平。重视群众组织建设，依法推进村民组织自治，引导农民有序参与村级事务管理，增强农村社会自治功能。</w:t>
      </w:r>
    </w:p>
    <w:p>
      <w:pPr>
        <w:widowControl/>
        <w:spacing w:line="360" w:lineRule="atLeast"/>
        <w:ind w:firstLine="630" w:firstLineChars="196"/>
        <w:jc w:val="left"/>
        <w:rPr>
          <w:rFonts w:ascii="仿宋_GB2312" w:eastAsia="仿宋_GB2312" w:cs="宋体"/>
          <w:color w:val="000000"/>
          <w:kern w:val="0"/>
          <w:sz w:val="32"/>
          <w:szCs w:val="32"/>
        </w:rPr>
      </w:pPr>
      <w:r>
        <w:rPr>
          <w:rFonts w:hint="eastAsia" w:ascii="仿宋_GB2312" w:eastAsia="仿宋_GB2312" w:cs="宋体"/>
          <w:b/>
          <w:color w:val="000000"/>
          <w:kern w:val="0"/>
          <w:sz w:val="32"/>
          <w:szCs w:val="32"/>
        </w:rPr>
        <w:t>（二）理顺职责，合理界定责任。</w:t>
      </w:r>
      <w:r>
        <w:rPr>
          <w:rFonts w:hint="eastAsia" w:ascii="仿宋_GB2312" w:eastAsia="仿宋_GB2312" w:cs="宋体"/>
          <w:color w:val="000000"/>
          <w:kern w:val="0"/>
          <w:sz w:val="32"/>
          <w:szCs w:val="32"/>
        </w:rPr>
        <w:t>进一步明确区和乡镇的事权、财权及相应承担的责任，对等配置区乡权责，赋予乡镇必要的行政管理权。在事权上，以乡镇政府的职能职责为准，该乡镇管的乡镇管，该上级管的上级管。在财权上，为乡镇履职配置相应财力，加大对乡镇财政支付力度，使乡镇有财力兴办公益事业，开展公共服务。乡镇所属机构，在乡镇党委、政府的直接领导下开展工作，人、财、物由乡镇统一管理，区直主管部门加强业务指导。上级派驻乡镇的机构，主动接受乡镇党委、政府的监督管理和考核评议，其部门负责人调动、任免和考核要征求乡镇党委的意见。加强农村民间组织、经济中介组织建设，减少乡镇政府对市场的行政干预。充分发挥村民自治组织的作用，切实指导好村民自治组织建设，实现政府行政管理与基层群众自治有效衔接和良性互动。</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（三）</w:t>
      </w:r>
      <w:r>
        <w:rPr>
          <w:rFonts w:hint="eastAsia" w:ascii="仿宋_GB2312" w:eastAsia="仿宋_GB2312" w:cs="宋体"/>
          <w:b/>
          <w:color w:val="000000"/>
          <w:kern w:val="0"/>
          <w:sz w:val="32"/>
          <w:szCs w:val="32"/>
        </w:rPr>
        <w:t>创新体制机制，转变乡镇工作方式。</w:t>
      </w:r>
      <w:r>
        <w:rPr>
          <w:rFonts w:hint="eastAsia" w:ascii="仿宋_GB2312" w:eastAsia="仿宋_GB2312" w:cs="宋体"/>
          <w:color w:val="000000"/>
          <w:kern w:val="0"/>
          <w:sz w:val="32"/>
          <w:szCs w:val="32"/>
        </w:rPr>
        <w:t>适应新形势、新任务需要，不断解放思想，改进方法，切实履行好各项职能。</w:t>
      </w:r>
      <w:r>
        <w:rPr>
          <w:rFonts w:hint="eastAsia" w:ascii="仿宋_GB2312" w:eastAsia="仿宋_GB2312" w:cs="宋体"/>
          <w:b/>
          <w:color w:val="000000"/>
          <w:kern w:val="0"/>
          <w:sz w:val="32"/>
          <w:szCs w:val="32"/>
        </w:rPr>
        <w:t>一是切实转变乡镇工作的方式方法。</w:t>
      </w:r>
      <w:r>
        <w:rPr>
          <w:rFonts w:hint="eastAsia" w:ascii="仿宋_GB2312" w:eastAsia="仿宋_GB2312" w:cs="宋体"/>
          <w:color w:val="000000"/>
          <w:kern w:val="0"/>
          <w:sz w:val="32"/>
          <w:szCs w:val="32"/>
        </w:rPr>
        <w:t>努力拓宽服务渠道，改进服务方式，积极探索方便群众办事的措施方法，大力推行“一站式”服务、办事代理制、远程信息技术指导等多种形式的便民服务措施，最大限度地满足农民群众的需求。</w:t>
      </w:r>
      <w:r>
        <w:rPr>
          <w:rFonts w:hint="eastAsia" w:ascii="仿宋_GB2312" w:eastAsia="仿宋_GB2312" w:cs="宋体"/>
          <w:b/>
          <w:color w:val="000000"/>
          <w:kern w:val="0"/>
          <w:sz w:val="32"/>
          <w:szCs w:val="32"/>
        </w:rPr>
        <w:t>二是转变抓经济工作的方式。</w:t>
      </w:r>
      <w:r>
        <w:rPr>
          <w:rFonts w:hint="eastAsia" w:ascii="仿宋_GB2312" w:eastAsia="仿宋_GB2312" w:cs="宋体"/>
          <w:color w:val="000000"/>
          <w:kern w:val="0"/>
          <w:sz w:val="32"/>
          <w:szCs w:val="32"/>
        </w:rPr>
        <w:t>把经济工作的着力电放在政策引导、规划指导、扶持典型、带动示范和营造发展环境上来，尊重农民的生产经营自主权，不干预具体生产经营活动，积极搭建服务平台，提高农村经济发展的质量和水平。</w:t>
      </w:r>
      <w:r>
        <w:rPr>
          <w:rFonts w:hint="eastAsia" w:ascii="仿宋_GB2312" w:eastAsia="仿宋_GB2312" w:cs="宋体"/>
          <w:b/>
          <w:color w:val="000000"/>
          <w:kern w:val="0"/>
          <w:sz w:val="32"/>
          <w:szCs w:val="32"/>
        </w:rPr>
        <w:t>三是强化社会管理和公共服务职能。</w:t>
      </w:r>
      <w:r>
        <w:rPr>
          <w:rFonts w:hint="eastAsia" w:ascii="仿宋_GB2312" w:eastAsia="仿宋_GB2312" w:cs="宋体"/>
          <w:color w:val="000000"/>
          <w:kern w:val="0"/>
          <w:sz w:val="32"/>
          <w:szCs w:val="32"/>
        </w:rPr>
        <w:t>将乡镇工作中心转移到加强社会管理和更好地提供公共服务上来，不断增强服务意识，始终围绕农民群众的愿望和要求开展工作，切实把维护好农村经济社会发展秩序，保护好农民合法权益，解决好农村民生问题作为乡镇重要工作来抓。</w:t>
      </w:r>
      <w:r>
        <w:rPr>
          <w:rFonts w:hint="eastAsia" w:ascii="仿宋_GB2312" w:eastAsia="仿宋_GB2312" w:cs="宋体"/>
          <w:b/>
          <w:color w:val="000000"/>
          <w:kern w:val="0"/>
          <w:sz w:val="32"/>
          <w:szCs w:val="32"/>
        </w:rPr>
        <w:t>四是合理调整职能，推动行政管理与基层群众自治有效衔接。</w:t>
      </w:r>
      <w:r>
        <w:rPr>
          <w:rFonts w:hint="eastAsia" w:ascii="仿宋_GB2312" w:eastAsia="仿宋_GB2312" w:cs="宋体"/>
          <w:color w:val="000000"/>
          <w:kern w:val="0"/>
          <w:sz w:val="32"/>
          <w:szCs w:val="32"/>
        </w:rPr>
        <w:t>将承担的行业性服务职能交给社会中介组织，切实加强公益性职能，用主要精力发展农村经济，抓好农村社会管理。将应该属于村街组织的权利和事务，交给村级组织，充分发挥农村基础自治组织的作用。</w:t>
      </w:r>
      <w:r>
        <w:rPr>
          <w:rFonts w:ascii="仿宋_GB2312" w:eastAsia="仿宋_GB2312" w:cs="宋体"/>
          <w:color w:val="000000"/>
          <w:kern w:val="0"/>
          <w:sz w:val="32"/>
          <w:szCs w:val="32"/>
        </w:rPr>
        <w:br w:type="textWrapping"/>
      </w:r>
      <w:r>
        <w:rPr>
          <w:rFonts w:hint="eastAsia" w:ascii="仿宋_GB2312" w:eastAsia="仿宋_GB2312" w:cs="宋体"/>
          <w:b/>
          <w:bCs/>
          <w:color w:val="000000"/>
          <w:kern w:val="0"/>
          <w:sz w:val="32"/>
          <w:szCs w:val="32"/>
        </w:rPr>
        <w:t>机构设置：</w:t>
      </w:r>
    </w:p>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6"/>
        <w:tblW w:w="12333" w:type="dxa"/>
        <w:tblCellSpacing w:w="0" w:type="dxa"/>
        <w:tblInd w:w="44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05"/>
        <w:gridCol w:w="2073"/>
        <w:gridCol w:w="1786"/>
        <w:gridCol w:w="42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283" w:hRule="atLeast"/>
          <w:tblHeader/>
          <w:tblCellSpacing w:w="0" w:type="dxa"/>
        </w:trPr>
        <w:tc>
          <w:tcPr>
            <w:tcW w:w="4205" w:type="dxa"/>
            <w:tcBorders>
              <w:top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207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78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4269" w:type="dxa"/>
            <w:tcBorders>
              <w:top w:val="outset" w:color="auto" w:sz="6" w:space="0"/>
              <w:left w:val="outset" w:color="auto" w:sz="6" w:space="0"/>
              <w:bottom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16" w:hRule="atLeast"/>
          <w:tblCellSpacing w:w="0" w:type="dxa"/>
        </w:trPr>
        <w:tc>
          <w:tcPr>
            <w:tcW w:w="4205" w:type="dxa"/>
            <w:tcBorders>
              <w:top w:val="outset" w:color="auto" w:sz="6" w:space="0"/>
              <w:bottom w:val="outset" w:color="auto" w:sz="6" w:space="0"/>
              <w:right w:val="outset" w:color="auto" w:sz="6" w:space="0"/>
            </w:tcBorders>
            <w:vAlign w:val="center"/>
          </w:tcPr>
          <w:p>
            <w:pPr>
              <w:spacing w:line="300" w:lineRule="exact"/>
              <w:jc w:val="left"/>
              <w:rPr>
                <w:rFonts w:hint="eastAsia" w:ascii="仿宋_GB2312" w:eastAsia="仿宋_GB2312"/>
                <w:sz w:val="32"/>
                <w:szCs w:val="32"/>
                <w:lang w:eastAsia="zh-CN"/>
              </w:rPr>
            </w:pPr>
            <w:r>
              <w:rPr>
                <w:rFonts w:hint="eastAsia" w:ascii="仿宋_GB2312" w:eastAsia="仿宋_GB2312"/>
                <w:sz w:val="32"/>
                <w:szCs w:val="32"/>
              </w:rPr>
              <w:t>廊坊市广阳区万庄镇</w:t>
            </w:r>
            <w:r>
              <w:rPr>
                <w:rFonts w:hint="eastAsia" w:ascii="仿宋_GB2312" w:eastAsia="仿宋_GB2312"/>
                <w:sz w:val="32"/>
                <w:szCs w:val="32"/>
                <w:lang w:eastAsia="zh-CN"/>
              </w:rPr>
              <w:t>人民政府</w:t>
            </w:r>
          </w:p>
        </w:tc>
        <w:tc>
          <w:tcPr>
            <w:tcW w:w="2073"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仿宋_GB2312" w:eastAsia="仿宋_GB2312"/>
                <w:sz w:val="32"/>
                <w:szCs w:val="32"/>
              </w:rPr>
            </w:pPr>
            <w:r>
              <w:rPr>
                <w:rFonts w:hint="eastAsia" w:ascii="仿宋_GB2312" w:eastAsia="仿宋_GB2312"/>
                <w:sz w:val="32"/>
                <w:szCs w:val="32"/>
              </w:rPr>
              <w:t>行政</w:t>
            </w:r>
          </w:p>
        </w:tc>
        <w:tc>
          <w:tcPr>
            <w:tcW w:w="1786"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hint="eastAsia" w:ascii="仿宋_GB2312" w:eastAsia="仿宋_GB2312"/>
                <w:sz w:val="32"/>
                <w:szCs w:val="32"/>
                <w:lang w:eastAsia="zh-CN"/>
              </w:rPr>
            </w:pPr>
            <w:r>
              <w:rPr>
                <w:rFonts w:hint="eastAsia" w:ascii="仿宋_GB2312" w:eastAsia="仿宋_GB2312"/>
                <w:sz w:val="32"/>
                <w:szCs w:val="32"/>
                <w:lang w:eastAsia="zh-CN"/>
              </w:rPr>
              <w:t>正科级</w:t>
            </w:r>
          </w:p>
        </w:tc>
        <w:tc>
          <w:tcPr>
            <w:tcW w:w="4269" w:type="dxa"/>
            <w:tcBorders>
              <w:top w:val="outset" w:color="auto" w:sz="6" w:space="0"/>
              <w:left w:val="outset" w:color="auto" w:sz="6" w:space="0"/>
              <w:bottom w:val="outset" w:color="auto" w:sz="6" w:space="0"/>
            </w:tcBorders>
            <w:vAlign w:val="center"/>
          </w:tcPr>
          <w:p>
            <w:pPr>
              <w:spacing w:line="300" w:lineRule="exact"/>
              <w:jc w:val="center"/>
              <w:rPr>
                <w:rFonts w:ascii="仿宋_GB2312" w:eastAsia="仿宋_GB2312"/>
                <w:sz w:val="32"/>
                <w:szCs w:val="32"/>
              </w:rPr>
            </w:pPr>
            <w:r>
              <w:rPr>
                <w:rFonts w:hint="eastAsia" w:ascii="仿宋_GB2312" w:eastAsia="仿宋_GB2312"/>
                <w:sz w:val="32"/>
                <w:szCs w:val="32"/>
              </w:rPr>
              <w:t>财政拨款</w:t>
            </w:r>
          </w:p>
        </w:tc>
      </w:tr>
    </w:tbl>
    <w:p>
      <w:pPr>
        <w:widowControl/>
        <w:spacing w:line="360" w:lineRule="atLeast"/>
        <w:jc w:val="left"/>
        <w:rPr>
          <w:rFonts w:ascii="仿宋_GB2312" w:eastAsia="仿宋_GB2312" w:cs="宋体"/>
          <w:color w:val="000000"/>
          <w:kern w:val="0"/>
          <w:sz w:val="32"/>
          <w:szCs w:val="32"/>
        </w:rPr>
      </w:pPr>
      <w:r>
        <w:rPr>
          <w:rFonts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ascii="黑体" w:eastAsia="黑体" w:cs="宋体"/>
          <w:color w:val="000000"/>
          <w:kern w:val="0"/>
          <w:sz w:val="32"/>
          <w:szCs w:val="32"/>
        </w:rPr>
        <w:br w:type="textWrapping"/>
      </w:r>
      <w:r>
        <w:rPr>
          <w:rFonts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ascii="仿宋_GB2312" w:eastAsia="仿宋_GB2312" w:cs="宋体"/>
          <w:color w:val="000000"/>
          <w:kern w:val="0"/>
          <w:sz w:val="32"/>
          <w:szCs w:val="32"/>
        </w:rPr>
        <w:t xml:space="preserve"> </w:t>
      </w:r>
      <w:r>
        <w:rPr>
          <w:rFonts w:hint="eastAsia" w:ascii="仿宋_GB2312" w:eastAsia="仿宋_GB2312" w:cs="宋体"/>
          <w:color w:val="000000"/>
          <w:kern w:val="0"/>
          <w:sz w:val="32"/>
          <w:szCs w:val="32"/>
        </w:rPr>
        <w:t>廊坊市广阳区万庄镇人民政府</w:t>
      </w:r>
      <w:r>
        <w:rPr>
          <w:rFonts w:hint="eastAsia" w:ascii="仿宋_GB2312" w:hAnsi="Times New Roman" w:eastAsia="仿宋_GB2312" w:cs="Times New Roman"/>
          <w:sz w:val="32"/>
          <w:szCs w:val="32"/>
        </w:rPr>
        <w:t>机关及所属事业单位的收支包含在部门预算中。</w:t>
      </w:r>
    </w:p>
    <w:p>
      <w:pPr>
        <w:widowControl/>
        <w:spacing w:line="360" w:lineRule="atLeas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1</w:t>
      </w:r>
      <w:r>
        <w:rPr>
          <w:rFonts w:hint="eastAsia" w:ascii="楷体_GB2312" w:eastAsia="楷体_GB2312" w:cs="宋体"/>
          <w:b/>
          <w:bCs/>
          <w:color w:val="000000"/>
          <w:kern w:val="0"/>
          <w:sz w:val="32"/>
          <w:szCs w:val="32"/>
        </w:rPr>
        <w:t>、收入说明</w:t>
      </w:r>
    </w:p>
    <w:p>
      <w:pPr>
        <w:widowControl/>
        <w:spacing w:line="360" w:lineRule="atLeast"/>
        <w:ind w:firstLine="640" w:firstLineChars="200"/>
        <w:jc w:val="left"/>
        <w:rPr>
          <w:rFonts w:ascii="仿宋_GB2312" w:eastAsia="仿宋_GB2312" w:cs="宋体"/>
          <w:bCs/>
          <w:color w:val="000000"/>
          <w:kern w:val="0"/>
          <w:sz w:val="32"/>
          <w:szCs w:val="32"/>
        </w:rPr>
      </w:pP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年预算收入</w:t>
      </w:r>
      <w:r>
        <w:rPr>
          <w:rFonts w:ascii="仿宋_GB2312" w:eastAsia="仿宋_GB2312" w:cs="宋体"/>
          <w:color w:val="000000"/>
          <w:kern w:val="0"/>
          <w:sz w:val="32"/>
          <w:szCs w:val="32"/>
        </w:rPr>
        <w:t>5819.09</w:t>
      </w:r>
      <w:r>
        <w:rPr>
          <w:rFonts w:hint="eastAsia" w:ascii="仿宋_GB2312" w:eastAsia="仿宋_GB2312" w:cs="宋体"/>
          <w:color w:val="000000"/>
          <w:kern w:val="0"/>
          <w:sz w:val="32"/>
          <w:szCs w:val="32"/>
        </w:rPr>
        <w:t>万元，其中：一般公共预算收入</w:t>
      </w:r>
      <w:r>
        <w:rPr>
          <w:rFonts w:ascii="仿宋_GB2312" w:eastAsia="仿宋_GB2312" w:cs="宋体"/>
          <w:color w:val="000000"/>
          <w:kern w:val="0"/>
          <w:sz w:val="32"/>
          <w:szCs w:val="32"/>
        </w:rPr>
        <w:t>5819.09</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政府性基金收入</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万元，财政专户核拨收入</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万元，其他来源收入</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w:t>
      </w:r>
    </w:p>
    <w:p>
      <w:pPr>
        <w:widowControl/>
        <w:spacing w:line="360" w:lineRule="atLeas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2</w:t>
      </w:r>
      <w:r>
        <w:rPr>
          <w:rFonts w:hint="eastAsia" w:ascii="楷体_GB2312" w:eastAsia="楷体_GB2312" w:cs="宋体"/>
          <w:b/>
          <w:bCs/>
          <w:color w:val="000000"/>
          <w:kern w:val="0"/>
          <w:sz w:val="32"/>
          <w:szCs w:val="32"/>
        </w:rPr>
        <w:t>、支出说明</w:t>
      </w:r>
    </w:p>
    <w:p>
      <w:pPr>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收支预算总表支出栏、基本支出表、项目支出表按经济分类和支出功能分类科目编制，反映河北省廊坊市广阳区万庄镇年度部门预算中支出预算的总体情况。</w:t>
      </w: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年支出预算</w:t>
      </w:r>
      <w:r>
        <w:rPr>
          <w:rFonts w:ascii="仿宋_GB2312" w:eastAsia="仿宋_GB2312" w:cs="宋体"/>
          <w:color w:val="000000"/>
          <w:kern w:val="0"/>
          <w:sz w:val="32"/>
          <w:szCs w:val="32"/>
        </w:rPr>
        <w:t>5819.09</w:t>
      </w:r>
      <w:r>
        <w:rPr>
          <w:rFonts w:hint="eastAsia" w:ascii="仿宋_GB2312" w:eastAsia="仿宋_GB2312" w:cs="宋体"/>
          <w:color w:val="000000"/>
          <w:kern w:val="0"/>
          <w:sz w:val="32"/>
          <w:szCs w:val="32"/>
        </w:rPr>
        <w:t>万元，其中基本支出</w:t>
      </w:r>
      <w:r>
        <w:rPr>
          <w:rFonts w:ascii="仿宋_GB2312" w:eastAsia="仿宋_GB2312" w:cs="宋体"/>
          <w:color w:val="000000"/>
          <w:kern w:val="0"/>
          <w:sz w:val="32"/>
          <w:szCs w:val="32"/>
        </w:rPr>
        <w:t>5432.82</w:t>
      </w:r>
      <w:r>
        <w:rPr>
          <w:rFonts w:hint="eastAsia" w:ascii="仿宋_GB2312" w:eastAsia="仿宋_GB2312" w:cs="宋体"/>
          <w:color w:val="000000"/>
          <w:kern w:val="0"/>
          <w:sz w:val="32"/>
          <w:szCs w:val="32"/>
        </w:rPr>
        <w:t>万元，包括人员经费</w:t>
      </w:r>
      <w:r>
        <w:rPr>
          <w:rFonts w:ascii="仿宋_GB2312" w:eastAsia="仿宋_GB2312" w:cs="宋体"/>
          <w:color w:val="000000"/>
          <w:kern w:val="0"/>
          <w:sz w:val="32"/>
          <w:szCs w:val="32"/>
        </w:rPr>
        <w:t>5165.09</w:t>
      </w:r>
      <w:r>
        <w:rPr>
          <w:rFonts w:hint="eastAsia" w:ascii="仿宋_GB2312" w:eastAsia="仿宋_GB2312" w:cs="宋体"/>
          <w:color w:val="000000"/>
          <w:kern w:val="0"/>
          <w:sz w:val="32"/>
          <w:szCs w:val="32"/>
        </w:rPr>
        <w:t>万元和日常公用经费</w:t>
      </w:r>
      <w:r>
        <w:rPr>
          <w:rFonts w:ascii="仿宋_GB2312" w:eastAsia="仿宋_GB2312" w:cs="宋体"/>
          <w:color w:val="000000"/>
          <w:kern w:val="0"/>
          <w:sz w:val="32"/>
          <w:szCs w:val="32"/>
        </w:rPr>
        <w:t>267.73</w:t>
      </w:r>
      <w:r>
        <w:rPr>
          <w:rFonts w:hint="eastAsia" w:ascii="仿宋_GB2312" w:eastAsia="仿宋_GB2312" w:cs="宋体"/>
          <w:color w:val="000000"/>
          <w:kern w:val="0"/>
          <w:sz w:val="32"/>
          <w:szCs w:val="32"/>
        </w:rPr>
        <w:t>万元。项目支出</w:t>
      </w:r>
      <w:r>
        <w:rPr>
          <w:rFonts w:ascii="仿宋_GB2312" w:eastAsia="仿宋_GB2312" w:cs="宋体"/>
          <w:color w:val="000000"/>
          <w:kern w:val="0"/>
          <w:sz w:val="32"/>
          <w:szCs w:val="32"/>
        </w:rPr>
        <w:t>386.27</w:t>
      </w:r>
      <w:r>
        <w:rPr>
          <w:rFonts w:hint="eastAsia" w:ascii="仿宋_GB2312" w:eastAsia="仿宋_GB2312" w:cs="宋体"/>
          <w:color w:val="000000"/>
          <w:kern w:val="0"/>
          <w:sz w:val="32"/>
          <w:szCs w:val="32"/>
        </w:rPr>
        <w:t>万元，包括本级支出</w:t>
      </w:r>
      <w:r>
        <w:rPr>
          <w:rFonts w:ascii="仿宋_GB2312" w:eastAsia="仿宋_GB2312" w:cs="宋体"/>
          <w:color w:val="000000"/>
          <w:kern w:val="0"/>
          <w:sz w:val="32"/>
          <w:szCs w:val="32"/>
        </w:rPr>
        <w:t>386.27</w:t>
      </w:r>
      <w:r>
        <w:rPr>
          <w:rFonts w:hint="eastAsia" w:ascii="仿宋_GB2312" w:eastAsia="仿宋_GB2312" w:cs="宋体"/>
          <w:color w:val="000000"/>
          <w:kern w:val="0"/>
          <w:sz w:val="32"/>
          <w:szCs w:val="32"/>
        </w:rPr>
        <w:t>万元，主要为</w:t>
      </w:r>
      <w:r>
        <w:rPr>
          <w:rFonts w:hint="eastAsia" w:ascii="仿宋_GB2312" w:eastAsia="仿宋_GB2312"/>
          <w:sz w:val="32"/>
          <w:szCs w:val="32"/>
        </w:rPr>
        <w:t>社区聘用人员经费</w:t>
      </w:r>
      <w:r>
        <w:rPr>
          <w:rFonts w:ascii="仿宋_GB2312" w:eastAsia="仿宋_GB2312"/>
          <w:sz w:val="32"/>
          <w:szCs w:val="32"/>
        </w:rPr>
        <w:t>41.19</w:t>
      </w:r>
      <w:r>
        <w:rPr>
          <w:rFonts w:hint="eastAsia" w:ascii="仿宋_GB2312" w:eastAsia="仿宋_GB2312"/>
          <w:sz w:val="32"/>
          <w:szCs w:val="32"/>
        </w:rPr>
        <w:t>万元及乡镇卫生清运经费</w:t>
      </w:r>
      <w:r>
        <w:rPr>
          <w:rFonts w:ascii="仿宋_GB2312" w:eastAsia="仿宋_GB2312"/>
          <w:sz w:val="32"/>
          <w:szCs w:val="32"/>
        </w:rPr>
        <w:t>200</w:t>
      </w:r>
      <w:r>
        <w:rPr>
          <w:rFonts w:hint="eastAsia" w:ascii="仿宋_GB2312" w:eastAsia="仿宋_GB2312"/>
          <w:sz w:val="32"/>
          <w:szCs w:val="32"/>
        </w:rPr>
        <w:t>万元、民办教师经费</w:t>
      </w:r>
      <w:r>
        <w:rPr>
          <w:rFonts w:ascii="仿宋_GB2312" w:eastAsia="仿宋_GB2312"/>
          <w:sz w:val="32"/>
          <w:szCs w:val="32"/>
        </w:rPr>
        <w:t>64.08</w:t>
      </w:r>
      <w:r>
        <w:rPr>
          <w:rFonts w:hint="eastAsia" w:ascii="仿宋_GB2312" w:eastAsia="仿宋_GB2312"/>
          <w:sz w:val="32"/>
          <w:szCs w:val="32"/>
        </w:rPr>
        <w:t>万元</w:t>
      </w:r>
      <w:r>
        <w:rPr>
          <w:rFonts w:hint="eastAsia" w:ascii="仿宋_GB2312" w:eastAsia="仿宋_GB2312" w:cs="宋体"/>
          <w:color w:val="000000"/>
          <w:kern w:val="0"/>
          <w:sz w:val="32"/>
          <w:szCs w:val="32"/>
        </w:rPr>
        <w:t>。</w:t>
      </w:r>
    </w:p>
    <w:p>
      <w:pPr>
        <w:widowControl/>
        <w:spacing w:line="360" w:lineRule="atLeast"/>
        <w:ind w:firstLine="643" w:firstLineChars="200"/>
        <w:jc w:val="left"/>
        <w:rPr>
          <w:rFonts w:ascii="楷体_GB2312" w:eastAsia="楷体_GB2312" w:cs="宋体"/>
          <w:b/>
          <w:bCs/>
          <w:color w:val="000000"/>
          <w:kern w:val="0"/>
          <w:sz w:val="32"/>
          <w:szCs w:val="32"/>
        </w:rPr>
      </w:pPr>
      <w:r>
        <w:rPr>
          <w:rFonts w:ascii="楷体_GB2312" w:eastAsia="楷体_GB2312" w:cs="宋体"/>
          <w:b/>
          <w:bCs/>
          <w:color w:val="000000"/>
          <w:kern w:val="0"/>
          <w:sz w:val="32"/>
          <w:szCs w:val="32"/>
        </w:rPr>
        <w:t>3</w:t>
      </w:r>
      <w:r>
        <w:rPr>
          <w:rFonts w:hint="eastAsia" w:ascii="楷体_GB2312" w:eastAsia="楷体_GB2312" w:cs="宋体"/>
          <w:b/>
          <w:bCs/>
          <w:color w:val="000000"/>
          <w:kern w:val="0"/>
          <w:sz w:val="32"/>
          <w:szCs w:val="32"/>
        </w:rPr>
        <w:t>、比上年增减情况</w:t>
      </w:r>
    </w:p>
    <w:p>
      <w:pPr>
        <w:widowControl/>
        <w:spacing w:line="360" w:lineRule="atLeast"/>
        <w:ind w:firstLine="640" w:firstLineChars="200"/>
        <w:jc w:val="left"/>
        <w:rPr>
          <w:rFonts w:ascii="黑体" w:eastAsia="黑体" w:cs="宋体"/>
          <w:b/>
          <w:bCs/>
          <w:color w:val="000000"/>
          <w:kern w:val="0"/>
          <w:sz w:val="32"/>
          <w:szCs w:val="32"/>
        </w:rPr>
      </w:pP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年预算收支安排</w:t>
      </w:r>
      <w:r>
        <w:rPr>
          <w:rFonts w:ascii="仿宋_GB2312" w:eastAsia="仿宋_GB2312" w:cs="宋体"/>
          <w:color w:val="000000"/>
          <w:kern w:val="0"/>
          <w:sz w:val="32"/>
          <w:szCs w:val="32"/>
        </w:rPr>
        <w:t>5819.09</w:t>
      </w:r>
      <w:r>
        <w:rPr>
          <w:rFonts w:hint="eastAsia" w:ascii="仿宋_GB2312" w:eastAsia="仿宋_GB2312" w:cs="宋体"/>
          <w:color w:val="000000"/>
          <w:kern w:val="0"/>
          <w:sz w:val="32"/>
          <w:szCs w:val="32"/>
        </w:rPr>
        <w:t>万元，较</w:t>
      </w:r>
      <w:r>
        <w:rPr>
          <w:rFonts w:ascii="仿宋_GB2312" w:eastAsia="仿宋_GB2312" w:cs="宋体"/>
          <w:color w:val="000000"/>
          <w:kern w:val="0"/>
          <w:sz w:val="32"/>
          <w:szCs w:val="32"/>
        </w:rPr>
        <w:t>2017</w:t>
      </w:r>
      <w:r>
        <w:rPr>
          <w:rFonts w:hint="eastAsia" w:ascii="仿宋_GB2312" w:eastAsia="仿宋_GB2312" w:cs="宋体"/>
          <w:color w:val="000000"/>
          <w:kern w:val="0"/>
          <w:sz w:val="32"/>
          <w:szCs w:val="32"/>
        </w:rPr>
        <w:t>年预算</w:t>
      </w:r>
      <w:r>
        <w:rPr>
          <w:rFonts w:hint="eastAsia" w:ascii="仿宋_GB2312" w:eastAsia="仿宋_GB2312" w:cs="宋体"/>
          <w:kern w:val="0"/>
          <w:sz w:val="32"/>
          <w:szCs w:val="32"/>
        </w:rPr>
        <w:t>增加</w:t>
      </w:r>
      <w:r>
        <w:rPr>
          <w:rFonts w:ascii="仿宋_GB2312" w:eastAsia="仿宋_GB2312" w:cs="宋体"/>
          <w:color w:val="000000"/>
          <w:kern w:val="0"/>
          <w:sz w:val="32"/>
          <w:szCs w:val="32"/>
        </w:rPr>
        <w:t>1258.69</w:t>
      </w:r>
      <w:r>
        <w:rPr>
          <w:rFonts w:hint="eastAsia" w:ascii="仿宋_GB2312" w:eastAsia="仿宋_GB2312" w:cs="宋体"/>
          <w:color w:val="000000"/>
          <w:kern w:val="0"/>
          <w:sz w:val="32"/>
          <w:szCs w:val="32"/>
        </w:rPr>
        <w:t>万元，其中：基本支出增加</w:t>
      </w:r>
      <w:r>
        <w:rPr>
          <w:rFonts w:hint="eastAsia" w:ascii="仿宋_GB2312" w:eastAsia="仿宋_GB2312" w:cs="宋体"/>
          <w:color w:val="000000"/>
          <w:kern w:val="0"/>
          <w:sz w:val="32"/>
          <w:szCs w:val="32"/>
          <w:lang w:val="en-US" w:eastAsia="zh-CN"/>
        </w:rPr>
        <w:t>872.42</w:t>
      </w:r>
      <w:r>
        <w:rPr>
          <w:rFonts w:hint="eastAsia" w:ascii="仿宋_GB2312" w:eastAsia="仿宋_GB2312" w:cs="宋体"/>
          <w:color w:val="000000"/>
          <w:kern w:val="0"/>
          <w:sz w:val="32"/>
          <w:szCs w:val="32"/>
        </w:rPr>
        <w:t>万元，主要为增加人员经费支出；</w:t>
      </w:r>
      <w:r>
        <w:rPr>
          <w:rFonts w:hint="eastAsia" w:ascii="仿宋_GB2312" w:eastAsia="仿宋_GB2312" w:cs="Times New Roman"/>
          <w:sz w:val="32"/>
          <w:szCs w:val="32"/>
        </w:rPr>
        <w:t>项目支出增加</w:t>
      </w:r>
      <w:r>
        <w:rPr>
          <w:rFonts w:ascii="仿宋_GB2312" w:eastAsia="仿宋_GB2312" w:cs="Times New Roman"/>
          <w:sz w:val="32"/>
          <w:szCs w:val="32"/>
        </w:rPr>
        <w:t>386.27</w:t>
      </w:r>
      <w:r>
        <w:rPr>
          <w:rFonts w:hint="eastAsia" w:ascii="仿宋_GB2312" w:eastAsia="仿宋_GB2312" w:cs="Times New Roman"/>
          <w:sz w:val="32"/>
          <w:szCs w:val="32"/>
        </w:rPr>
        <w:t>万元，主要为民办教师经费、社区聘用人员经费、农科院租地经费及乡镇卫生清运经费支出。</w:t>
      </w:r>
      <w:r>
        <w:rPr>
          <w:rFonts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bookmarkStart w:id="1" w:name="_GoBack"/>
      <w:bookmarkEnd w:id="1"/>
    </w:p>
    <w:p>
      <w:pPr>
        <w:widowControl/>
        <w:spacing w:line="360" w:lineRule="atLeast"/>
        <w:ind w:firstLine="640" w:firstLineChars="200"/>
        <w:jc w:val="left"/>
        <w:rPr>
          <w:rFonts w:ascii="仿宋_GB2312" w:eastAsia="仿宋_GB2312" w:cs="宋体"/>
          <w:color w:val="000000"/>
          <w:kern w:val="0"/>
          <w:sz w:val="32"/>
          <w:szCs w:val="32"/>
        </w:rPr>
      </w:pP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年预算安排我部门机关运行经费</w:t>
      </w:r>
      <w:r>
        <w:rPr>
          <w:rFonts w:ascii="仿宋_GB2312" w:eastAsia="仿宋_GB2312" w:cs="宋体"/>
          <w:color w:val="000000"/>
          <w:kern w:val="0"/>
          <w:sz w:val="32"/>
          <w:szCs w:val="32"/>
        </w:rPr>
        <w:t>267.73</w:t>
      </w:r>
      <w:r>
        <w:rPr>
          <w:rFonts w:hint="eastAsia" w:ascii="仿宋_GB2312" w:eastAsia="仿宋_GB2312" w:cs="宋体"/>
          <w:color w:val="000000"/>
          <w:kern w:val="0"/>
          <w:sz w:val="32"/>
          <w:szCs w:val="32"/>
        </w:rPr>
        <w:t>万元，其中办公经费</w:t>
      </w:r>
      <w:r>
        <w:rPr>
          <w:rFonts w:ascii="仿宋_GB2312" w:eastAsia="仿宋_GB2312" w:cs="宋体"/>
          <w:color w:val="000000"/>
          <w:kern w:val="0"/>
          <w:sz w:val="32"/>
          <w:szCs w:val="32"/>
        </w:rPr>
        <w:t>28.01</w:t>
      </w:r>
      <w:r>
        <w:rPr>
          <w:rFonts w:hint="eastAsia" w:ascii="仿宋_GB2312" w:eastAsia="仿宋_GB2312" w:cs="宋体"/>
          <w:color w:val="000000"/>
          <w:kern w:val="0"/>
          <w:sz w:val="32"/>
          <w:szCs w:val="32"/>
        </w:rPr>
        <w:t>万元，</w:t>
      </w:r>
      <w:r>
        <w:rPr>
          <w:rFonts w:hint="eastAsia" w:ascii="仿宋_GB2312" w:eastAsia="仿宋_GB2312" w:cs="宋体"/>
          <w:color w:val="000000"/>
          <w:kern w:val="0"/>
          <w:sz w:val="32"/>
          <w:szCs w:val="32"/>
          <w:lang w:eastAsia="zh-CN"/>
        </w:rPr>
        <w:t>其他业务费</w:t>
      </w:r>
      <w:r>
        <w:rPr>
          <w:rFonts w:hint="eastAsia" w:ascii="仿宋_GB2312" w:eastAsia="仿宋_GB2312" w:cs="宋体"/>
          <w:color w:val="000000"/>
          <w:kern w:val="0"/>
          <w:sz w:val="32"/>
          <w:szCs w:val="32"/>
          <w:lang w:val="en-US" w:eastAsia="zh-CN"/>
        </w:rPr>
        <w:t>120万元</w:t>
      </w:r>
      <w:r>
        <w:rPr>
          <w:rFonts w:hint="eastAsia" w:ascii="仿宋_GB2312" w:eastAsia="仿宋_GB2312" w:cs="宋体"/>
          <w:color w:val="000000"/>
          <w:kern w:val="0"/>
          <w:sz w:val="32"/>
          <w:szCs w:val="32"/>
        </w:rPr>
        <w:t>。主要用于万庄镇人民办公区的日常维修、办公用房水电费、公务用车运行维护费等日常运行支出。</w:t>
      </w:r>
    </w:p>
    <w:p>
      <w:pPr>
        <w:widowControl/>
        <w:spacing w:line="360" w:lineRule="atLeast"/>
        <w:jc w:val="left"/>
        <w:rPr>
          <w:rFonts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autoSpaceDE w:val="0"/>
        <w:autoSpaceDN w:val="0"/>
        <w:adjustRightInd w:val="0"/>
        <w:ind w:left="198" w:firstLine="640" w:firstLineChars="200"/>
        <w:jc w:val="left"/>
        <w:rPr>
          <w:rFonts w:ascii="仿宋_GB2312" w:eastAsia="仿宋_GB2312" w:cs="宋体"/>
          <w:color w:val="000000"/>
          <w:kern w:val="0"/>
          <w:sz w:val="32"/>
          <w:szCs w:val="32"/>
        </w:rPr>
      </w:pP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年，我部门“三公”经费预算安排</w:t>
      </w:r>
      <w:r>
        <w:rPr>
          <w:rFonts w:ascii="仿宋_GB2312" w:eastAsia="仿宋_GB2312" w:cs="宋体"/>
          <w:color w:val="000000"/>
          <w:kern w:val="0"/>
          <w:sz w:val="32"/>
          <w:szCs w:val="32"/>
        </w:rPr>
        <w:t>4.6</w:t>
      </w:r>
      <w:r>
        <w:rPr>
          <w:rFonts w:hint="eastAsia" w:ascii="仿宋_GB2312" w:eastAsia="仿宋_GB2312" w:cs="宋体"/>
          <w:color w:val="000000"/>
          <w:kern w:val="0"/>
          <w:sz w:val="32"/>
          <w:szCs w:val="32"/>
        </w:rPr>
        <w:t>万元，其中因公出国（境）费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万元；公务用车购置及运维费</w:t>
      </w:r>
      <w:r>
        <w:rPr>
          <w:rFonts w:ascii="仿宋_GB2312" w:eastAsia="仿宋_GB2312" w:cs="宋体"/>
          <w:color w:val="000000"/>
          <w:kern w:val="0"/>
          <w:sz w:val="32"/>
          <w:szCs w:val="32"/>
        </w:rPr>
        <w:t>4.6</w:t>
      </w:r>
      <w:r>
        <w:rPr>
          <w:rFonts w:hint="eastAsia" w:ascii="仿宋_GB2312" w:eastAsia="仿宋_GB2312" w:cs="宋体"/>
          <w:color w:val="000000"/>
          <w:kern w:val="0"/>
          <w:sz w:val="32"/>
          <w:szCs w:val="32"/>
        </w:rPr>
        <w:t>万元（其中：公务用车购置费为</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万元，公务用车运行费为</w:t>
      </w:r>
      <w:r>
        <w:rPr>
          <w:rFonts w:ascii="仿宋_GB2312" w:eastAsia="仿宋_GB2312" w:cs="宋体"/>
          <w:color w:val="000000"/>
          <w:kern w:val="0"/>
          <w:sz w:val="32"/>
          <w:szCs w:val="32"/>
        </w:rPr>
        <w:t>4.6</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。三公经费主要为公务用车用油费，与</w:t>
      </w:r>
      <w:r>
        <w:rPr>
          <w:rFonts w:ascii="仿宋_GB2312" w:eastAsia="仿宋_GB2312" w:cs="宋体"/>
          <w:color w:val="000000"/>
          <w:kern w:val="0"/>
          <w:sz w:val="32"/>
          <w:szCs w:val="32"/>
        </w:rPr>
        <w:t>2017</w:t>
      </w:r>
      <w:r>
        <w:rPr>
          <w:rFonts w:hint="eastAsia" w:ascii="仿宋_GB2312" w:eastAsia="仿宋_GB2312" w:cs="宋体"/>
          <w:color w:val="000000"/>
          <w:kern w:val="0"/>
          <w:sz w:val="32"/>
          <w:szCs w:val="32"/>
        </w:rPr>
        <w:t>年增</w:t>
      </w:r>
      <w:r>
        <w:rPr>
          <w:rFonts w:ascii="仿宋_GB2312" w:eastAsia="仿宋_GB2312" w:cs="宋体"/>
          <w:color w:val="000000"/>
          <w:kern w:val="0"/>
          <w:sz w:val="32"/>
          <w:szCs w:val="32"/>
        </w:rPr>
        <w:t>4.6</w:t>
      </w:r>
      <w:r>
        <w:rPr>
          <w:rFonts w:hint="eastAsia" w:ascii="仿宋_GB2312" w:eastAsia="仿宋_GB2312" w:cs="宋体"/>
          <w:color w:val="000000"/>
          <w:kern w:val="0"/>
          <w:sz w:val="32"/>
          <w:szCs w:val="32"/>
        </w:rPr>
        <w:t>万元，主要原因是</w:t>
      </w:r>
      <w:r>
        <w:rPr>
          <w:rFonts w:ascii="仿宋_GB2312" w:eastAsia="仿宋_GB2312" w:cs="宋体"/>
          <w:color w:val="000000"/>
          <w:kern w:val="0"/>
          <w:sz w:val="32"/>
          <w:szCs w:val="32"/>
        </w:rPr>
        <w:t>2017</w:t>
      </w:r>
      <w:r>
        <w:rPr>
          <w:rFonts w:hint="eastAsia" w:ascii="仿宋_GB2312" w:eastAsia="仿宋_GB2312" w:cs="宋体"/>
          <w:color w:val="000000"/>
          <w:kern w:val="0"/>
          <w:sz w:val="32"/>
          <w:szCs w:val="32"/>
        </w:rPr>
        <w:t>年未安排三公经费支出。</w:t>
      </w:r>
      <w:r>
        <w:rPr>
          <w:rFonts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r>
        <w:rPr>
          <w:rFonts w:ascii="黑体" w:eastAsia="黑体" w:cs="宋体"/>
          <w:color w:val="000000"/>
          <w:kern w:val="0"/>
          <w:sz w:val="32"/>
          <w:szCs w:val="32"/>
        </w:rPr>
        <w:br w:type="textWrapping"/>
      </w:r>
      <w:r>
        <w:rPr>
          <w:rFonts w:hint="eastAsia" w:ascii="仿宋_GB2312" w:eastAsia="仿宋_GB2312" w:cs="宋体"/>
          <w:b/>
          <w:bCs/>
          <w:color w:val="000000"/>
          <w:kern w:val="0"/>
          <w:sz w:val="32"/>
          <w:szCs w:val="32"/>
        </w:rPr>
        <w:t>总体绩效目标：</w:t>
      </w:r>
      <w:r>
        <w:rPr>
          <w:rFonts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加强为民服务的理念，进一步完善预算绩效管理制度体系，着力推进全过程预算绩效管理工作，着力提高预算绩效管理工作质量。</w:t>
      </w:r>
    </w:p>
    <w:p>
      <w:pPr>
        <w:widowControl/>
        <w:spacing w:line="360" w:lineRule="atLeast"/>
        <w:jc w:val="left"/>
        <w:rPr>
          <w:rFonts w:ascii="仿宋_GB2312" w:eastAsia="仿宋_GB2312" w:cs="宋体"/>
          <w:color w:val="000000"/>
          <w:kern w:val="0"/>
          <w:sz w:val="32"/>
          <w:szCs w:val="32"/>
        </w:rPr>
      </w:pPr>
      <w:r>
        <w:rPr>
          <w:rFonts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p>
    <w:p>
      <w:pPr>
        <w:jc w:val="center"/>
        <w:outlineLvl w:val="0"/>
        <w:rPr>
          <w:rFonts w:hint="eastAsia" w:ascii="方正小标宋_GBK" w:eastAsia="方正小标宋_GBK"/>
          <w:sz w:val="32"/>
        </w:rPr>
      </w:pPr>
      <w:r>
        <w:rPr>
          <w:rFonts w:ascii="宋体" w:hAnsi="宋体" w:eastAsia="仿宋_GB2312" w:cs="宋体"/>
          <w:color w:val="000000"/>
          <w:kern w:val="0"/>
          <w:sz w:val="32"/>
          <w:szCs w:val="32"/>
        </w:rPr>
        <w:t> </w:t>
      </w:r>
      <w:bookmarkStart w:id="0" w:name="_Toc505085935"/>
      <w:r>
        <w:rPr>
          <w:rFonts w:hint="eastAsia" w:ascii="方正小标宋_GBK" w:eastAsia="方正小标宋_GBK"/>
          <w:sz w:val="32"/>
        </w:rPr>
        <w:t>部门职责-工作活动绩效目标</w:t>
      </w:r>
      <w:bookmarkEnd w:id="0"/>
    </w:p>
    <w:tbl>
      <w:tblPr>
        <w:tblStyle w:val="6"/>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911廊坊市广阳区万庄镇</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tblHeader/>
          <w:jc w:val="center"/>
        </w:trPr>
        <w:tc>
          <w:tcPr>
            <w:tcW w:w="2341"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tblHeader/>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vMerge w:val="continue"/>
            <w:shd w:val="clear" w:color="auto" w:fill="auto"/>
            <w:vAlign w:val="center"/>
          </w:tcPr>
          <w:p/>
        </w:tc>
        <w:tc>
          <w:tcPr>
            <w:tcW w:w="73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一、政务服务</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105.27</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政务公开、镇政府、街办处会议管理、督察督办、政务联络等工作。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突出政务、加强事务、提升服务，力求重点工作出精品，难点工作求突破、基础工作有创新、常规工作见特色。以机关干部作风量化指标为依据，增强了工作综合服务实力。</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1、政务公开</w:t>
            </w:r>
          </w:p>
        </w:tc>
        <w:tc>
          <w:tcPr>
            <w:tcW w:w="1276" w:type="dxa"/>
            <w:vMerge w:val="restart"/>
            <w:shd w:val="clear" w:color="auto" w:fill="auto"/>
            <w:vAlign w:val="center"/>
          </w:tcPr>
          <w:p>
            <w:pPr>
              <w:spacing w:line="300" w:lineRule="exact"/>
              <w:jc w:val="left"/>
              <w:rPr>
                <w:rFonts w:hint="eastAsia"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承担镇、街办处政务公开暨行政权力公开透明运行工作领导小组的日常工作，指导和协调全镇政务公开及政务服务中心建设、推进行政服务体系标准化建设工作。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通过完成乡镇政务信息公开工作的指导监督工作，使全乡镇信息公开业务队伍素质不断提高，业务水平进一步提升；政府政务信息公开范围不断扩大，公开内容得到进一步细化。</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政务公开率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政务公开次数</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政务公开内容</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2、政务联络</w:t>
            </w:r>
          </w:p>
        </w:tc>
        <w:tc>
          <w:tcPr>
            <w:tcW w:w="1276" w:type="dxa"/>
            <w:vMerge w:val="restart"/>
            <w:shd w:val="clear" w:color="auto" w:fill="auto"/>
            <w:vAlign w:val="center"/>
          </w:tcPr>
          <w:p>
            <w:pPr>
              <w:spacing w:line="300" w:lineRule="exact"/>
              <w:jc w:val="left"/>
              <w:rPr>
                <w:rFonts w:hint="eastAsia"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负责管理县政府驻外办事处工作。负责县领导、县有关部门公务活动的接待安排；</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做好区际间与本乡镇政务往来服务保障工作</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重大活动联络服务工作完成率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重大会议的协调安保工作完成率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重大会议的内容完成情况</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对外联络任务完成次数</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对外联络任务完成程度</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对外联络任务效果</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3、会议管理</w:t>
            </w:r>
          </w:p>
        </w:tc>
        <w:tc>
          <w:tcPr>
            <w:tcW w:w="1276" w:type="dxa"/>
            <w:vMerge w:val="restart"/>
            <w:shd w:val="clear" w:color="auto" w:fill="auto"/>
            <w:vAlign w:val="center"/>
          </w:tcPr>
          <w:p>
            <w:pPr>
              <w:spacing w:line="300" w:lineRule="exact"/>
              <w:jc w:val="left"/>
              <w:rPr>
                <w:rFonts w:hint="eastAsia"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政府会议的准备和服务工作，协助政府领导组织会议决定事项的落实。</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做好村街会议保障；严格召开的会议审批，控制会议费开支规模。</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大型会议控制率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重大会议的协调安保工作完成率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大型会议执行度</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4、督查督办</w:t>
            </w:r>
          </w:p>
        </w:tc>
        <w:tc>
          <w:tcPr>
            <w:tcW w:w="12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105.27</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督促检查街道各部门对政府决定事项及政府领导重要指示的执行落实情况并跟踪调研，及时向领导报告。组织承办人大代表和政协提案工作。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确保村街决定事项及村街领导重要指示得到贯彻落实。</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决策部署督查反馈率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督察督办次数</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督察督办程度</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二、应急管理</w:t>
            </w:r>
          </w:p>
        </w:tc>
        <w:tc>
          <w:tcPr>
            <w:tcW w:w="1276" w:type="dxa"/>
            <w:shd w:val="clear" w:color="auto" w:fill="auto"/>
            <w:vAlign w:val="center"/>
          </w:tcPr>
          <w:p>
            <w:pPr>
              <w:spacing w:line="300" w:lineRule="exact"/>
              <w:jc w:val="left"/>
              <w:rPr>
                <w:rFonts w:hint="eastAsia"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基层政府值班工作，及时报告重要情况，传达和督促落实镇政府领导指示。协助镇政府领导做好需由基层政府组织处理的突发事件应急处置工作。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1、应急管理</w:t>
            </w:r>
          </w:p>
        </w:tc>
        <w:tc>
          <w:tcPr>
            <w:tcW w:w="1276" w:type="dxa"/>
            <w:vMerge w:val="restart"/>
            <w:shd w:val="clear" w:color="auto" w:fill="auto"/>
            <w:vAlign w:val="center"/>
          </w:tcPr>
          <w:p>
            <w:pPr>
              <w:spacing w:line="300" w:lineRule="exact"/>
              <w:jc w:val="left"/>
              <w:rPr>
                <w:rFonts w:hint="eastAsia"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政府值班工作，及时报告重要情况，传达和督促落实镇政府领导指示。协助镇政府领导做好需由镇政府组织处理的突发事件应急处置工作。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维护好本地政府应急平台，确保乡镇应急工作顺利完成；各类突发事件得到及时妥善处置</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突发事件处理率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突发事件处理程度</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突发事件处理效果</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三、残疾人综合业务管理</w:t>
            </w:r>
          </w:p>
        </w:tc>
        <w:tc>
          <w:tcPr>
            <w:tcW w:w="1276" w:type="dxa"/>
            <w:shd w:val="clear" w:color="auto" w:fill="auto"/>
            <w:vAlign w:val="center"/>
          </w:tcPr>
          <w:p>
            <w:pPr>
              <w:spacing w:line="300" w:lineRule="exact"/>
              <w:jc w:val="left"/>
              <w:rPr>
                <w:rFonts w:hint="eastAsia"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对持证残疾人需求情况进行调查，对残疾人状况进行动态监测，加强和规范残疾人基层组织建设，加大残疾人就业保障金的征收力度，加强残疾人工作信息化建设和基础研究</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摸清残疾人底数，增强基层服务残疾人的能力，确保残疾人就业保障金的稳定增收；构建残疾人公共服务网络化平台。</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1、综合业务管理</w:t>
            </w:r>
          </w:p>
        </w:tc>
        <w:tc>
          <w:tcPr>
            <w:tcW w:w="1276" w:type="dxa"/>
            <w:vMerge w:val="restart"/>
            <w:shd w:val="clear" w:color="auto" w:fill="auto"/>
            <w:vAlign w:val="center"/>
          </w:tcPr>
          <w:p>
            <w:pPr>
              <w:spacing w:line="300" w:lineRule="exact"/>
              <w:jc w:val="left"/>
              <w:rPr>
                <w:rFonts w:hint="eastAsia"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设施设备运转保障、残疾人组织建设、工作信息化建设等项工作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发挥专门协会桥梁纽带作用，联系广大残疾人；提高残疾人证办证率；增强基层服务残疾人的能力；保障正常运转，促进残疾人事业发展。</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专门活动</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已开展活动</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人员情况调查</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四、维护妇女儿童合法权益促进妇女儿童发展</w:t>
            </w:r>
          </w:p>
        </w:tc>
        <w:tc>
          <w:tcPr>
            <w:tcW w:w="1276" w:type="dxa"/>
            <w:shd w:val="clear" w:color="auto" w:fill="auto"/>
            <w:vAlign w:val="center"/>
          </w:tcPr>
          <w:p>
            <w:pPr>
              <w:spacing w:line="300" w:lineRule="exact"/>
              <w:jc w:val="left"/>
              <w:rPr>
                <w:rFonts w:hint="eastAsia"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关注并加强研究涉及妇女切身利益的热点、难点问题，及时向镇委和镇政府反映社情民意，提出对策建议。</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妇女综合素质和发展能力有较大提升。妇女儿童合法权益得到有效维护，男女平等基本国策宣传进一步深入人心。</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1、维权服务</w:t>
            </w:r>
          </w:p>
        </w:tc>
        <w:tc>
          <w:tcPr>
            <w:tcW w:w="1276" w:type="dxa"/>
            <w:vMerge w:val="restart"/>
            <w:shd w:val="clear" w:color="auto" w:fill="auto"/>
            <w:vAlign w:val="center"/>
          </w:tcPr>
          <w:p>
            <w:pPr>
              <w:spacing w:line="300" w:lineRule="exact"/>
              <w:jc w:val="left"/>
              <w:rPr>
                <w:rFonts w:hint="eastAsia"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关注并加强研究涉及妇女切身利益的热点、难点问题，及时向县委和县政府反映社情民意，提出对策建议；参与有关妇女儿童政策和法律、法规草案的拟定，从源头上强化维护妇女儿童合法权益工作。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帮助权益受到侵害的妇女儿童解决困难和问题，提高广大妇女儿童的维权意识和维权能力，维护妇女儿童合法权益；规范妇女信访秩序，促进社会和谐稳定。</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答复妇女来电来访情况</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妇女信访代理工作开展情况</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法律援助妇女侵权案件办理情况</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五、工会事务管理</w:t>
            </w:r>
          </w:p>
        </w:tc>
        <w:tc>
          <w:tcPr>
            <w:tcW w:w="1276" w:type="dxa"/>
            <w:shd w:val="clear" w:color="auto" w:fill="auto"/>
            <w:vAlign w:val="center"/>
          </w:tcPr>
          <w:p>
            <w:pPr>
              <w:spacing w:line="300" w:lineRule="exact"/>
              <w:jc w:val="left"/>
              <w:rPr>
                <w:rFonts w:hint="eastAsia"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研究指导全镇工会自身建设；承担镇委、镇政府及全国总工会交办的其他事项。</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加强组织和干部队伍建设，提高干部业务素质和大型企事业单位工会领导干部水平，促进工会事业发展。</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1、综合事务管理</w:t>
            </w:r>
          </w:p>
        </w:tc>
        <w:tc>
          <w:tcPr>
            <w:tcW w:w="1276" w:type="dxa"/>
            <w:vMerge w:val="restart"/>
            <w:shd w:val="clear" w:color="auto" w:fill="auto"/>
            <w:vAlign w:val="center"/>
          </w:tcPr>
          <w:p>
            <w:pPr>
              <w:spacing w:line="300" w:lineRule="exact"/>
              <w:jc w:val="left"/>
              <w:rPr>
                <w:rFonts w:hint="eastAsia"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研究指导全镇工会自身改革和建设；负责工会干部管理制度和培训规划制定以及培训工作；承担镇委、镇政府及全国总工会交办的其他事项。</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切实提高工会综合事务管理水平，保障单位的正常运转</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综合事务保障率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职工定期活动率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对困难职工关注率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六、团委事务管理</w:t>
            </w:r>
          </w:p>
        </w:tc>
        <w:tc>
          <w:tcPr>
            <w:tcW w:w="1276" w:type="dxa"/>
            <w:shd w:val="clear" w:color="auto" w:fill="auto"/>
            <w:vAlign w:val="center"/>
          </w:tcPr>
          <w:p>
            <w:pPr>
              <w:spacing w:line="300" w:lineRule="exact"/>
              <w:jc w:val="left"/>
              <w:rPr>
                <w:rFonts w:hint="eastAsia"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负责团委综合业务管理。</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年度工作任务圆满完成，促进共青团事业发展。</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1、综合业务管理</w:t>
            </w:r>
          </w:p>
        </w:tc>
        <w:tc>
          <w:tcPr>
            <w:tcW w:w="1276" w:type="dxa"/>
            <w:vMerge w:val="restart"/>
            <w:shd w:val="clear" w:color="auto" w:fill="auto"/>
            <w:vAlign w:val="center"/>
          </w:tcPr>
          <w:p>
            <w:pPr>
              <w:spacing w:line="300" w:lineRule="exact"/>
              <w:jc w:val="left"/>
              <w:rPr>
                <w:rFonts w:hint="eastAsia"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参与制定全镇的青少年事业发展规划和青少年工作方针、政策;承担镇委、镇政府和团中央交办的有关事项。</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高质量完成全镇青少年发展规划和方针政策的制定，圆满完成省委、省政府和团中央交办的各项任务。</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综合业务完成率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青少年团员率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青少年团员定期活动率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七、宣传事务管理</w:t>
            </w:r>
          </w:p>
        </w:tc>
        <w:tc>
          <w:tcPr>
            <w:tcW w:w="1276" w:type="dxa"/>
            <w:shd w:val="clear" w:color="auto" w:fill="auto"/>
            <w:vAlign w:val="center"/>
          </w:tcPr>
          <w:p>
            <w:pPr>
              <w:spacing w:line="300" w:lineRule="exact"/>
              <w:jc w:val="left"/>
              <w:rPr>
                <w:rFonts w:hint="eastAsia"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负责系统综合业务管理和机关综合事务管理。</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确保各项业务工作谋划到位、顺利开展。保障机关工作正常高效运转。</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1、综合业务管理</w:t>
            </w:r>
          </w:p>
        </w:tc>
        <w:tc>
          <w:tcPr>
            <w:tcW w:w="1276" w:type="dxa"/>
            <w:vMerge w:val="restart"/>
            <w:shd w:val="clear" w:color="auto" w:fill="auto"/>
            <w:vAlign w:val="center"/>
          </w:tcPr>
          <w:p>
            <w:pPr>
              <w:spacing w:line="300" w:lineRule="exact"/>
              <w:jc w:val="left"/>
              <w:rPr>
                <w:rFonts w:hint="eastAsia"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开展宣传文化业务管理，加强政策业务宣传等。</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确保各项业务工作谋划到位、顺利开展。</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重点工作督察督办数</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重点工作宣传次数</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重点工作宣传内容办数</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1、换届选举及人事任免</w:t>
            </w:r>
          </w:p>
        </w:tc>
        <w:tc>
          <w:tcPr>
            <w:tcW w:w="1276" w:type="dxa"/>
            <w:shd w:val="clear" w:color="auto" w:fill="auto"/>
            <w:vAlign w:val="center"/>
          </w:tcPr>
          <w:p>
            <w:pPr>
              <w:spacing w:line="300" w:lineRule="exact"/>
              <w:jc w:val="left"/>
              <w:rPr>
                <w:rFonts w:hint="eastAsia"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承担镇人大换届选举、镇领导人的选举和常委会人事任免的服务工作；指导镇人大换届选举工作；负责对镇政府组成人员和镇人民法院、镇人民检察院主要负责人的目标责任书、述职报告的督办工作。</w:t>
            </w:r>
          </w:p>
        </w:tc>
        <w:tc>
          <w:tcPr>
            <w:tcW w:w="2976" w:type="dxa"/>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八、电子政务管理</w:t>
            </w:r>
          </w:p>
        </w:tc>
        <w:tc>
          <w:tcPr>
            <w:tcW w:w="1276" w:type="dxa"/>
            <w:shd w:val="clear" w:color="auto" w:fill="auto"/>
            <w:vAlign w:val="center"/>
          </w:tcPr>
          <w:p>
            <w:pPr>
              <w:spacing w:line="300" w:lineRule="exact"/>
              <w:jc w:val="left"/>
              <w:rPr>
                <w:rFonts w:hint="eastAsia"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政务信息服务工作和政府系统机关电子政务工作。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确保各类会议顺利进行；保障街道网络系统安全、稳定运行，技术设备安全可用。严格执行会议技术保障服务流程和电视电话会议室管理制度。切实提高技术保障和服务能力，力争领导满意、群众满意、部门满意。</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1、政府电子政务管理与服务</w:t>
            </w:r>
          </w:p>
        </w:tc>
        <w:tc>
          <w:tcPr>
            <w:tcW w:w="1276" w:type="dxa"/>
            <w:vMerge w:val="restart"/>
            <w:shd w:val="clear" w:color="auto" w:fill="auto"/>
            <w:vAlign w:val="center"/>
          </w:tcPr>
          <w:p>
            <w:pPr>
              <w:spacing w:line="300" w:lineRule="exact"/>
              <w:jc w:val="left"/>
              <w:rPr>
                <w:rFonts w:hint="eastAsia"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政务信息服务工作和政府系统机关电子政务工作。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确保各类会议顺利进行；保障村街网络系统安全、稳定运行，技术设备安全可用</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网站事故次数</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网站内容</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网站作用</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九、地方志事务</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281.00</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全街道地方志事务管理。</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弘扬和传承优秀文化传统，充分发挥志书“资政、存史、教化”的综合功能，为社会各界方便快捷提供县情，为本县经济社会建设服务，为地方志工作者提供资料和工具。</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1、地方志事务管理</w:t>
            </w:r>
          </w:p>
        </w:tc>
        <w:tc>
          <w:tcPr>
            <w:tcW w:w="12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281.00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拟订全街道地方志工作规划并组织实施；搜集、保存、管理地方文献和资料；组织开发利用地方志资源；建设和维护街道地方志县情网络。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为社会各界方便快捷提供村街情，为经济社会建设服务</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编印差错率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真实程度</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影响范围</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十、建设与环保政务管理</w:t>
            </w:r>
          </w:p>
        </w:tc>
        <w:tc>
          <w:tcPr>
            <w:tcW w:w="1276" w:type="dxa"/>
            <w:shd w:val="clear" w:color="auto" w:fill="auto"/>
            <w:vAlign w:val="center"/>
          </w:tcPr>
          <w:p>
            <w:pPr>
              <w:spacing w:line="300" w:lineRule="exact"/>
              <w:jc w:val="left"/>
              <w:rPr>
                <w:rFonts w:hint="eastAsia"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负责环境保护系统综合业务管理和机关综合事务管理。</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加强城乡建设与环保保护管理工作。</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十一、选举和任免</w:t>
            </w:r>
          </w:p>
        </w:tc>
        <w:tc>
          <w:tcPr>
            <w:tcW w:w="1276" w:type="dxa"/>
            <w:shd w:val="clear" w:color="auto" w:fill="auto"/>
            <w:vAlign w:val="center"/>
          </w:tcPr>
          <w:p>
            <w:pPr>
              <w:spacing w:line="300" w:lineRule="exact"/>
              <w:jc w:val="left"/>
              <w:rPr>
                <w:rFonts w:hint="eastAsia"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检查监督代表法、选举法及其实施办法的贯彻实施；承担人大换届选举及人事任免服务工作；负责对镇政府组成人员主要负责人的目标责任书、述职报告的督办工作。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根据工作需要和镇委的建议，在充分酝酿和审议的基础上，选举产生一府两院的领导成员，确保选出能力突出、责任心强、有开拓精神的同志担任。2、为确保有关选举的法律法规符合实际，在充分考察调研的基础上，实施对其进行修改。3、对镇政府组成人员主要负责人进行目标责任监督，确保依法履行职责，完成目标任务。</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1、换届选举及人事任免综合事务管理</w:t>
            </w:r>
          </w:p>
        </w:tc>
        <w:tc>
          <w:tcPr>
            <w:tcW w:w="1276" w:type="dxa"/>
            <w:vMerge w:val="restart"/>
            <w:shd w:val="clear" w:color="auto" w:fill="auto"/>
            <w:vAlign w:val="center"/>
          </w:tcPr>
          <w:p>
            <w:pPr>
              <w:spacing w:line="300" w:lineRule="exact"/>
              <w:jc w:val="left"/>
              <w:rPr>
                <w:rFonts w:hint="eastAsia"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承担镇人大换届选举、镇领导人的选举和常委会人事任免的服务工作；指导镇人大换届选举工作；负责对镇政府组成人员和镇人民法院、镇人民检察院主要负责人的目标责任书、述职报告的督办工作。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确保镇镇人大换届选举工作顺利完成，提高组织换届选举工作水平；高质量完成机关领导人选举和常委会人事任免服务工作；高效督办有关部门负责人的目标责任书和述职报告。</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调研计划完成率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巡视工作完成率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组织系统互联网建设率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bl>
    <w:p>
      <w:pPr>
        <w:spacing w:line="300" w:lineRule="exact"/>
        <w:jc w:val="left"/>
        <w:outlineLvl w:val="0"/>
        <w:sectPr>
          <w:pgSz w:w="16839" w:h="11907" w:orient="landscape"/>
          <w:pgMar w:top="1020" w:right="1361" w:bottom="1020" w:left="1361" w:header="851" w:footer="992" w:gutter="0"/>
          <w:cols w:space="720" w:num="1"/>
          <w:docGrid w:type="lines" w:linePitch="312" w:charSpace="0"/>
        </w:sectPr>
      </w:pPr>
    </w:p>
    <w:p>
      <w:pPr>
        <w:widowControl/>
        <w:spacing w:line="360" w:lineRule="atLeast"/>
        <w:jc w:val="left"/>
        <w:rPr>
          <w:rFonts w:ascii="仿宋_GB2312" w:hAnsi="宋体" w:eastAsia="仿宋_GB2312" w:cs="宋体"/>
          <w:color w:val="000000"/>
          <w:kern w:val="0"/>
          <w:sz w:val="32"/>
          <w:szCs w:val="32"/>
        </w:rPr>
      </w:pPr>
    </w:p>
    <w:p>
      <w:pPr>
        <w:outlineLvl w:val="0"/>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六、政府采购预算情况</w:t>
      </w:r>
      <w:r>
        <w:rPr>
          <w:rFonts w:ascii="仿宋_GB2312" w:eastAsia="仿宋_GB2312" w:cs="宋体"/>
          <w:color w:val="000000"/>
          <w:kern w:val="0"/>
          <w:sz w:val="32"/>
          <w:szCs w:val="32"/>
        </w:rPr>
        <w:br w:type="textWrapping"/>
      </w:r>
      <w:r>
        <w:rPr>
          <w:rFonts w:ascii="宋体" w:hAnsi="宋体" w:eastAsia="仿宋_GB2312" w:cs="宋体"/>
          <w:color w:val="000000"/>
          <w:kern w:val="0"/>
          <w:sz w:val="32"/>
          <w:szCs w:val="32"/>
        </w:rPr>
        <w:t>  </w:t>
      </w:r>
      <w:r>
        <w:rPr>
          <w:rFonts w:ascii="仿宋_GB2312" w:hAnsi="宋体" w:eastAsia="仿宋_GB2312" w:cs="宋体"/>
          <w:color w:val="000000"/>
          <w:kern w:val="0"/>
          <w:sz w:val="32"/>
          <w:szCs w:val="32"/>
        </w:rPr>
        <w:t xml:space="preserve"> </w:t>
      </w: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年，我部门没有安排政府采购预算。</w:t>
      </w:r>
    </w:p>
    <w:p>
      <w:pPr>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6"/>
        <w:tblW w:w="137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1"/>
        <w:gridCol w:w="1013"/>
        <w:gridCol w:w="834"/>
        <w:gridCol w:w="1327"/>
        <w:gridCol w:w="834"/>
        <w:gridCol w:w="834"/>
        <w:gridCol w:w="856"/>
        <w:gridCol w:w="853"/>
        <w:gridCol w:w="853"/>
        <w:gridCol w:w="853"/>
        <w:gridCol w:w="776"/>
        <w:gridCol w:w="837"/>
        <w:gridCol w:w="837"/>
        <w:gridCol w:w="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969" w:type="dxa"/>
            <w:gridSpan w:val="7"/>
            <w:tcBorders>
              <w:top w:val="single" w:color="FFFFFF" w:sz="6" w:space="0"/>
              <w:left w:val="single" w:color="FFFFFF" w:sz="6" w:space="0"/>
              <w:right w:val="single" w:color="FFFFFF" w:sz="6" w:space="0"/>
            </w:tcBorders>
            <w:vAlign w:val="center"/>
          </w:tcPr>
          <w:p>
            <w:pPr>
              <w:spacing w:line="300" w:lineRule="exact"/>
              <w:jc w:val="left"/>
              <w:rPr>
                <w:rFonts w:ascii="仿宋_GB2312" w:eastAsia="仿宋_GB2312" w:cs="Times New Roman"/>
                <w:sz w:val="28"/>
                <w:szCs w:val="28"/>
              </w:rPr>
            </w:pPr>
            <w:r>
              <w:rPr>
                <w:rFonts w:ascii="仿宋_GB2312" w:eastAsia="仿宋_GB2312" w:cs="Times New Roman"/>
                <w:sz w:val="28"/>
                <w:szCs w:val="28"/>
              </w:rPr>
              <w:t xml:space="preserve">911 </w:t>
            </w:r>
            <w:r>
              <w:rPr>
                <w:rFonts w:hint="eastAsia" w:ascii="仿宋_GB2312" w:eastAsia="仿宋_GB2312" w:cs="Times New Roman"/>
                <w:sz w:val="28"/>
                <w:szCs w:val="28"/>
              </w:rPr>
              <w:t>廊坊市广阳区万庄镇人民政府</w:t>
            </w:r>
          </w:p>
        </w:tc>
        <w:tc>
          <w:tcPr>
            <w:tcW w:w="5796" w:type="dxa"/>
            <w:gridSpan w:val="7"/>
            <w:tcBorders>
              <w:top w:val="single" w:color="FFFFFF" w:sz="6" w:space="0"/>
              <w:left w:val="single" w:color="FFFFFF" w:sz="6" w:space="0"/>
              <w:right w:val="single" w:color="FFFFFF" w:sz="6" w:space="0"/>
            </w:tcBorders>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284" w:type="dxa"/>
            <w:gridSpan w:val="2"/>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834" w:type="dxa"/>
            <w:vMerge w:val="restart"/>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1327" w:type="dxa"/>
            <w:vMerge w:val="restart"/>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834" w:type="dxa"/>
            <w:vMerge w:val="restart"/>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r>
              <w:rPr>
                <w:rFonts w:ascii="仿宋_GB2312" w:eastAsia="仿宋_GB2312" w:cs="Times New Roman"/>
                <w:b/>
                <w:sz w:val="28"/>
                <w:szCs w:val="28"/>
              </w:rPr>
              <w:t xml:space="preserve">  </w:t>
            </w:r>
            <w:r>
              <w:rPr>
                <w:rFonts w:hint="eastAsia" w:ascii="仿宋_GB2312" w:eastAsia="仿宋_GB2312" w:cs="Times New Roman"/>
                <w:b/>
                <w:sz w:val="28"/>
                <w:szCs w:val="28"/>
              </w:rPr>
              <w:t>单位</w:t>
            </w:r>
          </w:p>
        </w:tc>
        <w:tc>
          <w:tcPr>
            <w:tcW w:w="834" w:type="dxa"/>
            <w:vMerge w:val="restart"/>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856" w:type="dxa"/>
            <w:vMerge w:val="restart"/>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5796" w:type="dxa"/>
            <w:gridSpan w:val="7"/>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271" w:type="dxa"/>
            <w:vMerge w:val="restart"/>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1013" w:type="dxa"/>
            <w:vMerge w:val="restart"/>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834" w:type="dxa"/>
            <w:vMerge w:val="continue"/>
            <w:vAlign w:val="center"/>
          </w:tcPr>
          <w:p/>
        </w:tc>
        <w:tc>
          <w:tcPr>
            <w:tcW w:w="1327" w:type="dxa"/>
            <w:vMerge w:val="continue"/>
            <w:vAlign w:val="center"/>
          </w:tcPr>
          <w:p/>
        </w:tc>
        <w:tc>
          <w:tcPr>
            <w:tcW w:w="834" w:type="dxa"/>
            <w:vMerge w:val="continue"/>
            <w:vAlign w:val="center"/>
          </w:tcPr>
          <w:p/>
        </w:tc>
        <w:tc>
          <w:tcPr>
            <w:tcW w:w="834" w:type="dxa"/>
            <w:vMerge w:val="continue"/>
            <w:vAlign w:val="center"/>
          </w:tcPr>
          <w:p/>
        </w:tc>
        <w:tc>
          <w:tcPr>
            <w:tcW w:w="856" w:type="dxa"/>
            <w:vMerge w:val="continue"/>
            <w:vAlign w:val="center"/>
          </w:tcPr>
          <w:p/>
        </w:tc>
        <w:tc>
          <w:tcPr>
            <w:tcW w:w="853" w:type="dxa"/>
            <w:vMerge w:val="restart"/>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4156" w:type="dxa"/>
            <w:gridSpan w:val="5"/>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787" w:type="dxa"/>
            <w:vMerge w:val="restart"/>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271" w:type="dxa"/>
            <w:vMerge w:val="continue"/>
            <w:vAlign w:val="center"/>
          </w:tcPr>
          <w:p/>
        </w:tc>
        <w:tc>
          <w:tcPr>
            <w:tcW w:w="1013" w:type="dxa"/>
            <w:vMerge w:val="continue"/>
            <w:vAlign w:val="center"/>
          </w:tcPr>
          <w:p/>
        </w:tc>
        <w:tc>
          <w:tcPr>
            <w:tcW w:w="834" w:type="dxa"/>
            <w:vMerge w:val="continue"/>
            <w:vAlign w:val="center"/>
          </w:tcPr>
          <w:p/>
        </w:tc>
        <w:tc>
          <w:tcPr>
            <w:tcW w:w="1327" w:type="dxa"/>
            <w:vMerge w:val="continue"/>
            <w:vAlign w:val="center"/>
          </w:tcPr>
          <w:p/>
        </w:tc>
        <w:tc>
          <w:tcPr>
            <w:tcW w:w="834" w:type="dxa"/>
            <w:vMerge w:val="continue"/>
            <w:vAlign w:val="center"/>
          </w:tcPr>
          <w:p/>
        </w:tc>
        <w:tc>
          <w:tcPr>
            <w:tcW w:w="834" w:type="dxa"/>
            <w:vMerge w:val="continue"/>
            <w:vAlign w:val="center"/>
          </w:tcPr>
          <w:p/>
        </w:tc>
        <w:tc>
          <w:tcPr>
            <w:tcW w:w="856" w:type="dxa"/>
            <w:vMerge w:val="continue"/>
            <w:vAlign w:val="center"/>
          </w:tcPr>
          <w:p/>
        </w:tc>
        <w:tc>
          <w:tcPr>
            <w:tcW w:w="853" w:type="dxa"/>
            <w:vMerge w:val="continue"/>
            <w:vAlign w:val="center"/>
          </w:tcPr>
          <w:p/>
        </w:tc>
        <w:tc>
          <w:tcPr>
            <w:tcW w:w="853" w:type="dxa"/>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853" w:type="dxa"/>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776" w:type="dxa"/>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837" w:type="dxa"/>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837" w:type="dxa"/>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787" w:type="dxa"/>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71" w:type="dxa"/>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1013" w:type="dxa"/>
            <w:vAlign w:val="center"/>
          </w:tcPr>
          <w:p>
            <w:pPr>
              <w:spacing w:line="300" w:lineRule="exact"/>
              <w:jc w:val="center"/>
              <w:rPr>
                <w:rFonts w:ascii="仿宋_GB2312" w:eastAsia="仿宋_GB2312" w:cs="Times New Roman"/>
                <w:b/>
                <w:sz w:val="28"/>
                <w:szCs w:val="28"/>
              </w:rPr>
            </w:pPr>
          </w:p>
        </w:tc>
        <w:tc>
          <w:tcPr>
            <w:tcW w:w="834" w:type="dxa"/>
            <w:vAlign w:val="center"/>
          </w:tcPr>
          <w:p>
            <w:pPr>
              <w:spacing w:line="300" w:lineRule="exact"/>
              <w:jc w:val="center"/>
              <w:rPr>
                <w:rFonts w:ascii="仿宋_GB2312" w:eastAsia="仿宋_GB2312" w:cs="Times New Roman"/>
                <w:b/>
                <w:sz w:val="28"/>
                <w:szCs w:val="28"/>
              </w:rPr>
            </w:pPr>
          </w:p>
        </w:tc>
        <w:tc>
          <w:tcPr>
            <w:tcW w:w="1327" w:type="dxa"/>
            <w:vAlign w:val="center"/>
          </w:tcPr>
          <w:p>
            <w:pPr>
              <w:spacing w:line="300" w:lineRule="exact"/>
              <w:jc w:val="center"/>
              <w:rPr>
                <w:rFonts w:ascii="仿宋_GB2312" w:eastAsia="仿宋_GB2312" w:cs="Times New Roman"/>
                <w:b/>
                <w:sz w:val="28"/>
                <w:szCs w:val="28"/>
              </w:rPr>
            </w:pPr>
          </w:p>
        </w:tc>
        <w:tc>
          <w:tcPr>
            <w:tcW w:w="834" w:type="dxa"/>
            <w:vAlign w:val="center"/>
          </w:tcPr>
          <w:p>
            <w:pPr>
              <w:spacing w:line="300" w:lineRule="exact"/>
              <w:jc w:val="center"/>
              <w:rPr>
                <w:rFonts w:ascii="仿宋_GB2312" w:eastAsia="仿宋_GB2312" w:cs="Times New Roman"/>
                <w:b/>
                <w:sz w:val="28"/>
                <w:szCs w:val="28"/>
              </w:rPr>
            </w:pPr>
          </w:p>
        </w:tc>
        <w:tc>
          <w:tcPr>
            <w:tcW w:w="834" w:type="dxa"/>
            <w:vAlign w:val="center"/>
          </w:tcPr>
          <w:p>
            <w:pPr>
              <w:spacing w:line="300" w:lineRule="exact"/>
              <w:jc w:val="center"/>
              <w:rPr>
                <w:rFonts w:ascii="仿宋_GB2312" w:eastAsia="仿宋_GB2312" w:cs="Times New Roman"/>
                <w:b/>
                <w:sz w:val="28"/>
                <w:szCs w:val="28"/>
              </w:rPr>
            </w:pPr>
          </w:p>
        </w:tc>
        <w:tc>
          <w:tcPr>
            <w:tcW w:w="856" w:type="dxa"/>
            <w:vAlign w:val="center"/>
          </w:tcPr>
          <w:p>
            <w:pPr>
              <w:spacing w:line="300" w:lineRule="exact"/>
              <w:jc w:val="center"/>
              <w:rPr>
                <w:rFonts w:ascii="仿宋_GB2312" w:eastAsia="仿宋_GB2312" w:cs="Times New Roman"/>
                <w:b/>
                <w:sz w:val="28"/>
                <w:szCs w:val="28"/>
              </w:rPr>
            </w:pPr>
          </w:p>
        </w:tc>
        <w:tc>
          <w:tcPr>
            <w:tcW w:w="853" w:type="dxa"/>
            <w:vAlign w:val="center"/>
          </w:tcPr>
          <w:p>
            <w:pPr>
              <w:spacing w:line="300" w:lineRule="exact"/>
              <w:jc w:val="center"/>
              <w:rPr>
                <w:rFonts w:ascii="仿宋_GB2312" w:eastAsia="仿宋_GB2312" w:cs="Times New Roman"/>
                <w:b/>
                <w:sz w:val="28"/>
                <w:szCs w:val="28"/>
              </w:rPr>
            </w:pPr>
          </w:p>
        </w:tc>
        <w:tc>
          <w:tcPr>
            <w:tcW w:w="853" w:type="dxa"/>
            <w:vAlign w:val="center"/>
          </w:tcPr>
          <w:p>
            <w:pPr>
              <w:spacing w:line="300" w:lineRule="exact"/>
              <w:jc w:val="center"/>
              <w:rPr>
                <w:rFonts w:ascii="仿宋_GB2312" w:eastAsia="仿宋_GB2312" w:cs="Times New Roman"/>
                <w:b/>
                <w:sz w:val="28"/>
                <w:szCs w:val="28"/>
              </w:rPr>
            </w:pPr>
          </w:p>
        </w:tc>
        <w:tc>
          <w:tcPr>
            <w:tcW w:w="853" w:type="dxa"/>
            <w:vAlign w:val="center"/>
          </w:tcPr>
          <w:p>
            <w:pPr>
              <w:spacing w:line="300" w:lineRule="exact"/>
              <w:jc w:val="center"/>
              <w:rPr>
                <w:rFonts w:ascii="仿宋_GB2312" w:eastAsia="仿宋_GB2312" w:cs="Times New Roman"/>
                <w:b/>
                <w:sz w:val="28"/>
                <w:szCs w:val="28"/>
              </w:rPr>
            </w:pPr>
          </w:p>
        </w:tc>
        <w:tc>
          <w:tcPr>
            <w:tcW w:w="776" w:type="dxa"/>
            <w:vAlign w:val="center"/>
          </w:tcPr>
          <w:p>
            <w:pPr>
              <w:spacing w:line="300" w:lineRule="exact"/>
              <w:jc w:val="center"/>
              <w:rPr>
                <w:rFonts w:ascii="仿宋_GB2312" w:eastAsia="仿宋_GB2312" w:cs="Times New Roman"/>
                <w:b/>
                <w:sz w:val="28"/>
                <w:szCs w:val="28"/>
              </w:rPr>
            </w:pPr>
          </w:p>
        </w:tc>
        <w:tc>
          <w:tcPr>
            <w:tcW w:w="837" w:type="dxa"/>
            <w:vAlign w:val="center"/>
          </w:tcPr>
          <w:p>
            <w:pPr>
              <w:spacing w:line="300" w:lineRule="exact"/>
              <w:jc w:val="center"/>
              <w:rPr>
                <w:rFonts w:ascii="仿宋_GB2312" w:eastAsia="仿宋_GB2312" w:cs="Times New Roman"/>
                <w:b/>
                <w:sz w:val="28"/>
                <w:szCs w:val="28"/>
              </w:rPr>
            </w:pPr>
          </w:p>
        </w:tc>
        <w:tc>
          <w:tcPr>
            <w:tcW w:w="837" w:type="dxa"/>
            <w:vAlign w:val="center"/>
          </w:tcPr>
          <w:p>
            <w:pPr>
              <w:spacing w:line="300" w:lineRule="exact"/>
              <w:jc w:val="center"/>
              <w:rPr>
                <w:rFonts w:ascii="仿宋_GB2312" w:eastAsia="仿宋_GB2312" w:cs="Times New Roman"/>
                <w:b/>
                <w:sz w:val="28"/>
                <w:szCs w:val="28"/>
              </w:rPr>
            </w:pPr>
          </w:p>
        </w:tc>
        <w:tc>
          <w:tcPr>
            <w:tcW w:w="787" w:type="dxa"/>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71" w:type="dxa"/>
            <w:vAlign w:val="center"/>
          </w:tcPr>
          <w:p>
            <w:pPr>
              <w:spacing w:line="300" w:lineRule="exact"/>
              <w:jc w:val="center"/>
              <w:rPr>
                <w:rFonts w:ascii="仿宋_GB2312" w:eastAsia="仿宋_GB2312" w:cs="Times New Roman"/>
                <w:b/>
                <w:sz w:val="28"/>
                <w:szCs w:val="28"/>
              </w:rPr>
            </w:pPr>
          </w:p>
        </w:tc>
        <w:tc>
          <w:tcPr>
            <w:tcW w:w="1013" w:type="dxa"/>
            <w:vAlign w:val="center"/>
          </w:tcPr>
          <w:p>
            <w:pPr>
              <w:spacing w:line="300" w:lineRule="exact"/>
              <w:jc w:val="center"/>
              <w:rPr>
                <w:rFonts w:ascii="仿宋_GB2312" w:eastAsia="仿宋_GB2312" w:cs="Times New Roman"/>
                <w:b/>
                <w:sz w:val="28"/>
                <w:szCs w:val="28"/>
              </w:rPr>
            </w:pPr>
          </w:p>
        </w:tc>
        <w:tc>
          <w:tcPr>
            <w:tcW w:w="834" w:type="dxa"/>
            <w:vAlign w:val="center"/>
          </w:tcPr>
          <w:p>
            <w:pPr>
              <w:spacing w:line="300" w:lineRule="exact"/>
              <w:jc w:val="center"/>
              <w:rPr>
                <w:rFonts w:ascii="仿宋_GB2312" w:eastAsia="仿宋_GB2312" w:cs="Times New Roman"/>
                <w:b/>
                <w:sz w:val="28"/>
                <w:szCs w:val="28"/>
              </w:rPr>
            </w:pPr>
          </w:p>
        </w:tc>
        <w:tc>
          <w:tcPr>
            <w:tcW w:w="1327" w:type="dxa"/>
            <w:vAlign w:val="center"/>
          </w:tcPr>
          <w:p>
            <w:pPr>
              <w:spacing w:line="300" w:lineRule="exact"/>
              <w:jc w:val="center"/>
              <w:rPr>
                <w:rFonts w:ascii="仿宋_GB2312" w:eastAsia="仿宋_GB2312" w:cs="Times New Roman"/>
                <w:b/>
                <w:sz w:val="28"/>
                <w:szCs w:val="28"/>
              </w:rPr>
            </w:pPr>
          </w:p>
        </w:tc>
        <w:tc>
          <w:tcPr>
            <w:tcW w:w="834" w:type="dxa"/>
            <w:vAlign w:val="center"/>
          </w:tcPr>
          <w:p>
            <w:pPr>
              <w:spacing w:line="300" w:lineRule="exact"/>
              <w:jc w:val="center"/>
              <w:rPr>
                <w:rFonts w:ascii="仿宋_GB2312" w:eastAsia="仿宋_GB2312" w:cs="Times New Roman"/>
                <w:b/>
                <w:sz w:val="28"/>
                <w:szCs w:val="28"/>
              </w:rPr>
            </w:pPr>
          </w:p>
        </w:tc>
        <w:tc>
          <w:tcPr>
            <w:tcW w:w="834" w:type="dxa"/>
            <w:vAlign w:val="center"/>
          </w:tcPr>
          <w:p>
            <w:pPr>
              <w:spacing w:line="300" w:lineRule="exact"/>
              <w:jc w:val="center"/>
              <w:rPr>
                <w:rFonts w:ascii="仿宋_GB2312" w:eastAsia="仿宋_GB2312" w:cs="Times New Roman"/>
                <w:b/>
                <w:sz w:val="28"/>
                <w:szCs w:val="28"/>
              </w:rPr>
            </w:pPr>
          </w:p>
        </w:tc>
        <w:tc>
          <w:tcPr>
            <w:tcW w:w="856" w:type="dxa"/>
            <w:vAlign w:val="center"/>
          </w:tcPr>
          <w:p>
            <w:pPr>
              <w:spacing w:line="300" w:lineRule="exact"/>
              <w:jc w:val="center"/>
              <w:rPr>
                <w:rFonts w:ascii="仿宋_GB2312" w:eastAsia="仿宋_GB2312" w:cs="Times New Roman"/>
                <w:b/>
                <w:sz w:val="28"/>
                <w:szCs w:val="28"/>
              </w:rPr>
            </w:pPr>
          </w:p>
        </w:tc>
        <w:tc>
          <w:tcPr>
            <w:tcW w:w="853" w:type="dxa"/>
            <w:vAlign w:val="center"/>
          </w:tcPr>
          <w:p>
            <w:pPr>
              <w:spacing w:line="300" w:lineRule="exact"/>
              <w:jc w:val="center"/>
              <w:rPr>
                <w:rFonts w:ascii="仿宋_GB2312" w:eastAsia="仿宋_GB2312" w:cs="Times New Roman"/>
                <w:b/>
                <w:sz w:val="28"/>
                <w:szCs w:val="28"/>
              </w:rPr>
            </w:pPr>
          </w:p>
        </w:tc>
        <w:tc>
          <w:tcPr>
            <w:tcW w:w="853" w:type="dxa"/>
            <w:vAlign w:val="center"/>
          </w:tcPr>
          <w:p>
            <w:pPr>
              <w:spacing w:line="300" w:lineRule="exact"/>
              <w:jc w:val="center"/>
              <w:rPr>
                <w:rFonts w:ascii="仿宋_GB2312" w:eastAsia="仿宋_GB2312" w:cs="Times New Roman"/>
                <w:b/>
                <w:sz w:val="28"/>
                <w:szCs w:val="28"/>
              </w:rPr>
            </w:pPr>
          </w:p>
        </w:tc>
        <w:tc>
          <w:tcPr>
            <w:tcW w:w="853" w:type="dxa"/>
            <w:vAlign w:val="center"/>
          </w:tcPr>
          <w:p>
            <w:pPr>
              <w:spacing w:line="300" w:lineRule="exact"/>
              <w:jc w:val="center"/>
              <w:rPr>
                <w:rFonts w:ascii="仿宋_GB2312" w:eastAsia="仿宋_GB2312" w:cs="Times New Roman"/>
                <w:b/>
                <w:sz w:val="28"/>
                <w:szCs w:val="28"/>
              </w:rPr>
            </w:pPr>
          </w:p>
        </w:tc>
        <w:tc>
          <w:tcPr>
            <w:tcW w:w="776" w:type="dxa"/>
            <w:vAlign w:val="center"/>
          </w:tcPr>
          <w:p>
            <w:pPr>
              <w:spacing w:line="300" w:lineRule="exact"/>
              <w:jc w:val="center"/>
              <w:rPr>
                <w:rFonts w:ascii="仿宋_GB2312" w:eastAsia="仿宋_GB2312" w:cs="Times New Roman"/>
                <w:b/>
                <w:sz w:val="28"/>
                <w:szCs w:val="28"/>
              </w:rPr>
            </w:pPr>
          </w:p>
        </w:tc>
        <w:tc>
          <w:tcPr>
            <w:tcW w:w="837" w:type="dxa"/>
            <w:vAlign w:val="center"/>
          </w:tcPr>
          <w:p>
            <w:pPr>
              <w:spacing w:line="300" w:lineRule="exact"/>
              <w:jc w:val="center"/>
              <w:rPr>
                <w:rFonts w:ascii="仿宋_GB2312" w:eastAsia="仿宋_GB2312" w:cs="Times New Roman"/>
                <w:b/>
                <w:sz w:val="28"/>
                <w:szCs w:val="28"/>
              </w:rPr>
            </w:pPr>
          </w:p>
        </w:tc>
        <w:tc>
          <w:tcPr>
            <w:tcW w:w="837" w:type="dxa"/>
            <w:vAlign w:val="center"/>
          </w:tcPr>
          <w:p>
            <w:pPr>
              <w:spacing w:line="300" w:lineRule="exact"/>
              <w:jc w:val="center"/>
              <w:rPr>
                <w:rFonts w:ascii="仿宋_GB2312" w:eastAsia="仿宋_GB2312" w:cs="Times New Roman"/>
                <w:b/>
                <w:sz w:val="28"/>
                <w:szCs w:val="28"/>
              </w:rPr>
            </w:pPr>
          </w:p>
        </w:tc>
        <w:tc>
          <w:tcPr>
            <w:tcW w:w="787" w:type="dxa"/>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71" w:type="dxa"/>
            <w:vAlign w:val="center"/>
          </w:tcPr>
          <w:p>
            <w:pPr>
              <w:spacing w:line="300" w:lineRule="exact"/>
              <w:jc w:val="center"/>
              <w:rPr>
                <w:rFonts w:ascii="仿宋_GB2312" w:eastAsia="仿宋_GB2312" w:cs="Times New Roman"/>
                <w:sz w:val="28"/>
                <w:szCs w:val="28"/>
              </w:rPr>
            </w:pPr>
          </w:p>
        </w:tc>
        <w:tc>
          <w:tcPr>
            <w:tcW w:w="1013" w:type="dxa"/>
            <w:vAlign w:val="center"/>
          </w:tcPr>
          <w:p>
            <w:pPr>
              <w:spacing w:line="300" w:lineRule="exact"/>
              <w:jc w:val="center"/>
              <w:rPr>
                <w:rFonts w:ascii="仿宋_GB2312" w:eastAsia="仿宋_GB2312" w:cs="Times New Roman"/>
                <w:sz w:val="28"/>
                <w:szCs w:val="28"/>
              </w:rPr>
            </w:pPr>
          </w:p>
        </w:tc>
        <w:tc>
          <w:tcPr>
            <w:tcW w:w="834" w:type="dxa"/>
            <w:vAlign w:val="center"/>
          </w:tcPr>
          <w:p>
            <w:pPr>
              <w:spacing w:line="300" w:lineRule="exact"/>
              <w:jc w:val="center"/>
              <w:rPr>
                <w:rFonts w:ascii="仿宋_GB2312" w:eastAsia="仿宋_GB2312" w:cs="Times New Roman"/>
                <w:sz w:val="28"/>
                <w:szCs w:val="28"/>
              </w:rPr>
            </w:pPr>
          </w:p>
        </w:tc>
        <w:tc>
          <w:tcPr>
            <w:tcW w:w="1327" w:type="dxa"/>
            <w:vAlign w:val="center"/>
          </w:tcPr>
          <w:p>
            <w:pPr>
              <w:spacing w:line="300" w:lineRule="exact"/>
              <w:jc w:val="center"/>
              <w:rPr>
                <w:rFonts w:ascii="仿宋_GB2312" w:eastAsia="仿宋_GB2312" w:cs="Times New Roman"/>
                <w:sz w:val="28"/>
                <w:szCs w:val="28"/>
              </w:rPr>
            </w:pPr>
          </w:p>
        </w:tc>
        <w:tc>
          <w:tcPr>
            <w:tcW w:w="834" w:type="dxa"/>
            <w:vAlign w:val="center"/>
          </w:tcPr>
          <w:p>
            <w:pPr>
              <w:spacing w:line="300" w:lineRule="exact"/>
              <w:jc w:val="center"/>
              <w:rPr>
                <w:rFonts w:ascii="仿宋_GB2312" w:eastAsia="仿宋_GB2312" w:cs="Times New Roman"/>
                <w:sz w:val="28"/>
                <w:szCs w:val="28"/>
              </w:rPr>
            </w:pPr>
          </w:p>
        </w:tc>
        <w:tc>
          <w:tcPr>
            <w:tcW w:w="834" w:type="dxa"/>
            <w:vAlign w:val="center"/>
          </w:tcPr>
          <w:p>
            <w:pPr>
              <w:spacing w:line="300" w:lineRule="exact"/>
              <w:jc w:val="center"/>
              <w:rPr>
                <w:rFonts w:ascii="仿宋_GB2312" w:eastAsia="仿宋_GB2312" w:cs="Times New Roman"/>
                <w:sz w:val="28"/>
                <w:szCs w:val="28"/>
              </w:rPr>
            </w:pPr>
          </w:p>
        </w:tc>
        <w:tc>
          <w:tcPr>
            <w:tcW w:w="856" w:type="dxa"/>
            <w:vAlign w:val="center"/>
          </w:tcPr>
          <w:p>
            <w:pPr>
              <w:spacing w:line="300" w:lineRule="exact"/>
              <w:jc w:val="center"/>
              <w:rPr>
                <w:rFonts w:ascii="仿宋_GB2312" w:eastAsia="仿宋_GB2312" w:cs="Times New Roman"/>
                <w:sz w:val="28"/>
                <w:szCs w:val="28"/>
              </w:rPr>
            </w:pPr>
          </w:p>
        </w:tc>
        <w:tc>
          <w:tcPr>
            <w:tcW w:w="853" w:type="dxa"/>
            <w:vAlign w:val="center"/>
          </w:tcPr>
          <w:p>
            <w:pPr>
              <w:spacing w:line="300" w:lineRule="exact"/>
              <w:jc w:val="center"/>
              <w:rPr>
                <w:rFonts w:ascii="仿宋_GB2312" w:eastAsia="仿宋_GB2312" w:cs="Times New Roman"/>
                <w:sz w:val="28"/>
                <w:szCs w:val="28"/>
              </w:rPr>
            </w:pPr>
          </w:p>
        </w:tc>
        <w:tc>
          <w:tcPr>
            <w:tcW w:w="853" w:type="dxa"/>
            <w:vAlign w:val="center"/>
          </w:tcPr>
          <w:p>
            <w:pPr>
              <w:spacing w:line="300" w:lineRule="exact"/>
              <w:jc w:val="center"/>
              <w:rPr>
                <w:rFonts w:ascii="仿宋_GB2312" w:eastAsia="仿宋_GB2312" w:cs="Times New Roman"/>
                <w:sz w:val="28"/>
                <w:szCs w:val="28"/>
              </w:rPr>
            </w:pPr>
          </w:p>
        </w:tc>
        <w:tc>
          <w:tcPr>
            <w:tcW w:w="853" w:type="dxa"/>
            <w:vAlign w:val="center"/>
          </w:tcPr>
          <w:p>
            <w:pPr>
              <w:spacing w:line="300" w:lineRule="exact"/>
              <w:jc w:val="center"/>
              <w:rPr>
                <w:rFonts w:ascii="仿宋_GB2312" w:eastAsia="仿宋_GB2312" w:cs="Times New Roman"/>
                <w:sz w:val="28"/>
                <w:szCs w:val="28"/>
              </w:rPr>
            </w:pPr>
          </w:p>
        </w:tc>
        <w:tc>
          <w:tcPr>
            <w:tcW w:w="776" w:type="dxa"/>
            <w:vAlign w:val="center"/>
          </w:tcPr>
          <w:p>
            <w:pPr>
              <w:spacing w:line="300" w:lineRule="exact"/>
              <w:jc w:val="center"/>
              <w:rPr>
                <w:rFonts w:ascii="仿宋_GB2312" w:eastAsia="仿宋_GB2312" w:cs="Times New Roman"/>
                <w:sz w:val="28"/>
                <w:szCs w:val="28"/>
              </w:rPr>
            </w:pPr>
          </w:p>
        </w:tc>
        <w:tc>
          <w:tcPr>
            <w:tcW w:w="837" w:type="dxa"/>
            <w:vAlign w:val="center"/>
          </w:tcPr>
          <w:p>
            <w:pPr>
              <w:spacing w:line="300" w:lineRule="exact"/>
              <w:jc w:val="center"/>
              <w:rPr>
                <w:rFonts w:ascii="仿宋_GB2312" w:eastAsia="仿宋_GB2312" w:cs="Times New Roman"/>
                <w:sz w:val="28"/>
                <w:szCs w:val="28"/>
              </w:rPr>
            </w:pPr>
          </w:p>
        </w:tc>
        <w:tc>
          <w:tcPr>
            <w:tcW w:w="837" w:type="dxa"/>
            <w:vAlign w:val="center"/>
          </w:tcPr>
          <w:p>
            <w:pPr>
              <w:spacing w:line="300" w:lineRule="exact"/>
              <w:jc w:val="center"/>
              <w:rPr>
                <w:rFonts w:ascii="仿宋_GB2312" w:eastAsia="仿宋_GB2312" w:cs="Times New Roman"/>
                <w:sz w:val="28"/>
                <w:szCs w:val="28"/>
              </w:rPr>
            </w:pPr>
          </w:p>
        </w:tc>
        <w:tc>
          <w:tcPr>
            <w:tcW w:w="787" w:type="dxa"/>
            <w:vAlign w:val="center"/>
          </w:tcPr>
          <w:p>
            <w:pPr>
              <w:spacing w:line="30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71" w:type="dxa"/>
            <w:vAlign w:val="center"/>
          </w:tcPr>
          <w:p>
            <w:pPr>
              <w:spacing w:line="300" w:lineRule="exact"/>
              <w:jc w:val="center"/>
              <w:rPr>
                <w:rFonts w:ascii="仿宋_GB2312" w:eastAsia="仿宋_GB2312" w:cs="Times New Roman"/>
                <w:sz w:val="28"/>
                <w:szCs w:val="28"/>
              </w:rPr>
            </w:pPr>
          </w:p>
        </w:tc>
        <w:tc>
          <w:tcPr>
            <w:tcW w:w="1013" w:type="dxa"/>
            <w:vAlign w:val="center"/>
          </w:tcPr>
          <w:p>
            <w:pPr>
              <w:spacing w:line="300" w:lineRule="exact"/>
              <w:jc w:val="center"/>
              <w:rPr>
                <w:rFonts w:ascii="仿宋_GB2312" w:eastAsia="仿宋_GB2312" w:cs="Times New Roman"/>
                <w:sz w:val="28"/>
                <w:szCs w:val="28"/>
              </w:rPr>
            </w:pPr>
          </w:p>
        </w:tc>
        <w:tc>
          <w:tcPr>
            <w:tcW w:w="834" w:type="dxa"/>
            <w:vAlign w:val="center"/>
          </w:tcPr>
          <w:p>
            <w:pPr>
              <w:spacing w:line="300" w:lineRule="exact"/>
              <w:jc w:val="center"/>
              <w:rPr>
                <w:rFonts w:ascii="仿宋_GB2312" w:eastAsia="仿宋_GB2312" w:cs="Times New Roman"/>
                <w:sz w:val="28"/>
                <w:szCs w:val="28"/>
              </w:rPr>
            </w:pPr>
          </w:p>
        </w:tc>
        <w:tc>
          <w:tcPr>
            <w:tcW w:w="1327" w:type="dxa"/>
            <w:vAlign w:val="center"/>
          </w:tcPr>
          <w:p>
            <w:pPr>
              <w:spacing w:line="300" w:lineRule="exact"/>
              <w:jc w:val="center"/>
              <w:rPr>
                <w:rFonts w:ascii="仿宋_GB2312" w:eastAsia="仿宋_GB2312" w:cs="Times New Roman"/>
                <w:sz w:val="28"/>
                <w:szCs w:val="28"/>
              </w:rPr>
            </w:pPr>
          </w:p>
        </w:tc>
        <w:tc>
          <w:tcPr>
            <w:tcW w:w="834" w:type="dxa"/>
            <w:vAlign w:val="center"/>
          </w:tcPr>
          <w:p>
            <w:pPr>
              <w:spacing w:line="300" w:lineRule="exact"/>
              <w:jc w:val="center"/>
              <w:rPr>
                <w:rFonts w:ascii="仿宋_GB2312" w:eastAsia="仿宋_GB2312" w:cs="Times New Roman"/>
                <w:sz w:val="28"/>
                <w:szCs w:val="28"/>
              </w:rPr>
            </w:pPr>
          </w:p>
        </w:tc>
        <w:tc>
          <w:tcPr>
            <w:tcW w:w="834" w:type="dxa"/>
            <w:vAlign w:val="center"/>
          </w:tcPr>
          <w:p>
            <w:pPr>
              <w:spacing w:line="300" w:lineRule="exact"/>
              <w:jc w:val="center"/>
              <w:rPr>
                <w:rFonts w:ascii="仿宋_GB2312" w:eastAsia="仿宋_GB2312" w:cs="Times New Roman"/>
                <w:sz w:val="28"/>
                <w:szCs w:val="28"/>
              </w:rPr>
            </w:pPr>
          </w:p>
        </w:tc>
        <w:tc>
          <w:tcPr>
            <w:tcW w:w="856" w:type="dxa"/>
            <w:vAlign w:val="center"/>
          </w:tcPr>
          <w:p>
            <w:pPr>
              <w:spacing w:line="300" w:lineRule="exact"/>
              <w:jc w:val="center"/>
              <w:rPr>
                <w:rFonts w:ascii="仿宋_GB2312" w:eastAsia="仿宋_GB2312" w:cs="Times New Roman"/>
                <w:sz w:val="28"/>
                <w:szCs w:val="28"/>
              </w:rPr>
            </w:pPr>
          </w:p>
        </w:tc>
        <w:tc>
          <w:tcPr>
            <w:tcW w:w="853" w:type="dxa"/>
            <w:vAlign w:val="center"/>
          </w:tcPr>
          <w:p>
            <w:pPr>
              <w:spacing w:line="300" w:lineRule="exact"/>
              <w:jc w:val="center"/>
              <w:rPr>
                <w:rFonts w:ascii="仿宋_GB2312" w:eastAsia="仿宋_GB2312" w:cs="Times New Roman"/>
                <w:sz w:val="28"/>
                <w:szCs w:val="28"/>
              </w:rPr>
            </w:pPr>
          </w:p>
        </w:tc>
        <w:tc>
          <w:tcPr>
            <w:tcW w:w="853" w:type="dxa"/>
            <w:vAlign w:val="center"/>
          </w:tcPr>
          <w:p>
            <w:pPr>
              <w:spacing w:line="300" w:lineRule="exact"/>
              <w:jc w:val="center"/>
              <w:rPr>
                <w:rFonts w:ascii="仿宋_GB2312" w:eastAsia="仿宋_GB2312" w:cs="Times New Roman"/>
                <w:sz w:val="28"/>
                <w:szCs w:val="28"/>
              </w:rPr>
            </w:pPr>
          </w:p>
        </w:tc>
        <w:tc>
          <w:tcPr>
            <w:tcW w:w="853" w:type="dxa"/>
            <w:vAlign w:val="center"/>
          </w:tcPr>
          <w:p>
            <w:pPr>
              <w:spacing w:line="300" w:lineRule="exact"/>
              <w:jc w:val="center"/>
              <w:rPr>
                <w:rFonts w:ascii="仿宋_GB2312" w:eastAsia="仿宋_GB2312" w:cs="Times New Roman"/>
                <w:sz w:val="28"/>
                <w:szCs w:val="28"/>
              </w:rPr>
            </w:pPr>
          </w:p>
        </w:tc>
        <w:tc>
          <w:tcPr>
            <w:tcW w:w="776" w:type="dxa"/>
            <w:vAlign w:val="center"/>
          </w:tcPr>
          <w:p>
            <w:pPr>
              <w:spacing w:line="300" w:lineRule="exact"/>
              <w:jc w:val="center"/>
              <w:rPr>
                <w:rFonts w:ascii="仿宋_GB2312" w:eastAsia="仿宋_GB2312" w:cs="Times New Roman"/>
                <w:sz w:val="28"/>
                <w:szCs w:val="28"/>
              </w:rPr>
            </w:pPr>
          </w:p>
        </w:tc>
        <w:tc>
          <w:tcPr>
            <w:tcW w:w="837" w:type="dxa"/>
            <w:vAlign w:val="center"/>
          </w:tcPr>
          <w:p>
            <w:pPr>
              <w:spacing w:line="300" w:lineRule="exact"/>
              <w:jc w:val="center"/>
              <w:rPr>
                <w:rFonts w:ascii="仿宋_GB2312" w:eastAsia="仿宋_GB2312" w:cs="Times New Roman"/>
                <w:sz w:val="28"/>
                <w:szCs w:val="28"/>
              </w:rPr>
            </w:pPr>
          </w:p>
        </w:tc>
        <w:tc>
          <w:tcPr>
            <w:tcW w:w="837" w:type="dxa"/>
            <w:vAlign w:val="center"/>
          </w:tcPr>
          <w:p>
            <w:pPr>
              <w:spacing w:line="300" w:lineRule="exact"/>
              <w:jc w:val="center"/>
              <w:rPr>
                <w:rFonts w:ascii="仿宋_GB2312" w:eastAsia="仿宋_GB2312" w:cs="Times New Roman"/>
                <w:sz w:val="28"/>
                <w:szCs w:val="28"/>
              </w:rPr>
            </w:pPr>
          </w:p>
        </w:tc>
        <w:tc>
          <w:tcPr>
            <w:tcW w:w="787" w:type="dxa"/>
            <w:vAlign w:val="center"/>
          </w:tcPr>
          <w:p>
            <w:pPr>
              <w:spacing w:line="300" w:lineRule="exact"/>
              <w:jc w:val="center"/>
              <w:rPr>
                <w:rFonts w:ascii="仿宋_GB2312" w:eastAsia="仿宋_GB2312" w:cs="Times New Roman"/>
                <w:sz w:val="28"/>
                <w:szCs w:val="28"/>
              </w:rPr>
            </w:pPr>
          </w:p>
        </w:tc>
      </w:tr>
    </w:tbl>
    <w:p>
      <w:pPr>
        <w:outlineLvl w:val="0"/>
        <w:rPr>
          <w:rFonts w:ascii="仿宋_GB2312" w:eastAsia="仿宋_GB2312" w:cs="宋体"/>
          <w:color w:val="000000"/>
          <w:kern w:val="0"/>
          <w:sz w:val="32"/>
          <w:szCs w:val="32"/>
        </w:rPr>
      </w:pPr>
    </w:p>
    <w:p>
      <w:pPr>
        <w:widowControl/>
        <w:spacing w:line="360" w:lineRule="atLeast"/>
        <w:ind w:left="31680" w:hanging="161" w:hangingChars="50"/>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br w:type="page"/>
      </w:r>
      <w:r>
        <w:rPr>
          <w:rFonts w:hint="eastAsia" w:ascii="黑体" w:eastAsia="黑体" w:cs="宋体"/>
          <w:b/>
          <w:bCs/>
          <w:color w:val="000000"/>
          <w:kern w:val="0"/>
          <w:sz w:val="32"/>
          <w:szCs w:val="32"/>
        </w:rPr>
        <w:t>七、国有资产信息</w:t>
      </w:r>
      <w:r>
        <w:rPr>
          <w:rFonts w:ascii="黑体" w:eastAsia="黑体" w:cs="宋体"/>
          <w:color w:val="000000"/>
          <w:kern w:val="0"/>
          <w:sz w:val="32"/>
          <w:szCs w:val="32"/>
        </w:rPr>
        <w:br w:type="textWrapping"/>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广阳区万庄镇人民政府</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上年末固定资产金额为</w:t>
      </w:r>
      <w:r>
        <w:rPr>
          <w:rFonts w:ascii="仿宋_GB2312" w:eastAsia="仿宋_GB2312" w:cs="宋体"/>
          <w:color w:val="000000"/>
          <w:kern w:val="0"/>
          <w:sz w:val="32"/>
          <w:szCs w:val="32"/>
        </w:rPr>
        <w:t>1078.16</w:t>
      </w:r>
      <w:r>
        <w:rPr>
          <w:rFonts w:hint="eastAsia" w:ascii="仿宋_GB2312" w:eastAsia="仿宋_GB2312" w:cs="宋体"/>
          <w:color w:val="000000"/>
          <w:kern w:val="0"/>
          <w:sz w:val="32"/>
          <w:szCs w:val="32"/>
        </w:rPr>
        <w:t>万元，我部门本年度无购置固定资产，详见下表。</w:t>
      </w:r>
    </w:p>
    <w:tbl>
      <w:tblPr>
        <w:tblStyle w:val="6"/>
        <w:tblW w:w="10400" w:type="dxa"/>
        <w:jc w:val="center"/>
        <w:tblCellSpacing w:w="0" w:type="dxa"/>
        <w:tblInd w:w="0" w:type="dxa"/>
        <w:tblLayout w:type="fixed"/>
        <w:tblCellMar>
          <w:top w:w="0" w:type="dxa"/>
          <w:left w:w="0" w:type="dxa"/>
          <w:bottom w:w="0" w:type="dxa"/>
          <w:right w:w="0" w:type="dxa"/>
        </w:tblCellMar>
      </w:tblPr>
      <w:tblGrid>
        <w:gridCol w:w="4025"/>
        <w:gridCol w:w="2585"/>
        <w:gridCol w:w="3790"/>
      </w:tblGrid>
      <w:tr>
        <w:tblPrEx>
          <w:tblLayout w:type="fixed"/>
          <w:tblCellMar>
            <w:top w:w="0" w:type="dxa"/>
            <w:left w:w="0" w:type="dxa"/>
            <w:bottom w:w="0" w:type="dxa"/>
            <w:right w:w="0" w:type="dxa"/>
          </w:tblCellMar>
        </w:tblPrEx>
        <w:trPr>
          <w:trHeight w:val="705" w:hRule="atLeast"/>
          <w:tblCellSpacing w:w="0" w:type="dxa"/>
          <w:jc w:val="center"/>
        </w:trPr>
        <w:tc>
          <w:tcPr>
            <w:tcW w:w="10400" w:type="dxa"/>
            <w:gridSpan w:val="3"/>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Layout w:type="fixed"/>
          <w:tblCellMar>
            <w:top w:w="0" w:type="dxa"/>
            <w:left w:w="0" w:type="dxa"/>
            <w:bottom w:w="0" w:type="dxa"/>
            <w:right w:w="0" w:type="dxa"/>
          </w:tblCellMar>
        </w:tblPrEx>
        <w:trPr>
          <w:trHeight w:val="510" w:hRule="atLeast"/>
          <w:tblCellSpacing w:w="0" w:type="dxa"/>
          <w:jc w:val="center"/>
        </w:trPr>
        <w:tc>
          <w:tcPr>
            <w:tcW w:w="6610" w:type="dxa"/>
            <w:gridSpan w:val="2"/>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kern w:val="0"/>
                <w:sz w:val="28"/>
                <w:szCs w:val="28"/>
                <w:lang w:val="en-US" w:eastAsia="zh-CN"/>
              </w:rPr>
              <w:t>911</w:t>
            </w:r>
            <w:r>
              <w:rPr>
                <w:rFonts w:hint="eastAsia" w:ascii="仿宋_GB2312" w:eastAsia="仿宋_GB2312" w:cs="宋体"/>
                <w:b/>
                <w:bCs/>
                <w:kern w:val="0"/>
                <w:sz w:val="28"/>
                <w:szCs w:val="28"/>
              </w:rPr>
              <w:t>廊坊市广阳区万庄镇人民政府</w:t>
            </w:r>
          </w:p>
        </w:tc>
        <w:tc>
          <w:tcPr>
            <w:tcW w:w="3790" w:type="dxa"/>
            <w:vAlign w:val="center"/>
          </w:tcPr>
          <w:p>
            <w:pPr>
              <w:widowControl/>
              <w:jc w:val="center"/>
              <w:rPr>
                <w:rFonts w:ascii="宋体" w:hAnsi="宋体" w:eastAsia="仿宋_GB2312" w:cs="宋体"/>
                <w:kern w:val="0"/>
                <w:sz w:val="28"/>
                <w:szCs w:val="28"/>
              </w:rPr>
            </w:pPr>
            <w:r>
              <w:rPr>
                <w:rFonts w:hint="eastAsia" w:ascii="仿宋_GB2312" w:eastAsia="仿宋_GB2312" w:cs="宋体"/>
                <w:kern w:val="0"/>
                <w:sz w:val="28"/>
                <w:szCs w:val="28"/>
              </w:rPr>
              <w:t>截止时间：</w:t>
            </w:r>
            <w:r>
              <w:rPr>
                <w:rFonts w:ascii="仿宋_GB2312" w:eastAsia="仿宋_GB2312" w:cs="宋体"/>
                <w:kern w:val="0"/>
                <w:sz w:val="28"/>
                <w:szCs w:val="28"/>
              </w:rPr>
              <w:t>2017</w:t>
            </w:r>
            <w:r>
              <w:rPr>
                <w:rFonts w:hint="eastAsia" w:ascii="仿宋_GB2312" w:eastAsia="仿宋_GB2312" w:cs="宋体"/>
                <w:kern w:val="0"/>
                <w:sz w:val="28"/>
                <w:szCs w:val="28"/>
              </w:rPr>
              <w:t>年</w:t>
            </w:r>
            <w:r>
              <w:rPr>
                <w:rFonts w:ascii="仿宋_GB2312" w:eastAsia="仿宋_GB2312" w:cs="宋体"/>
                <w:kern w:val="0"/>
                <w:sz w:val="28"/>
                <w:szCs w:val="28"/>
              </w:rPr>
              <w:t>12</w:t>
            </w:r>
            <w:r>
              <w:rPr>
                <w:rFonts w:hint="eastAsia" w:ascii="仿宋_GB2312" w:eastAsia="仿宋_GB2312" w:cs="宋体"/>
                <w:kern w:val="0"/>
                <w:sz w:val="28"/>
                <w:szCs w:val="28"/>
              </w:rPr>
              <w:t>月</w:t>
            </w:r>
            <w:r>
              <w:rPr>
                <w:rFonts w:ascii="仿宋_GB2312" w:eastAsia="仿宋_GB2312" w:cs="宋体"/>
                <w:kern w:val="0"/>
                <w:sz w:val="28"/>
                <w:szCs w:val="28"/>
              </w:rPr>
              <w:t>31</w:t>
            </w:r>
            <w:r>
              <w:rPr>
                <w:rFonts w:hint="eastAsia" w:ascii="仿宋_GB2312" w:eastAsia="仿宋_GB2312" w:cs="宋体"/>
                <w:kern w:val="0"/>
                <w:sz w:val="28"/>
                <w:szCs w:val="28"/>
              </w:rPr>
              <w:t>日</w:t>
            </w:r>
            <w:r>
              <w:rPr>
                <w:rFonts w:ascii="宋体" w:hAnsi="宋体" w:eastAsia="仿宋_GB2312" w:cs="宋体"/>
                <w:kern w:val="0"/>
                <w:sz w:val="28"/>
                <w:szCs w:val="28"/>
              </w:rPr>
              <w:t> </w:t>
            </w:r>
          </w:p>
        </w:tc>
      </w:tr>
      <w:tr>
        <w:tblPrEx>
          <w:tblLayout w:type="fixed"/>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Layout w:type="fixed"/>
          <w:tblCellMar>
            <w:top w:w="0" w:type="dxa"/>
            <w:left w:w="0" w:type="dxa"/>
            <w:bottom w:w="0" w:type="dxa"/>
            <w:right w:w="0" w:type="dxa"/>
          </w:tblCellMar>
        </w:tblPrEx>
        <w:trPr>
          <w:trHeight w:val="567" w:hRule="exac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1078.16</w:t>
            </w:r>
          </w:p>
        </w:tc>
      </w:tr>
      <w:tr>
        <w:tblPrEx>
          <w:tblLayout w:type="fixed"/>
          <w:tblCellMar>
            <w:top w:w="0" w:type="dxa"/>
            <w:left w:w="0" w:type="dxa"/>
            <w:bottom w:w="0" w:type="dxa"/>
            <w:right w:w="0" w:type="dxa"/>
          </w:tblCellMar>
        </w:tblPrEx>
        <w:trPr>
          <w:trHeight w:val="567" w:hRule="exac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1</w:t>
            </w:r>
            <w:r>
              <w:rPr>
                <w:rFonts w:hint="eastAsia" w:ascii="仿宋_GB2312" w:eastAsia="仿宋_GB2312" w:cs="宋体"/>
                <w:kern w:val="0"/>
                <w:sz w:val="28"/>
                <w:szCs w:val="28"/>
              </w:rPr>
              <w:t>、房屋（平方米）</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15,034</w:t>
            </w:r>
          </w:p>
        </w:tc>
        <w:tc>
          <w:tcPr>
            <w:tcW w:w="37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715.68</w:t>
            </w:r>
          </w:p>
        </w:tc>
      </w:tr>
      <w:tr>
        <w:tblPrEx>
          <w:tblLayout w:type="fixed"/>
          <w:tblCellMar>
            <w:top w:w="0" w:type="dxa"/>
            <w:left w:w="0" w:type="dxa"/>
            <w:bottom w:w="0" w:type="dxa"/>
            <w:right w:w="0" w:type="dxa"/>
          </w:tblCellMar>
        </w:tblPrEx>
        <w:trPr>
          <w:trHeight w:val="567" w:hRule="exac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15,034</w:t>
            </w:r>
          </w:p>
        </w:tc>
        <w:tc>
          <w:tcPr>
            <w:tcW w:w="37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715.68</w:t>
            </w:r>
          </w:p>
        </w:tc>
      </w:tr>
      <w:tr>
        <w:tblPrEx>
          <w:tblLayout w:type="fixed"/>
          <w:tblCellMar>
            <w:top w:w="0" w:type="dxa"/>
            <w:left w:w="0" w:type="dxa"/>
            <w:bottom w:w="0" w:type="dxa"/>
            <w:right w:w="0" w:type="dxa"/>
          </w:tblCellMar>
        </w:tblPrEx>
        <w:trPr>
          <w:trHeight w:val="567" w:hRule="exac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2</w:t>
            </w:r>
            <w:r>
              <w:rPr>
                <w:rFonts w:hint="eastAsia" w:ascii="仿宋_GB2312" w:eastAsia="仿宋_GB2312" w:cs="宋体"/>
                <w:kern w:val="0"/>
                <w:sz w:val="28"/>
                <w:szCs w:val="28"/>
              </w:rPr>
              <w:t>、车辆（台、辆）</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2</w:t>
            </w:r>
          </w:p>
        </w:tc>
        <w:tc>
          <w:tcPr>
            <w:tcW w:w="37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178.27</w:t>
            </w:r>
          </w:p>
        </w:tc>
      </w:tr>
      <w:tr>
        <w:tblPrEx>
          <w:tblLayout w:type="fixed"/>
          <w:tblCellMar>
            <w:top w:w="0" w:type="dxa"/>
            <w:left w:w="0" w:type="dxa"/>
            <w:bottom w:w="0" w:type="dxa"/>
            <w:right w:w="0" w:type="dxa"/>
          </w:tblCellMar>
        </w:tblPrEx>
        <w:trPr>
          <w:trHeight w:val="567" w:hRule="exac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其中：轿车</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2</w:t>
            </w:r>
          </w:p>
        </w:tc>
        <w:tc>
          <w:tcPr>
            <w:tcW w:w="37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29.37</w:t>
            </w:r>
          </w:p>
        </w:tc>
      </w:tr>
      <w:tr>
        <w:tblPrEx>
          <w:tblLayout w:type="fixed"/>
          <w:tblCellMar>
            <w:top w:w="0" w:type="dxa"/>
            <w:left w:w="0" w:type="dxa"/>
            <w:bottom w:w="0" w:type="dxa"/>
            <w:right w:w="0" w:type="dxa"/>
          </w:tblCellMar>
        </w:tblPrEx>
        <w:trPr>
          <w:trHeight w:val="567" w:hRule="exac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 xml:space="preserve">        </w:t>
            </w:r>
            <w:r>
              <w:rPr>
                <w:rFonts w:hint="eastAsia" w:ascii="仿宋_GB2312" w:eastAsia="仿宋_GB2312" w:cs="宋体"/>
                <w:kern w:val="0"/>
                <w:sz w:val="28"/>
                <w:szCs w:val="28"/>
              </w:rPr>
              <w:t>其他车辆</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11</w:t>
            </w:r>
          </w:p>
        </w:tc>
        <w:tc>
          <w:tcPr>
            <w:tcW w:w="37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148.9</w:t>
            </w:r>
          </w:p>
        </w:tc>
      </w:tr>
      <w:tr>
        <w:tblPrEx>
          <w:tblLayout w:type="fixed"/>
          <w:tblCellMar>
            <w:top w:w="0" w:type="dxa"/>
            <w:left w:w="0" w:type="dxa"/>
            <w:bottom w:w="0" w:type="dxa"/>
            <w:right w:w="0" w:type="dxa"/>
          </w:tblCellMar>
        </w:tblPrEx>
        <w:trPr>
          <w:trHeight w:val="567" w:hRule="exac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3</w:t>
            </w:r>
            <w:r>
              <w:rPr>
                <w:rFonts w:hint="eastAsia" w:ascii="仿宋_GB2312" w:eastAsia="仿宋_GB2312" w:cs="宋体"/>
                <w:kern w:val="0"/>
                <w:sz w:val="28"/>
                <w:szCs w:val="28"/>
              </w:rPr>
              <w:t>、单价在</w:t>
            </w:r>
            <w:r>
              <w:rPr>
                <w:rFonts w:ascii="仿宋_GB2312" w:eastAsia="仿宋_GB2312" w:cs="宋体"/>
                <w:kern w:val="0"/>
                <w:sz w:val="28"/>
                <w:szCs w:val="28"/>
              </w:rPr>
              <w:t>50</w:t>
            </w:r>
            <w:r>
              <w:rPr>
                <w:rFonts w:hint="eastAsia" w:ascii="仿宋_GB2312" w:eastAsia="仿宋_GB2312" w:cs="宋体"/>
                <w:kern w:val="0"/>
                <w:sz w:val="28"/>
                <w:szCs w:val="28"/>
              </w:rPr>
              <w:t>万元以上的设备</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p>
        </w:tc>
      </w:tr>
      <w:tr>
        <w:tblPrEx>
          <w:tblLayout w:type="fixed"/>
          <w:tblCellMar>
            <w:top w:w="0" w:type="dxa"/>
            <w:left w:w="0" w:type="dxa"/>
            <w:bottom w:w="0" w:type="dxa"/>
            <w:right w:w="0" w:type="dxa"/>
          </w:tblCellMar>
        </w:tblPrEx>
        <w:trPr>
          <w:trHeight w:val="567" w:hRule="exac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4</w:t>
            </w:r>
            <w:r>
              <w:rPr>
                <w:rFonts w:hint="eastAsia" w:ascii="仿宋_GB2312" w:eastAsia="仿宋_GB2312" w:cs="宋体"/>
                <w:kern w:val="0"/>
                <w:sz w:val="28"/>
                <w:szCs w:val="28"/>
              </w:rPr>
              <w:t>、其他固定资产</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184.21</w:t>
            </w:r>
          </w:p>
        </w:tc>
      </w:tr>
    </w:tbl>
    <w:p>
      <w:pPr>
        <w:widowControl/>
        <w:spacing w:line="360" w:lineRule="atLeast"/>
        <w:ind w:left="31680" w:hanging="160" w:hangingChars="50"/>
        <w:jc w:val="left"/>
        <w:rPr>
          <w:rFonts w:ascii="仿宋_GB2312" w:eastAsia="仿宋_GB2312" w:cs="宋体"/>
          <w:color w:val="000000"/>
          <w:kern w:val="0"/>
          <w:sz w:val="32"/>
          <w:szCs w:val="32"/>
        </w:rPr>
      </w:pPr>
    </w:p>
    <w:p>
      <w:pPr>
        <w:pStyle w:val="9"/>
        <w:rPr>
          <w:rFonts w:ascii="仿宋_GB2312" w:eastAsia="仿宋_GB2312"/>
          <w:b/>
          <w:bCs/>
          <w:sz w:val="32"/>
          <w:szCs w:val="32"/>
        </w:rPr>
      </w:pPr>
      <w:r>
        <w:rPr>
          <w:rFonts w:hint="eastAsia" w:ascii="黑体" w:eastAsia="黑体" w:cs="宋体"/>
          <w:b/>
          <w:bCs/>
          <w:sz w:val="32"/>
          <w:szCs w:val="32"/>
        </w:rPr>
        <w:t>八、名词解释</w:t>
      </w:r>
      <w:r>
        <w:rPr>
          <w:rFonts w:ascii="黑体" w:eastAsia="黑体" w:cs="宋体"/>
          <w:sz w:val="32"/>
          <w:szCs w:val="32"/>
        </w:rPr>
        <w:br w:type="textWrapping"/>
      </w:r>
      <w:r>
        <w:rPr>
          <w:b/>
          <w:bCs/>
          <w:sz w:val="32"/>
          <w:szCs w:val="32"/>
        </w:rPr>
        <w:t xml:space="preserve">    </w:t>
      </w:r>
      <w:r>
        <w:rPr>
          <w:rFonts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9"/>
        <w:rPr>
          <w:rFonts w:ascii="仿宋_GB2312" w:eastAsia="仿宋_GB2312" w:cs="FZFangSong-Z02"/>
          <w:sz w:val="32"/>
          <w:szCs w:val="32"/>
        </w:rPr>
      </w:pPr>
      <w:r>
        <w:rPr>
          <w:rFonts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9"/>
        <w:rPr>
          <w:rFonts w:ascii="仿宋_GB2312" w:eastAsia="仿宋_GB2312" w:cs="FZFangSong-Z02"/>
          <w:sz w:val="32"/>
          <w:szCs w:val="32"/>
        </w:rPr>
      </w:pPr>
      <w:r>
        <w:rPr>
          <w:rFonts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9"/>
        <w:rPr>
          <w:rFonts w:ascii="仿宋_GB2312" w:eastAsia="仿宋_GB2312" w:cs="FZFangSong-Z02"/>
          <w:sz w:val="32"/>
          <w:szCs w:val="32"/>
        </w:rPr>
      </w:pPr>
      <w:r>
        <w:rPr>
          <w:rFonts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9"/>
        <w:rPr>
          <w:rFonts w:ascii="仿宋_GB2312" w:eastAsia="仿宋_GB2312"/>
          <w:sz w:val="32"/>
          <w:szCs w:val="32"/>
        </w:rPr>
      </w:pPr>
      <w:r>
        <w:rPr>
          <w:rFonts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9"/>
        <w:rPr>
          <w:rFonts w:ascii="仿宋_GB2312" w:eastAsia="仿宋_GB2312" w:cs="FZFangSong-Z02"/>
          <w:sz w:val="32"/>
          <w:szCs w:val="32"/>
        </w:rPr>
      </w:pPr>
      <w:r>
        <w:rPr>
          <w:rFonts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rPr>
        <w:t>九、其他需要说明的事项</w:t>
      </w:r>
      <w:r>
        <w:rPr>
          <w:rFonts w:ascii="黑体" w:eastAsia="黑体" w:cs="宋体"/>
          <w:color w:val="000000"/>
          <w:kern w:val="0"/>
          <w:sz w:val="32"/>
          <w:szCs w:val="32"/>
        </w:rPr>
        <w:br w:type="textWrapping"/>
      </w:r>
      <w:r>
        <w:rPr>
          <w:rFonts w:hint="eastAsia" w:ascii="仿宋_GB2312" w:eastAsia="仿宋_GB2312" w:cs="宋体"/>
          <w:color w:val="000000"/>
          <w:kern w:val="0"/>
          <w:sz w:val="32"/>
          <w:szCs w:val="32"/>
        </w:rPr>
        <w:t>无其他需要说明的事项。</w:t>
      </w:r>
      <w:r>
        <w:rPr>
          <w:rFonts w:ascii="仿宋_GB2312" w:eastAsia="仿宋_GB2312" w:cs="宋体"/>
          <w:color w:val="000000"/>
          <w:kern w:val="0"/>
          <w:sz w:val="32"/>
          <w:szCs w:val="32"/>
        </w:rPr>
        <w:br w:type="textWrapping"/>
      </w:r>
      <w:r>
        <w:rPr>
          <w:rFonts w:ascii="宋体" w:hAnsi="宋体" w:eastAsia="仿宋_GB2312" w:cs="宋体"/>
          <w:color w:val="000000"/>
          <w:kern w:val="0"/>
          <w:sz w:val="32"/>
          <w:szCs w:val="32"/>
        </w:rPr>
        <w:t> </w:t>
      </w:r>
    </w:p>
    <w:p>
      <w:pPr>
        <w:rPr>
          <w:rFonts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FZFangSong-Z02">
    <w:altName w:val="Arial"/>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BA1474"/>
    <w:multiLevelType w:val="multilevel"/>
    <w:tmpl w:val="AFBA1474"/>
    <w:lvl w:ilvl="0" w:tentative="0">
      <w:start w:val="1"/>
      <w:numFmt w:val="chineseCountingThousand"/>
      <w:lvlText w:val="%1、"/>
      <w:lvlJc w:val="left"/>
      <w:pPr>
        <w:tabs>
          <w:tab w:val="left" w:pos="647"/>
        </w:tabs>
        <w:ind w:left="647" w:hanging="647"/>
      </w:pPr>
      <w:rPr>
        <w:rFonts w:hint="default" w:ascii="黑体" w:hAnsi="黑体" w:eastAsia="黑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324"/>
    <w:rsid w:val="00034324"/>
    <w:rsid w:val="0007024E"/>
    <w:rsid w:val="000B4042"/>
    <w:rsid w:val="000E5B6E"/>
    <w:rsid w:val="00155ECC"/>
    <w:rsid w:val="00190E47"/>
    <w:rsid w:val="00245D65"/>
    <w:rsid w:val="002535B6"/>
    <w:rsid w:val="00317FF6"/>
    <w:rsid w:val="0034659F"/>
    <w:rsid w:val="003608EA"/>
    <w:rsid w:val="0037065B"/>
    <w:rsid w:val="003A65C7"/>
    <w:rsid w:val="003D4C0F"/>
    <w:rsid w:val="004536A7"/>
    <w:rsid w:val="00457784"/>
    <w:rsid w:val="004A79F7"/>
    <w:rsid w:val="004C7C96"/>
    <w:rsid w:val="004F6BBA"/>
    <w:rsid w:val="005137DC"/>
    <w:rsid w:val="00536DB9"/>
    <w:rsid w:val="0055466B"/>
    <w:rsid w:val="00583D4C"/>
    <w:rsid w:val="005F3B6D"/>
    <w:rsid w:val="005F5B53"/>
    <w:rsid w:val="00714FA7"/>
    <w:rsid w:val="0071700F"/>
    <w:rsid w:val="00773291"/>
    <w:rsid w:val="0077783C"/>
    <w:rsid w:val="007C44C0"/>
    <w:rsid w:val="007D0BEB"/>
    <w:rsid w:val="00831009"/>
    <w:rsid w:val="00844821"/>
    <w:rsid w:val="00913693"/>
    <w:rsid w:val="009440AE"/>
    <w:rsid w:val="009921ED"/>
    <w:rsid w:val="009F0816"/>
    <w:rsid w:val="00A562B4"/>
    <w:rsid w:val="00AB1BA9"/>
    <w:rsid w:val="00AF7D14"/>
    <w:rsid w:val="00BC366E"/>
    <w:rsid w:val="00BD60F0"/>
    <w:rsid w:val="00C154FF"/>
    <w:rsid w:val="00CE5AB2"/>
    <w:rsid w:val="00D525A7"/>
    <w:rsid w:val="00DF0068"/>
    <w:rsid w:val="00E46EDB"/>
    <w:rsid w:val="00E56B8C"/>
    <w:rsid w:val="00E74B2B"/>
    <w:rsid w:val="00E9088D"/>
    <w:rsid w:val="00EA141B"/>
    <w:rsid w:val="00ED18FE"/>
    <w:rsid w:val="00F30D23"/>
    <w:rsid w:val="00F937A3"/>
    <w:rsid w:val="00FA52AE"/>
    <w:rsid w:val="141A2727"/>
    <w:rsid w:val="1A4E55F4"/>
    <w:rsid w:val="2C125F7D"/>
    <w:rsid w:val="727C6E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99"/>
    <w:rPr>
      <w:rFonts w:cs="Times New Roman"/>
      <w:b/>
      <w:bCs/>
    </w:rPr>
  </w:style>
  <w:style w:type="character" w:customStyle="1" w:styleId="7">
    <w:name w:val="Header Char"/>
    <w:basedOn w:val="4"/>
    <w:link w:val="3"/>
    <w:semiHidden/>
    <w:qFormat/>
    <w:locked/>
    <w:uiPriority w:val="99"/>
    <w:rPr>
      <w:rFonts w:ascii="Calibri" w:hAnsi="Calibri" w:cs="Arial"/>
      <w:sz w:val="18"/>
      <w:szCs w:val="18"/>
    </w:rPr>
  </w:style>
  <w:style w:type="character" w:customStyle="1" w:styleId="8">
    <w:name w:val="Footer Char"/>
    <w:basedOn w:val="4"/>
    <w:link w:val="2"/>
    <w:semiHidden/>
    <w:qFormat/>
    <w:locked/>
    <w:uiPriority w:val="99"/>
    <w:rPr>
      <w:rFonts w:ascii="Calibri" w:hAnsi="Calibri" w:cs="Arial"/>
      <w:sz w:val="18"/>
      <w:szCs w:val="18"/>
    </w:rPr>
  </w:style>
  <w:style w:type="paragraph" w:customStyle="1" w:styleId="9">
    <w:name w:val="Default"/>
    <w:next w:val="3"/>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19</Pages>
  <Words>1312</Words>
  <Characters>7485</Characters>
  <Lines>0</Lines>
  <Paragraphs>0</Paragraphs>
  <TotalTime>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2017-10-27T09:23:00Z</dcterms:created>
  <dc:creator>lenovo</dc:creator>
  <cp:lastModifiedBy>lenovo</cp:lastModifiedBy>
  <dcterms:modified xsi:type="dcterms:W3CDTF">2018-02-15T09:33:56Z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