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w:t>
      </w:r>
      <w:r>
        <w:rPr>
          <w:rFonts w:ascii="方正小标宋简体" w:eastAsia="方正小标宋简体" w:cs="宋体"/>
          <w:b/>
          <w:bCs/>
          <w:color w:val="000000"/>
          <w:kern w:val="0"/>
          <w:sz w:val="44"/>
          <w:szCs w:val="44"/>
        </w:rPr>
        <w:t>审计局</w:t>
      </w:r>
      <w:r>
        <w:rPr>
          <w:rFonts w:hint="eastAsia" w:ascii="方正小标宋简体" w:eastAsia="方正小标宋简体" w:cs="宋体"/>
          <w:b/>
          <w:bCs/>
          <w:color w:val="000000"/>
          <w:kern w:val="0"/>
          <w:sz w:val="44"/>
          <w:szCs w:val="44"/>
        </w:rPr>
        <w:t>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审计局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Times New Roman"/>
          <w:kern w:val="2"/>
          <w:sz w:val="32"/>
          <w:szCs w:val="32"/>
          <w:lang w:val="en-US" w:eastAsia="zh-CN"/>
        </w:rPr>
      </w:pPr>
      <w:r>
        <w:rPr>
          <w:rFonts w:hint="eastAsia" w:ascii="黑体" w:eastAsia="黑体" w:cs="宋体"/>
          <w:b/>
          <w:bCs/>
          <w:color w:val="000000"/>
          <w:kern w:val="0"/>
          <w:sz w:val="32"/>
          <w:szCs w:val="32"/>
        </w:rPr>
        <w:t xml:space="preserve">部门职责及机构设置情况   </w:t>
      </w:r>
    </w:p>
    <w:p>
      <w:pPr>
        <w:widowControl/>
        <w:spacing w:line="570" w:lineRule="exact"/>
        <w:ind w:firstLine="643" w:firstLineChars="200"/>
        <w:jc w:val="left"/>
        <w:rPr>
          <w:rFonts w:ascii="仿宋_GB2312" w:eastAsia="仿宋_GB2312" w:cs="Times New Roman"/>
          <w:kern w:val="2"/>
          <w:sz w:val="32"/>
          <w:szCs w:val="32"/>
          <w:lang w:val="en-US" w:eastAsia="zh-CN"/>
        </w:rPr>
      </w:pPr>
      <w:r>
        <w:rPr>
          <w:rFonts w:hint="eastAsia" w:ascii="仿宋_GB2312" w:eastAsia="仿宋_GB2312" w:cs="宋体"/>
          <w:b/>
          <w:bCs/>
          <w:color w:val="000000"/>
          <w:kern w:val="0"/>
          <w:sz w:val="32"/>
          <w:szCs w:val="32"/>
        </w:rPr>
        <w:t>部门职责：</w:t>
      </w:r>
      <w:r>
        <w:rPr>
          <w:rFonts w:hint="eastAsia" w:ascii="仿宋_GB2312" w:eastAsia="仿宋_GB2312" w:cs="Times New Roman"/>
          <w:kern w:val="2"/>
          <w:sz w:val="32"/>
          <w:szCs w:val="32"/>
          <w:lang w:val="en-US" w:eastAsia="zh-CN"/>
        </w:rPr>
        <w:t>广阳区审计局是区政府依法行使审计监督权的行政机关。主要职责是：编制全区年度审计工作计划，确定年度工作重点；制定审计规章制度并监督执行情况。向区政府报告和向区政府有关部门通报审计情况，提出制定和完善有关政策法规、工作措施的建议。依据《中华人民共和国审计法》及《中华人民共和国审计法实施条例》规定，直接进行下列审计：1、区本级财政预算执行情况和其他财政收支。2、区直各部门、事业单位及下属单位的财务收支。3、乡（镇）人民政府预算执行情况和决算。4、区政府部门和乡（镇）人民政府预算外财政收支。5、区属地方金融、保险机构及分支机构的资产、负债和损益状况；上级审计机关安排的国有金融机构，非银行金融机构资产、负债和损益状况。6、区政府管理的和受区政府委托由社会团体管理的社会保障基金、环境保护资金、社会捐赠资金及其它有关基金、资金的财务收支。7、上级审计机关授权的国际组织和外国政府援助、贷款项目的财务收支。8、区属境外企业、合资合作企业的资产、负债和损益状况。9、区属国有企业、国有控股企业的资产、负债和损益状况。10、对政府投资和以政府投资为主的建设项目的预算或概算执行情况和决算。11、其它法律法规规定的审计事项。</w:t>
      </w:r>
    </w:p>
    <w:p>
      <w:pPr>
        <w:widowControl/>
        <w:spacing w:line="570" w:lineRule="exact"/>
        <w:ind w:left="640" w:leftChars="228" w:hanging="161" w:hangingChars="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6"/>
        <w:tblW w:w="1230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86"/>
        <w:gridCol w:w="2077"/>
        <w:gridCol w:w="1793"/>
        <w:gridCol w:w="42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283" w:hRule="atLeast"/>
          <w:tblHeader/>
          <w:tblCellSpacing w:w="0" w:type="dxa"/>
        </w:trPr>
        <w:tc>
          <w:tcPr>
            <w:tcW w:w="41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9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4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25" w:hRule="atLeast"/>
          <w:tblCellSpacing w:w="0" w:type="dxa"/>
        </w:trPr>
        <w:tc>
          <w:tcPr>
            <w:tcW w:w="41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ascii="仿宋_GB2312" w:eastAsia="仿宋_GB2312" w:cs="宋体"/>
                <w:kern w:val="0"/>
                <w:sz w:val="32"/>
                <w:szCs w:val="32"/>
              </w:rPr>
              <w:t>审计局</w:t>
            </w:r>
          </w:p>
        </w:tc>
        <w:tc>
          <w:tcPr>
            <w:tcW w:w="207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9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正科级</w:t>
            </w:r>
          </w:p>
        </w:tc>
        <w:tc>
          <w:tcPr>
            <w:tcW w:w="424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审计局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341.42</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341.42</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hint="eastAsia" w:ascii="仿宋_GB2312" w:eastAsia="仿宋_GB2312" w:cs="宋体"/>
          <w:color w:val="000000"/>
          <w:kern w:val="0"/>
          <w:sz w:val="32"/>
          <w:szCs w:val="32"/>
          <w:lang w:eastAsia="zh-CN"/>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lang w:val="en-US" w:eastAsia="zh-CN"/>
        </w:rPr>
        <w:t>2018年度</w:t>
      </w:r>
      <w:r>
        <w:rPr>
          <w:rFonts w:ascii="仿宋_GB2312" w:eastAsia="仿宋_GB2312" w:cs="宋体"/>
          <w:color w:val="000000"/>
          <w:kern w:val="0"/>
          <w:sz w:val="32"/>
          <w:szCs w:val="32"/>
        </w:rPr>
        <w:t>廊坊市广阳区审计局年度部门预算中支出预算的总体情况。2018年支出预算341.42万元，其中基本支出331.42万元，包括人员经费</w:t>
      </w:r>
      <w:r>
        <w:rPr>
          <w:rFonts w:hint="eastAsia" w:ascii="仿宋_GB2312" w:eastAsia="仿宋_GB2312" w:cs="宋体"/>
          <w:color w:val="000000"/>
          <w:kern w:val="0"/>
          <w:sz w:val="32"/>
          <w:szCs w:val="32"/>
          <w:lang w:val="en-US" w:eastAsia="zh-CN"/>
        </w:rPr>
        <w:t>304.07万元</w:t>
      </w:r>
      <w:r>
        <w:rPr>
          <w:rFonts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27.35万元</w:t>
      </w:r>
      <w:r>
        <w:rPr>
          <w:rFonts w:ascii="仿宋_GB2312" w:eastAsia="仿宋_GB2312" w:cs="宋体"/>
          <w:color w:val="000000"/>
          <w:kern w:val="0"/>
          <w:sz w:val="32"/>
          <w:szCs w:val="32"/>
        </w:rPr>
        <w:t>；项目支出10万元</w:t>
      </w:r>
      <w:r>
        <w:rPr>
          <w:rFonts w:hint="eastAsia" w:ascii="仿宋_GB2312" w:eastAsia="仿宋_GB2312" w:cs="宋体"/>
          <w:color w:val="000000"/>
          <w:kern w:val="0"/>
          <w:sz w:val="32"/>
          <w:szCs w:val="32"/>
          <w:lang w:eastAsia="zh-CN"/>
        </w:rPr>
        <w:t>，主要为审计业务费。</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341.42</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w:t>
      </w:r>
      <w:r>
        <w:rPr>
          <w:rFonts w:ascii="仿宋_GB2312" w:eastAsia="仿宋_GB2312" w:cs="宋体"/>
          <w:color w:val="000000"/>
          <w:kern w:val="0"/>
          <w:sz w:val="32"/>
          <w:szCs w:val="32"/>
        </w:rPr>
        <w:t>增加61.62</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增加51.62</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主要为增加人员经费支出</w:t>
      </w:r>
      <w:r>
        <w:rPr>
          <w:rFonts w:hint="eastAsia" w:ascii="仿宋_GB2312" w:eastAsia="仿宋_GB2312" w:cs="宋体"/>
          <w:color w:val="000000"/>
          <w:kern w:val="0"/>
          <w:sz w:val="32"/>
          <w:szCs w:val="32"/>
        </w:rPr>
        <w:t>；项目支出</w:t>
      </w:r>
      <w:r>
        <w:rPr>
          <w:rFonts w:ascii="仿宋_GB2312" w:eastAsia="仿宋_GB2312" w:cs="宋体"/>
          <w:color w:val="000000"/>
          <w:kern w:val="0"/>
          <w:sz w:val="32"/>
          <w:szCs w:val="32"/>
        </w:rPr>
        <w:t>增加10</w:t>
      </w:r>
      <w:r>
        <w:rPr>
          <w:rFonts w:hint="eastAsia" w:ascii="仿宋_GB2312" w:eastAsia="仿宋_GB2312" w:cs="宋体"/>
          <w:color w:val="000000"/>
          <w:kern w:val="0"/>
          <w:sz w:val="32"/>
          <w:szCs w:val="32"/>
        </w:rPr>
        <w:t>万元，主要</w:t>
      </w:r>
      <w:r>
        <w:rPr>
          <w:rFonts w:ascii="仿宋_GB2312" w:eastAsia="仿宋_GB2312" w:cs="宋体"/>
          <w:color w:val="000000"/>
          <w:kern w:val="0"/>
          <w:sz w:val="32"/>
          <w:szCs w:val="32"/>
        </w:rPr>
        <w:t>增加审计业务费支出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1.07</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1.07</w:t>
      </w:r>
      <w:r>
        <w:rPr>
          <w:rFonts w:hint="eastAsia" w:ascii="仿宋_GB2312" w:eastAsia="仿宋_GB2312" w:cs="宋体"/>
          <w:color w:val="000000"/>
          <w:kern w:val="0"/>
          <w:sz w:val="32"/>
          <w:szCs w:val="32"/>
        </w:rPr>
        <w:t>万元，其他业务费</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Times New Roman"/>
          <w:sz w:val="32"/>
          <w:szCs w:val="32"/>
        </w:rPr>
        <w:t>201</w:t>
      </w:r>
      <w:r>
        <w:rPr>
          <w:rFonts w:ascii="仿宋_GB2312" w:eastAsia="仿宋_GB2312" w:cs="Times New Roman"/>
          <w:sz w:val="32"/>
          <w:szCs w:val="32"/>
        </w:rPr>
        <w:t>8</w:t>
      </w:r>
      <w:r>
        <w:rPr>
          <w:rFonts w:hint="eastAsia" w:ascii="仿宋_GB2312" w:eastAsia="仿宋_GB2312" w:cs="Times New Roman"/>
          <w:sz w:val="32"/>
          <w:szCs w:val="32"/>
        </w:rPr>
        <w:t>年，我局“三公”经费预算安排</w:t>
      </w:r>
      <w:r>
        <w:rPr>
          <w:rFonts w:ascii="仿宋_GB2312" w:eastAsia="仿宋_GB2312" w:cs="Times New Roman"/>
          <w:sz w:val="32"/>
          <w:szCs w:val="32"/>
        </w:rPr>
        <w:t>2.3</w:t>
      </w:r>
      <w:r>
        <w:rPr>
          <w:rFonts w:hint="eastAsia" w:ascii="仿宋_GB2312" w:eastAsia="仿宋_GB2312" w:cs="Times New Roman"/>
          <w:sz w:val="32"/>
          <w:szCs w:val="32"/>
        </w:rPr>
        <w:t>万元，其中因公出国（境）费</w:t>
      </w:r>
      <w:r>
        <w:rPr>
          <w:rFonts w:ascii="仿宋_GB2312" w:eastAsia="仿宋_GB2312" w:cs="Times New Roman"/>
          <w:sz w:val="32"/>
          <w:szCs w:val="32"/>
        </w:rPr>
        <w:t>0</w:t>
      </w:r>
      <w:r>
        <w:rPr>
          <w:rFonts w:hint="eastAsia" w:ascii="仿宋_GB2312" w:eastAsia="仿宋_GB2312" w:cs="Times New Roman"/>
          <w:sz w:val="32"/>
          <w:szCs w:val="32"/>
        </w:rPr>
        <w:t>万元；公务用车购置及运维费</w:t>
      </w:r>
      <w:r>
        <w:rPr>
          <w:rFonts w:ascii="仿宋_GB2312" w:eastAsia="仿宋_GB2312" w:cs="Times New Roman"/>
          <w:sz w:val="32"/>
          <w:szCs w:val="32"/>
        </w:rPr>
        <w:t>2.3</w:t>
      </w:r>
      <w:r>
        <w:rPr>
          <w:rFonts w:hint="eastAsia" w:ascii="仿宋_GB2312" w:eastAsia="仿宋_GB2312" w:cs="Times New Roman"/>
          <w:sz w:val="32"/>
          <w:szCs w:val="32"/>
        </w:rPr>
        <w:t>万元（其中：公务用车购置费为</w:t>
      </w:r>
      <w:r>
        <w:rPr>
          <w:rFonts w:ascii="仿宋_GB2312" w:eastAsia="仿宋_GB2312" w:cs="Times New Roman"/>
          <w:sz w:val="32"/>
          <w:szCs w:val="32"/>
        </w:rPr>
        <w:t>0万元</w:t>
      </w:r>
      <w:r>
        <w:rPr>
          <w:rFonts w:hint="eastAsia" w:ascii="仿宋_GB2312" w:eastAsia="仿宋_GB2312" w:cs="Times New Roman"/>
          <w:sz w:val="32"/>
          <w:szCs w:val="32"/>
        </w:rPr>
        <w:t>，公务用车运行费</w:t>
      </w:r>
      <w:r>
        <w:rPr>
          <w:rFonts w:ascii="仿宋_GB2312" w:eastAsia="仿宋_GB2312" w:cs="Times New Roman"/>
          <w:sz w:val="32"/>
          <w:szCs w:val="32"/>
        </w:rPr>
        <w:t>2.3</w:t>
      </w:r>
      <w:r>
        <w:rPr>
          <w:rFonts w:hint="eastAsia" w:ascii="仿宋_GB2312" w:eastAsia="仿宋_GB2312" w:cs="Times New Roman"/>
          <w:sz w:val="32"/>
          <w:szCs w:val="32"/>
        </w:rPr>
        <w:t>万元)；公务接待费</w:t>
      </w:r>
      <w:r>
        <w:rPr>
          <w:rFonts w:ascii="仿宋_GB2312" w:eastAsia="仿宋_GB2312" w:cs="Times New Roman"/>
          <w:sz w:val="32"/>
          <w:szCs w:val="32"/>
        </w:rPr>
        <w:t>0</w:t>
      </w:r>
      <w:r>
        <w:rPr>
          <w:rFonts w:hint="eastAsia" w:ascii="仿宋_GB2312" w:eastAsia="仿宋_GB2312" w:cs="Times New Roman"/>
          <w:sz w:val="32"/>
          <w:szCs w:val="32"/>
        </w:rPr>
        <w:t>万元。</w:t>
      </w:r>
      <w:r>
        <w:rPr>
          <w:rFonts w:ascii="仿宋_GB2312" w:eastAsia="仿宋_GB2312" w:cs="Times New Roman"/>
          <w:sz w:val="32"/>
          <w:szCs w:val="32"/>
        </w:rPr>
        <w:t>比</w:t>
      </w:r>
      <w:r>
        <w:rPr>
          <w:rFonts w:hint="eastAsia" w:ascii="仿宋_GB2312" w:eastAsia="仿宋_GB2312" w:cs="Times New Roman"/>
          <w:sz w:val="32"/>
          <w:szCs w:val="32"/>
        </w:rPr>
        <w:t>201</w:t>
      </w:r>
      <w:r>
        <w:rPr>
          <w:rFonts w:ascii="仿宋_GB2312" w:eastAsia="仿宋_GB2312" w:cs="Times New Roman"/>
          <w:sz w:val="32"/>
          <w:szCs w:val="32"/>
        </w:rPr>
        <w:t>7</w:t>
      </w:r>
      <w:r>
        <w:rPr>
          <w:rFonts w:hint="eastAsia" w:ascii="仿宋_GB2312" w:eastAsia="仿宋_GB2312" w:cs="Times New Roman"/>
          <w:sz w:val="32"/>
          <w:szCs w:val="32"/>
        </w:rPr>
        <w:t>年增加2.3万元，主要原因是</w:t>
      </w:r>
      <w:r>
        <w:rPr>
          <w:rFonts w:ascii="仿宋_GB2312" w:eastAsia="仿宋_GB2312" w:cs="宋体"/>
          <w:color w:val="000000"/>
          <w:kern w:val="0"/>
          <w:sz w:val="32"/>
          <w:szCs w:val="32"/>
        </w:rPr>
        <w:t>公务用车运行所需费用增加。</w:t>
      </w:r>
    </w:p>
    <w:p>
      <w:pPr>
        <w:autoSpaceDE w:val="0"/>
        <w:autoSpaceDN w:val="0"/>
        <w:adjustRightInd w:val="0"/>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Times New Roman"/>
          <w:kern w:val="2"/>
          <w:sz w:val="32"/>
          <w:szCs w:val="32"/>
          <w:lang w:val="en-US" w:eastAsia="zh-CN"/>
        </w:rPr>
        <w:t>牢记使命，全力推动审计质量得到新提高在有序开展各项审计项目的同时，我局响应市局号召，围绕“三比、三看”（比审计质量，看工作绩效；比科室管理，看工作秩序；比文明形象，看工作氛围）扎实开展“提质提效、文明服务” 创建竞赛活动。促进机关作风明显好转，审计程序更加规范，项目质量迅速提升，审计职能得到充分发挥。同时积极争创“文明单位”，一是教育全体干部职工从我做起，做文明人，讲文明话，办文明事。二是完善各项制度措施，坚持用制度管人。三是教育和引导干部职工积极开展丰富多彩的活动，通过“七一”讲党课，“十一”举办户外拓展竞赛活动，使干部职工始终保持健康向上的生活方式和昂扬进取的精神状态。四是落实区委扶贫政策，对九州镇高辛庄村困难户张吕友家庭进行帮扶，积极协调民政部门落实低保待遇、对其临时救助；协调残联为其办理残疾人登记，不定期发放残疾人物品。五是不断总结开展创建“文明单位”活动的成果和不足，查缺补漏，完善管理，抓出成效。</w:t>
      </w:r>
    </w:p>
    <w:p>
      <w:pPr>
        <w:pBdr>
          <w:top w:val="none" w:color="auto" w:sz="0" w:space="0"/>
          <w:left w:val="none" w:color="auto" w:sz="0" w:space="0"/>
          <w:bottom w:val="none" w:color="auto" w:sz="0" w:space="0"/>
          <w:right w:val="none" w:color="auto" w:sz="0" w:space="0"/>
        </w:pBdr>
        <w:spacing w:line="570" w:lineRule="exact"/>
        <w:jc w:val="center"/>
        <w:outlineLvl w:val="0"/>
        <w:rPr>
          <w:rFonts w:hint="eastAsia" w:ascii="方正小标宋_GBK" w:eastAsia="方正小标宋_GBK"/>
          <w:sz w:val="32"/>
          <w:szCs w:val="24"/>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bookmarkStart w:id="0" w:name="_Toc505066971"/>
      <w:r>
        <w:rPr>
          <w:rFonts w:hint="eastAsia" w:ascii="方正小标宋_GBK" w:eastAsia="方正小标宋_GBK"/>
          <w:sz w:val="32"/>
          <w:szCs w:val="24"/>
        </w:rPr>
        <w:t>部门职责-工作活动绩效目标</w:t>
      </w:r>
      <w:bookmarkEnd w:id="0"/>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bottom w:val="single" w:color="000000" w:sz="6" w:space="0"/>
              <w:right w:val="single" w:color="FFFFFF"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小标宋_GBK" w:eastAsia="方正小标宋_GBK"/>
                <w:sz w:val="24"/>
                <w:szCs w:val="24"/>
              </w:rPr>
            </w:pPr>
            <w:r>
              <w:rPr>
                <w:rFonts w:hint="eastAsia" w:ascii="方正小标宋_GBK" w:eastAsia="方正小标宋_GBK"/>
                <w:sz w:val="24"/>
                <w:szCs w:val="24"/>
              </w:rPr>
              <w:t>231廊坊市广阳区审计局</w:t>
            </w:r>
          </w:p>
        </w:tc>
        <w:tc>
          <w:tcPr>
            <w:tcW w:w="2948" w:type="dxa"/>
            <w:gridSpan w:val="4"/>
            <w:tcBorders>
              <w:top w:val="single" w:color="FFFFFF" w:sz="6" w:space="0"/>
              <w:left w:val="single" w:color="FFFFFF" w:sz="6" w:space="0"/>
              <w:bottom w:val="single" w:color="000000" w:sz="6" w:space="0"/>
              <w:right w:val="single" w:color="FFFFFF"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right"/>
              <w:rPr>
                <w:rFonts w:hint="eastAsia" w:ascii="方正书宋_GBK" w:eastAsia="方正书宋_GBK"/>
                <w:sz w:val="24"/>
                <w:szCs w:val="24"/>
              </w:rPr>
            </w:pPr>
            <w:r>
              <w:rPr>
                <w:rFonts w:hint="eastAsia" w:ascii="方正书宋_GBK" w:eastAsia="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职责活动</w:t>
            </w:r>
          </w:p>
        </w:tc>
        <w:tc>
          <w:tcPr>
            <w:tcW w:w="12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年度预算数</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内容描述</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绩效目标</w:t>
            </w:r>
          </w:p>
        </w:tc>
        <w:tc>
          <w:tcPr>
            <w:tcW w:w="1417"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绩效指标</w:t>
            </w:r>
          </w:p>
        </w:tc>
        <w:tc>
          <w:tcPr>
            <w:tcW w:w="2948" w:type="dxa"/>
            <w:gridSpan w:val="4"/>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评价标准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tblHeader/>
          <w:jc w:val="center"/>
        </w:trPr>
        <w:tc>
          <w:tcPr>
            <w:tcW w:w="2341"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优</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良</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中</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b/>
                <w:bCs w:val="0"/>
              </w:rPr>
            </w:pPr>
            <w:r>
              <w:rPr>
                <w:rFonts w:hint="eastAsia" w:ascii="方正书宋_GBK" w:eastAsia="方正书宋_GBK"/>
                <w:b/>
                <w:bCs w:val="0"/>
              </w:rPr>
              <w:t>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b/>
                <w:bCs w:val="0"/>
              </w:rPr>
            </w:pPr>
            <w:r>
              <w:rPr>
                <w:rFonts w:hint="eastAsia" w:ascii="方正书宋_GBK" w:eastAsia="方正书宋_GBK"/>
                <w:b/>
                <w:bCs w:val="0"/>
              </w:rPr>
              <w:t>一、审计业务</w:t>
            </w:r>
          </w:p>
        </w:tc>
        <w:tc>
          <w:tcPr>
            <w:tcW w:w="12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10.00</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主管广阳区审计工作</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主管全区审计工作。通过对公共资金、国有资产、国有资源、领导干部经济责任履行情况进行审计，实现审计监督全覆盖，促进国家治理现代化和国民经济健康发展。</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b/>
                <w:bCs w:val="0"/>
              </w:rPr>
            </w:pPr>
            <w:r>
              <w:rPr>
                <w:rFonts w:hint="eastAsia" w:ascii="方正书宋_GBK" w:eastAsia="方正书宋_GBK"/>
                <w:b/>
                <w:bCs w:val="0"/>
              </w:rPr>
              <w:t>　　1、审计业务、专项审计调查</w:t>
            </w:r>
          </w:p>
        </w:tc>
        <w:tc>
          <w:tcPr>
            <w:tcW w:w="12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10.00</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经济领域中带有全局性、普遍性、倾向性的特定事项进行系统调查了解并向区政府报告情况和结果。</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通过审计财政、财务收支真实、合法和效益，维护国家财政经济秩序、促进廉政建设、保障国民经济的健康发展。通过专项审计调查，综合分析，向有关部门反映情况，揭露问题、提出解决问题的建议，为政府决策提供依据，为国家宏观调控服务。</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审计决定落实率</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审计计划完成率</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专项审计完成率</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b/>
                <w:bCs w:val="0"/>
              </w:rPr>
            </w:pPr>
            <w:r>
              <w:rPr>
                <w:rFonts w:hint="eastAsia" w:ascii="方正书宋_GBK" w:eastAsia="方正书宋_GBK"/>
                <w:b/>
                <w:bCs w:val="0"/>
              </w:rPr>
              <w:t>二、审计管理</w:t>
            </w:r>
          </w:p>
        </w:tc>
        <w:tc>
          <w:tcPr>
            <w:tcW w:w="12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进行内部审计管理和审计法制管理</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进行内部审计管理和审计法制管理。通过建立健全法规，加大内部审计管理制度提高审计质量和审计机关法制管理水平。</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b/>
                <w:bCs w:val="0"/>
              </w:rPr>
            </w:pPr>
            <w:r>
              <w:rPr>
                <w:rFonts w:hint="eastAsia" w:ascii="方正书宋_GBK" w:eastAsia="方正书宋_GBK"/>
                <w:b/>
                <w:bCs w:val="0"/>
              </w:rPr>
              <w:t>　　1、内部审计管理</w:t>
            </w:r>
          </w:p>
        </w:tc>
        <w:tc>
          <w:tcPr>
            <w:tcW w:w="12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制定内部审计措施并组织落实；制定内部审计业务规章、制度、管理办法等并开展监督检查；指导内部审计业务，受理内部审计业务咨询；提供内部审计成果；协调内部审计和国家审计间工作等。</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受理内审业务咨询，提高内部审计质量；协调内部审计和国家审计间工作，保障内部审计工作的顺利进行；控制费用标准严格。</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制定内部审计措施及业务规章制度</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各项措施制度落实</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内审业务办结率</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b/>
                <w:bCs w:val="0"/>
              </w:rPr>
            </w:pPr>
            <w:r>
              <w:rPr>
                <w:rFonts w:hint="eastAsia" w:ascii="方正书宋_GBK" w:eastAsia="方正书宋_GBK"/>
                <w:b/>
                <w:bCs w:val="0"/>
              </w:rPr>
              <w:t>三、审计政务管理</w:t>
            </w:r>
          </w:p>
        </w:tc>
        <w:tc>
          <w:tcPr>
            <w:tcW w:w="12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包括系统综合业务管理和机关综合事务管理</w:t>
            </w:r>
          </w:p>
        </w:tc>
        <w:tc>
          <w:tcPr>
            <w:tcW w:w="2976"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包括系统综合业务管理和机关综合事务管理。充分发挥参谋助手作用和综合协调作用，推进审计事业科学协调发展。</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b/>
                <w:bCs w:val="0"/>
              </w:rPr>
            </w:pPr>
            <w:r>
              <w:rPr>
                <w:rFonts w:hint="eastAsia" w:ascii="方正书宋_GBK" w:eastAsia="方正书宋_GBK"/>
                <w:b/>
                <w:bCs w:val="0"/>
              </w:rPr>
              <w:t>　　1、综合业务管理</w:t>
            </w:r>
          </w:p>
        </w:tc>
        <w:tc>
          <w:tcPr>
            <w:tcW w:w="12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组织开展信息化建设、教育培训、审计理论研究，抓好新闻宣传和文化建设、政务信息公开，开展审计服务和业务咨询。</w:t>
            </w:r>
          </w:p>
        </w:tc>
        <w:tc>
          <w:tcPr>
            <w:tcW w:w="2976" w:type="dxa"/>
            <w:vMerge w:val="restart"/>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信息保障安全有效，信息化建设稳步推进；加强宣传引导；提高人员业务水平；促进审计文化研究，推动审计事业发展。</w:t>
            </w: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信息化建设</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宣传</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108" w:type="dxa"/>
            <w:bottom w:w="0" w:type="dxa"/>
            <w:right w:w="108" w:type="dxa"/>
          </w:tblCellMar>
        </w:tblPrEx>
        <w:trPr>
          <w:cantSplit/>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2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2976" w:type="dxa"/>
            <w:vMerge w:val="continue"/>
            <w:tcBorders>
              <w:top w:val="single" w:color="000000" w:sz="6" w:space="0"/>
              <w:left w:val="single" w:color="000000" w:sz="6" w:space="0"/>
              <w:bottom w:val="single" w:color="000000" w:sz="6" w:space="0"/>
              <w:right w:val="single" w:color="000000" w:sz="6" w:space="0"/>
              <w:tl2br w:val="nil"/>
              <w:tr2bl w:val="nil"/>
            </w:tcBorders>
            <w:vAlign w:val="center"/>
          </w:tcPr>
          <w:p/>
        </w:tc>
        <w:tc>
          <w:tcPr>
            <w:tcW w:w="141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left"/>
              <w:rPr>
                <w:rFonts w:hint="eastAsia" w:ascii="方正书宋_GBK" w:eastAsia="方正书宋_GBK"/>
              </w:rPr>
            </w:pPr>
            <w:r>
              <w:rPr>
                <w:rFonts w:hint="eastAsia" w:ascii="方正书宋_GBK" w:eastAsia="方正书宋_GBK"/>
              </w:rPr>
              <w:t>政务公开</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85.00%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75.00%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60.00%</w:t>
            </w:r>
          </w:p>
        </w:tc>
        <w:tc>
          <w:tcPr>
            <w:tcW w:w="737" w:type="dxa"/>
            <w:tcBorders>
              <w:top w:val="single" w:color="000000" w:sz="6" w:space="0"/>
              <w:left w:val="single" w:color="000000" w:sz="6" w:space="0"/>
              <w:bottom w:val="single" w:color="000000" w:sz="6" w:space="0"/>
              <w:right w:val="single" w:color="000000" w:sz="6" w:space="0"/>
              <w:tl2br w:val="nil"/>
              <w:tr2bl w:val="nil"/>
            </w:tcBorders>
            <w:vAlign w:val="center"/>
          </w:tcPr>
          <w:p>
            <w:pPr>
              <w:pBdr>
                <w:top w:val="none" w:color="auto" w:sz="0" w:space="0"/>
                <w:left w:val="none" w:color="auto" w:sz="0" w:space="0"/>
                <w:bottom w:val="none" w:color="auto" w:sz="0" w:space="0"/>
                <w:right w:val="none" w:color="auto" w:sz="0" w:space="0"/>
              </w:pBdr>
              <w:spacing w:line="570" w:lineRule="exact"/>
              <w:jc w:val="center"/>
              <w:rPr>
                <w:rFonts w:hint="eastAsia" w:ascii="方正书宋_GBK" w:eastAsia="方正书宋_GBK"/>
              </w:rPr>
            </w:pPr>
            <w:r>
              <w:rPr>
                <w:rFonts w:hint="eastAsia" w:ascii="方正书宋_GBK" w:eastAsia="方正书宋_GBK"/>
              </w:rPr>
              <w:t>60%以下</w:t>
            </w:r>
          </w:p>
        </w:tc>
      </w:tr>
    </w:tbl>
    <w:p>
      <w:pPr>
        <w:spacing w:line="570" w:lineRule="exact"/>
        <w:sectPr>
          <w:pgSz w:w="16839" w:h="11905" w:orient="landscape"/>
          <w:pgMar w:top="1020" w:right="1361" w:bottom="1020" w:left="1361" w:header="851" w:footer="992" w:gutter="0"/>
          <w:docGrid w:type="lines" w:linePitch="312" w:charSpace="0"/>
        </w:sectPr>
      </w:pP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w:t>
      </w:r>
      <w:r>
        <w:rPr>
          <w:rFonts w:ascii="仿宋_GB2312" w:eastAsia="仿宋_GB2312" w:cs="宋体"/>
          <w:color w:val="000000"/>
          <w:kern w:val="0"/>
          <w:sz w:val="32"/>
          <w:szCs w:val="32"/>
        </w:rPr>
        <w:t>无</w:t>
      </w:r>
      <w:r>
        <w:rPr>
          <w:rFonts w:hint="eastAsia" w:ascii="仿宋_GB2312" w:eastAsia="仿宋_GB2312" w:cs="宋体"/>
          <w:color w:val="000000"/>
          <w:kern w:val="0"/>
          <w:sz w:val="32"/>
          <w:szCs w:val="32"/>
        </w:rPr>
        <w:t>安排政府采购预算</w:t>
      </w:r>
    </w:p>
    <w:p>
      <w:pPr>
        <w:spacing w:line="570" w:lineRule="exact"/>
        <w:jc w:val="center"/>
        <w:outlineLvl w:val="0"/>
        <w:rPr>
          <w:rFonts w:ascii="方正小标宋_GBK" w:eastAsia="方正小标宋_GBK" w:cs="Times New Roman"/>
          <w:sz w:val="32"/>
          <w:szCs w:val="24"/>
        </w:rPr>
      </w:pPr>
      <w:r>
        <w:rPr>
          <w:rFonts w:hint="eastAsia" w:ascii="方正小标宋_GBK" w:eastAsia="方正小标宋_GBK" w:cs="Times New Roman"/>
          <w:sz w:val="32"/>
          <w:szCs w:val="24"/>
        </w:rPr>
        <w:t>部门政府采购预算</w:t>
      </w:r>
    </w:p>
    <w:tbl>
      <w:tblPr>
        <w:tblStyle w:val="6"/>
        <w:tblW w:w="137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方正小标宋_GBK" w:eastAsia="方正小标宋_GBK" w:cs="Times New Roman"/>
                <w:sz w:val="24"/>
                <w:szCs w:val="24"/>
                <w:lang w:val="en-US" w:eastAsia="zh-CN"/>
              </w:rPr>
            </w:pPr>
            <w:r>
              <w:rPr>
                <w:rFonts w:hint="eastAsia" w:ascii="方正小标宋_GBK" w:eastAsia="方正小标宋_GBK" w:cs="Times New Roman"/>
                <w:sz w:val="24"/>
                <w:szCs w:val="24"/>
                <w:lang w:val="en-US" w:eastAsia="zh-CN"/>
              </w:rPr>
              <w:t>231-廊坊市广阳区审计局</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方正书宋_GBK" w:eastAsia="方正书宋_GBK" w:cs="Times New Roman"/>
                <w:sz w:val="24"/>
                <w:szCs w:val="24"/>
              </w:rPr>
            </w:pPr>
            <w:r>
              <w:rPr>
                <w:rFonts w:hint="eastAsia" w:ascii="方正书宋_GBK" w:eastAsia="方正书宋_GBK"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政府采购项目来源</w:t>
            </w:r>
          </w:p>
        </w:tc>
        <w:tc>
          <w:tcPr>
            <w:tcW w:w="834"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采购物品名称</w:t>
            </w:r>
          </w:p>
        </w:tc>
        <w:tc>
          <w:tcPr>
            <w:tcW w:w="1327"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政府采购目录序号</w:t>
            </w:r>
          </w:p>
        </w:tc>
        <w:tc>
          <w:tcPr>
            <w:tcW w:w="834"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数量  单位</w:t>
            </w:r>
          </w:p>
        </w:tc>
        <w:tc>
          <w:tcPr>
            <w:tcW w:w="834"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数量</w:t>
            </w:r>
          </w:p>
        </w:tc>
        <w:tc>
          <w:tcPr>
            <w:tcW w:w="856"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单价</w:t>
            </w:r>
          </w:p>
        </w:tc>
        <w:tc>
          <w:tcPr>
            <w:tcW w:w="5796" w:type="dxa"/>
            <w:gridSpan w:val="7"/>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项目名称</w:t>
            </w:r>
          </w:p>
        </w:tc>
        <w:tc>
          <w:tcPr>
            <w:tcW w:w="1013"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总计</w:t>
            </w:r>
          </w:p>
        </w:tc>
        <w:tc>
          <w:tcPr>
            <w:tcW w:w="4156" w:type="dxa"/>
            <w:gridSpan w:val="5"/>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当年部门预算安排资金</w:t>
            </w:r>
          </w:p>
        </w:tc>
        <w:tc>
          <w:tcPr>
            <w:tcW w:w="787" w:type="dxa"/>
            <w:vMerge w:val="restart"/>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合计</w:t>
            </w:r>
          </w:p>
        </w:tc>
        <w:tc>
          <w:tcPr>
            <w:tcW w:w="853"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一般公共预算拨款</w:t>
            </w:r>
          </w:p>
        </w:tc>
        <w:tc>
          <w:tcPr>
            <w:tcW w:w="776"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基金预算拨款</w:t>
            </w:r>
          </w:p>
        </w:tc>
        <w:tc>
          <w:tcPr>
            <w:tcW w:w="837"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财政专户核拨</w:t>
            </w:r>
          </w:p>
        </w:tc>
        <w:tc>
          <w:tcPr>
            <w:tcW w:w="837"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方正书宋_GBK" w:eastAsia="方正书宋_GBK" w:cs="Times New Roman"/>
                <w:b/>
                <w:szCs w:val="24"/>
              </w:rPr>
            </w:pPr>
            <w:r>
              <w:rPr>
                <w:rFonts w:hint="eastAsia" w:ascii="方正书宋_GBK" w:eastAsia="方正书宋_GBK" w:cs="Times New Roman"/>
                <w:b/>
                <w:szCs w:val="24"/>
              </w:rPr>
              <w:t>合　计</w:t>
            </w:r>
          </w:p>
        </w:tc>
        <w:tc>
          <w:tcPr>
            <w:tcW w:w="1013" w:type="dxa"/>
            <w:shd w:val="clear" w:color="auto" w:fill="auto"/>
            <w:vAlign w:val="center"/>
          </w:tcPr>
          <w:p>
            <w:pPr>
              <w:spacing w:line="570" w:lineRule="exact"/>
              <w:jc w:val="righ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1327"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right"/>
              <w:rPr>
                <w:rFonts w:ascii="方正书宋_GBK" w:eastAsia="方正书宋_GBK" w:cs="Times New Roman"/>
                <w:b/>
                <w:szCs w:val="24"/>
              </w:rPr>
            </w:pPr>
          </w:p>
        </w:tc>
        <w:tc>
          <w:tcPr>
            <w:tcW w:w="856"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776"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787" w:type="dxa"/>
            <w:shd w:val="clear" w:color="auto" w:fill="auto"/>
            <w:vAlign w:val="center"/>
          </w:tcPr>
          <w:p>
            <w:pPr>
              <w:spacing w:line="570" w:lineRule="exact"/>
              <w:jc w:val="right"/>
              <w:rPr>
                <w:rFonts w:ascii="方正书宋_GBK"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ascii="方正书宋_GBK" w:eastAsia="方正书宋_GBK" w:cs="Times New Roman"/>
                <w:b/>
                <w:szCs w:val="24"/>
              </w:rPr>
            </w:pPr>
          </w:p>
        </w:tc>
        <w:tc>
          <w:tcPr>
            <w:tcW w:w="1013" w:type="dxa"/>
            <w:shd w:val="clear" w:color="auto" w:fill="auto"/>
            <w:vAlign w:val="center"/>
          </w:tcPr>
          <w:p>
            <w:pPr>
              <w:spacing w:line="570" w:lineRule="exact"/>
              <w:jc w:val="righ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1327"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left"/>
              <w:rPr>
                <w:rFonts w:ascii="方正书宋_GBK" w:eastAsia="方正书宋_GBK" w:cs="Times New Roman"/>
                <w:b/>
                <w:szCs w:val="24"/>
              </w:rPr>
            </w:pPr>
          </w:p>
        </w:tc>
        <w:tc>
          <w:tcPr>
            <w:tcW w:w="834" w:type="dxa"/>
            <w:shd w:val="clear" w:color="auto" w:fill="auto"/>
            <w:vAlign w:val="center"/>
          </w:tcPr>
          <w:p>
            <w:pPr>
              <w:spacing w:line="570" w:lineRule="exact"/>
              <w:jc w:val="right"/>
              <w:rPr>
                <w:rFonts w:ascii="方正书宋_GBK" w:eastAsia="方正书宋_GBK" w:cs="Times New Roman"/>
                <w:b/>
                <w:szCs w:val="24"/>
              </w:rPr>
            </w:pPr>
          </w:p>
        </w:tc>
        <w:tc>
          <w:tcPr>
            <w:tcW w:w="856"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853" w:type="dxa"/>
            <w:shd w:val="clear" w:color="auto" w:fill="auto"/>
            <w:vAlign w:val="center"/>
          </w:tcPr>
          <w:p>
            <w:pPr>
              <w:spacing w:line="570" w:lineRule="exact"/>
              <w:jc w:val="right"/>
              <w:rPr>
                <w:rFonts w:ascii="方正书宋_GBK" w:eastAsia="方正书宋_GBK" w:cs="Times New Roman"/>
                <w:b/>
                <w:szCs w:val="24"/>
              </w:rPr>
            </w:pPr>
          </w:p>
        </w:tc>
        <w:tc>
          <w:tcPr>
            <w:tcW w:w="776"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837" w:type="dxa"/>
            <w:shd w:val="clear" w:color="auto" w:fill="auto"/>
            <w:vAlign w:val="center"/>
          </w:tcPr>
          <w:p>
            <w:pPr>
              <w:spacing w:line="570" w:lineRule="exact"/>
              <w:jc w:val="right"/>
              <w:rPr>
                <w:rFonts w:ascii="方正书宋_GBK" w:eastAsia="方正书宋_GBK" w:cs="Times New Roman"/>
                <w:b/>
                <w:szCs w:val="24"/>
              </w:rPr>
            </w:pPr>
          </w:p>
        </w:tc>
        <w:tc>
          <w:tcPr>
            <w:tcW w:w="787" w:type="dxa"/>
            <w:shd w:val="clear" w:color="auto" w:fill="auto"/>
            <w:vAlign w:val="center"/>
          </w:tcPr>
          <w:p>
            <w:pPr>
              <w:spacing w:line="570" w:lineRule="exact"/>
              <w:jc w:val="right"/>
              <w:rPr>
                <w:rFonts w:ascii="方正书宋_GBK"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left"/>
              <w:rPr>
                <w:rFonts w:ascii="方正书宋_GBK" w:eastAsia="方正书宋_GBK" w:cs="Times New Roman"/>
                <w:szCs w:val="24"/>
              </w:rPr>
            </w:pPr>
          </w:p>
        </w:tc>
        <w:tc>
          <w:tcPr>
            <w:tcW w:w="1013" w:type="dxa"/>
            <w:shd w:val="clear" w:color="auto" w:fill="auto"/>
            <w:vAlign w:val="center"/>
          </w:tcPr>
          <w:p>
            <w:pPr>
              <w:spacing w:line="570" w:lineRule="exact"/>
              <w:jc w:val="righ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1327"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right"/>
              <w:rPr>
                <w:rFonts w:ascii="方正书宋_GBK" w:eastAsia="方正书宋_GBK" w:cs="Times New Roman"/>
                <w:szCs w:val="24"/>
              </w:rPr>
            </w:pPr>
          </w:p>
        </w:tc>
        <w:tc>
          <w:tcPr>
            <w:tcW w:w="856"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776"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787" w:type="dxa"/>
            <w:shd w:val="clear" w:color="auto" w:fill="auto"/>
            <w:vAlign w:val="center"/>
          </w:tcPr>
          <w:p>
            <w:pPr>
              <w:spacing w:line="570" w:lineRule="exact"/>
              <w:jc w:val="right"/>
              <w:rPr>
                <w:rFonts w:ascii="方正书宋_GBK"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left"/>
              <w:rPr>
                <w:rFonts w:ascii="方正书宋_GBK" w:eastAsia="方正书宋_GBK" w:cs="Times New Roman"/>
                <w:szCs w:val="24"/>
              </w:rPr>
            </w:pPr>
          </w:p>
        </w:tc>
        <w:tc>
          <w:tcPr>
            <w:tcW w:w="1013" w:type="dxa"/>
            <w:shd w:val="clear" w:color="auto" w:fill="auto"/>
            <w:vAlign w:val="center"/>
          </w:tcPr>
          <w:p>
            <w:pPr>
              <w:spacing w:line="570" w:lineRule="exact"/>
              <w:jc w:val="righ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1327"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left"/>
              <w:rPr>
                <w:rFonts w:ascii="方正书宋_GBK" w:eastAsia="方正书宋_GBK" w:cs="Times New Roman"/>
                <w:szCs w:val="24"/>
              </w:rPr>
            </w:pPr>
          </w:p>
        </w:tc>
        <w:tc>
          <w:tcPr>
            <w:tcW w:w="834" w:type="dxa"/>
            <w:shd w:val="clear" w:color="auto" w:fill="auto"/>
            <w:vAlign w:val="center"/>
          </w:tcPr>
          <w:p>
            <w:pPr>
              <w:spacing w:line="570" w:lineRule="exact"/>
              <w:jc w:val="right"/>
              <w:rPr>
                <w:rFonts w:ascii="方正书宋_GBK" w:eastAsia="方正书宋_GBK" w:cs="Times New Roman"/>
                <w:szCs w:val="24"/>
              </w:rPr>
            </w:pPr>
          </w:p>
        </w:tc>
        <w:tc>
          <w:tcPr>
            <w:tcW w:w="856"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853" w:type="dxa"/>
            <w:shd w:val="clear" w:color="auto" w:fill="auto"/>
            <w:vAlign w:val="center"/>
          </w:tcPr>
          <w:p>
            <w:pPr>
              <w:spacing w:line="570" w:lineRule="exact"/>
              <w:jc w:val="right"/>
              <w:rPr>
                <w:rFonts w:ascii="方正书宋_GBK" w:eastAsia="方正书宋_GBK" w:cs="Times New Roman"/>
                <w:szCs w:val="24"/>
              </w:rPr>
            </w:pPr>
          </w:p>
        </w:tc>
        <w:tc>
          <w:tcPr>
            <w:tcW w:w="776"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837" w:type="dxa"/>
            <w:shd w:val="clear" w:color="auto" w:fill="auto"/>
            <w:vAlign w:val="center"/>
          </w:tcPr>
          <w:p>
            <w:pPr>
              <w:spacing w:line="570" w:lineRule="exact"/>
              <w:jc w:val="right"/>
              <w:rPr>
                <w:rFonts w:ascii="方正书宋_GBK" w:eastAsia="方正书宋_GBK" w:cs="Times New Roman"/>
                <w:szCs w:val="24"/>
              </w:rPr>
            </w:pPr>
          </w:p>
        </w:tc>
        <w:tc>
          <w:tcPr>
            <w:tcW w:w="787" w:type="dxa"/>
            <w:shd w:val="clear" w:color="auto" w:fill="auto"/>
            <w:vAlign w:val="center"/>
          </w:tcPr>
          <w:p>
            <w:pPr>
              <w:spacing w:line="570" w:lineRule="exact"/>
              <w:jc w:val="right"/>
              <w:rPr>
                <w:rFonts w:ascii="方正书宋_GBK" w:eastAsia="方正书宋_GBK" w:cs="Times New Roman"/>
                <w:szCs w:val="24"/>
              </w:rPr>
            </w:pPr>
          </w:p>
        </w:tc>
      </w:tr>
    </w:tbl>
    <w:p>
      <w:pPr>
        <w:widowControl/>
        <w:spacing w:line="570" w:lineRule="exact"/>
        <w:ind w:left="160" w:hanging="161" w:hangingChars="50"/>
        <w:jc w:val="left"/>
        <w:rPr>
          <w:rFonts w:ascii="黑体" w:eastAsia="黑体" w:cs="宋体"/>
          <w:b/>
          <w:bCs/>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广阳区审计局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72.99</w:t>
      </w:r>
      <w:r>
        <w:rPr>
          <w:rFonts w:hint="eastAsia" w:ascii="仿宋_GB2312" w:eastAsia="仿宋_GB2312" w:cs="宋体"/>
          <w:color w:val="000000"/>
          <w:kern w:val="0"/>
          <w:sz w:val="32"/>
          <w:szCs w:val="32"/>
        </w:rPr>
        <w:t>万元，本年度无拟购置固定资产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bookmarkStart w:id="1" w:name="_GoBack"/>
      <w:bookmarkEnd w:id="1"/>
    </w:p>
    <w:tbl>
      <w:tblPr>
        <w:tblStyle w:val="6"/>
        <w:tblW w:w="10340"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231-</w:t>
            </w:r>
            <w:r>
              <w:rPr>
                <w:rFonts w:hint="eastAsia" w:ascii="仿宋_GB2312" w:eastAsia="仿宋_GB2312" w:cs="宋体"/>
                <w:b/>
                <w:bCs/>
                <w:kern w:val="0"/>
                <w:sz w:val="28"/>
                <w:szCs w:val="28"/>
              </w:rPr>
              <w:t>廊坊市广阳区</w:t>
            </w:r>
            <w:r>
              <w:rPr>
                <w:rFonts w:ascii="仿宋_GB2312" w:eastAsia="仿宋_GB2312" w:cs="宋体"/>
                <w:b/>
                <w:bCs/>
                <w:kern w:val="0"/>
                <w:sz w:val="28"/>
                <w:szCs w:val="28"/>
              </w:rPr>
              <w:t>审计局</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55.09</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2FA52D35"/>
    <w:rsid w:val="44506C87"/>
    <w:rsid w:val="6EA22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3421</Words>
  <Characters>3686</Characters>
  <Lines>398</Lines>
  <Paragraphs>149</Paragraphs>
  <TotalTime>0</TotalTime>
  <ScaleCrop>false</ScaleCrop>
  <LinksUpToDate>false</LinksUpToDate>
  <CharactersWithSpaces>3763</CharactersWithSpaces>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lenovo</cp:lastModifiedBy>
  <dcterms:modified xsi:type="dcterms:W3CDTF">2018-02-15T08:10:45Z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