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r>
        <w:rPr>
          <w:rFonts w:hint="eastAsia" w:ascii="方正小标宋简体" w:eastAsia="方正小标宋简体" w:cs="宋体"/>
          <w:b/>
          <w:bCs/>
          <w:color w:val="000000"/>
          <w:kern w:val="0"/>
          <w:sz w:val="44"/>
          <w:szCs w:val="44"/>
        </w:rPr>
        <w:t>廊坊市广阳区</w:t>
      </w:r>
      <w:r>
        <w:rPr>
          <w:rFonts w:ascii="方正小标宋简体" w:eastAsia="方正小标宋简体" w:cs="宋体"/>
          <w:b/>
          <w:bCs/>
          <w:color w:val="000000"/>
          <w:kern w:val="0"/>
          <w:sz w:val="44"/>
          <w:szCs w:val="44"/>
        </w:rPr>
        <w:t>南尖塔镇</w:t>
      </w:r>
      <w:r>
        <w:rPr>
          <w:rFonts w:hint="eastAsia" w:ascii="方正小标宋简体" w:eastAsia="方正小标宋简体" w:cs="宋体"/>
          <w:b/>
          <w:bCs/>
          <w:color w:val="000000"/>
          <w:kern w:val="0"/>
          <w:sz w:val="44"/>
          <w:szCs w:val="44"/>
        </w:rPr>
        <w:t>人民政府201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bookmarkEnd w:id="0"/>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w:t>
      </w:r>
      <w:r>
        <w:rPr>
          <w:rFonts w:ascii="仿宋_GB2312" w:eastAsia="仿宋_GB2312" w:cs="宋体"/>
          <w:color w:val="000000"/>
          <w:kern w:val="0"/>
          <w:sz w:val="32"/>
          <w:szCs w:val="32"/>
        </w:rPr>
        <w:t>区南尖塔镇</w:t>
      </w:r>
      <w:r>
        <w:rPr>
          <w:rFonts w:hint="eastAsia" w:ascii="仿宋_GB2312" w:eastAsia="仿宋_GB2312" w:cs="宋体"/>
          <w:color w:val="000000"/>
          <w:kern w:val="0"/>
          <w:sz w:val="32"/>
          <w:szCs w:val="32"/>
        </w:rPr>
        <w:t>人民政府</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widowControl/>
        <w:spacing w:line="570" w:lineRule="exact"/>
        <w:ind w:left="647" w:firstLine="640" w:firstLineChars="200"/>
        <w:jc w:val="left"/>
        <w:rPr>
          <w:rFonts w:ascii="仿宋_GB2312" w:eastAsia="仿宋_GB2312" w:cs="宋体"/>
          <w:b/>
          <w:bCs/>
          <w:color w:val="000000"/>
          <w:kern w:val="0"/>
          <w:sz w:val="32"/>
          <w:szCs w:val="32"/>
        </w:rPr>
      </w:pPr>
      <w:r>
        <w:rPr>
          <w:rFonts w:hint="eastAsia" w:ascii="仿宋_GB2312" w:eastAsia="仿宋_GB2312"/>
          <w:kern w:val="0"/>
          <w:sz w:val="32"/>
          <w:szCs w:val="32"/>
        </w:rPr>
        <w:t>南尖塔镇人民政府是广阳区人民政府的派出机关，受广阳区人民政府领导，依据法律、法规、规章的规定，对本镇村街服务、经济发展、社会治安、两文明建设等方面工作行使组织领导、综合协调、监督检查的职能。对镇内社会性、地区性、公益性、群众性工作负总责。具体职责是：</w:t>
      </w:r>
    </w:p>
    <w:p>
      <w:pPr>
        <w:widowControl/>
        <w:spacing w:line="570" w:lineRule="exact"/>
        <w:ind w:left="639" w:leftChars="228" w:hanging="160" w:hangingChars="50"/>
        <w:jc w:val="left"/>
        <w:rPr>
          <w:rFonts w:ascii="仿宋_GB2312" w:eastAsia="仿宋_GB2312"/>
          <w:color w:val="000000"/>
          <w:sz w:val="32"/>
          <w:szCs w:val="32"/>
        </w:rPr>
      </w:pPr>
      <w:r>
        <w:rPr>
          <w:rFonts w:hint="eastAsia" w:ascii="仿宋_GB2312" w:eastAsia="仿宋_GB2312" w:cs="宋体"/>
          <w:kern w:val="0"/>
          <w:sz w:val="32"/>
          <w:szCs w:val="32"/>
        </w:rPr>
        <w:t>1、党政办公室：</w:t>
      </w:r>
      <w:r>
        <w:rPr>
          <w:rFonts w:hint="eastAsia" w:ascii="仿宋_GB2312" w:eastAsia="仿宋_GB2312"/>
          <w:color w:val="000000"/>
          <w:sz w:val="32"/>
          <w:szCs w:val="32"/>
        </w:rPr>
        <w:t>机关日常文件管理工作</w:t>
      </w:r>
    </w:p>
    <w:p>
      <w:pPr>
        <w:widowControl/>
        <w:spacing w:line="570" w:lineRule="exact"/>
        <w:ind w:left="639" w:leftChars="228" w:hanging="160" w:hangingChars="50"/>
        <w:jc w:val="left"/>
        <w:rPr>
          <w:rFonts w:ascii="仿宋_GB2312" w:eastAsia="仿宋_GB2312" w:cs="宋体"/>
          <w:kern w:val="0"/>
          <w:sz w:val="32"/>
          <w:szCs w:val="32"/>
        </w:rPr>
      </w:pPr>
      <w:r>
        <w:rPr>
          <w:rFonts w:hint="eastAsia" w:ascii="仿宋_GB2312" w:eastAsia="仿宋_GB2312" w:cs="宋体"/>
          <w:kern w:val="0"/>
          <w:sz w:val="32"/>
          <w:szCs w:val="32"/>
        </w:rPr>
        <w:t>2、保障所：</w:t>
      </w:r>
      <w:r>
        <w:rPr>
          <w:rFonts w:hint="eastAsia" w:ascii="仿宋_GB2312" w:eastAsia="仿宋_GB2312"/>
          <w:color w:val="000000"/>
          <w:sz w:val="32"/>
          <w:szCs w:val="32"/>
        </w:rPr>
        <w:t>（1）将市本级下岗失业人员困难认定资料上报至市人社局进行认定工作。 （2）将广阳区下岗失业人员困难认定资料上报至广阳区劳动局进行认定工作。 （3）将</w:t>
      </w:r>
      <w:r>
        <w:rPr>
          <w:rFonts w:ascii="仿宋_GB2312" w:eastAsia="仿宋_GB2312"/>
          <w:color w:val="000000"/>
          <w:sz w:val="32"/>
          <w:szCs w:val="32"/>
        </w:rPr>
        <w:t>广阳</w:t>
      </w:r>
      <w:r>
        <w:rPr>
          <w:rFonts w:hint="eastAsia" w:ascii="仿宋_GB2312" w:eastAsia="仿宋_GB2312"/>
          <w:color w:val="000000"/>
          <w:sz w:val="32"/>
          <w:szCs w:val="32"/>
        </w:rPr>
        <w:t>区下岗失业人员困难认定资料上报至人社局进行认定工作</w:t>
      </w:r>
    </w:p>
    <w:p>
      <w:pPr>
        <w:widowControl/>
        <w:spacing w:line="570" w:lineRule="exact"/>
        <w:ind w:left="639" w:leftChars="228" w:hanging="160" w:hangingChars="50"/>
        <w:jc w:val="left"/>
        <w:rPr>
          <w:rFonts w:ascii="仿宋_GB2312" w:eastAsia="仿宋_GB2312" w:cs="宋体"/>
          <w:kern w:val="0"/>
          <w:sz w:val="32"/>
          <w:szCs w:val="32"/>
        </w:rPr>
      </w:pPr>
      <w:r>
        <w:rPr>
          <w:rFonts w:hint="eastAsia" w:ascii="仿宋_GB2312" w:eastAsia="仿宋_GB2312" w:cs="宋体"/>
          <w:kern w:val="0"/>
          <w:sz w:val="32"/>
          <w:szCs w:val="32"/>
        </w:rPr>
        <w:t>3、计生办：</w:t>
      </w:r>
      <w:r>
        <w:rPr>
          <w:rFonts w:hint="eastAsia" w:ascii="仿宋_GB2312" w:eastAsia="仿宋_GB2312" w:cs="宋体"/>
          <w:color w:val="000000"/>
          <w:sz w:val="32"/>
          <w:szCs w:val="32"/>
        </w:rPr>
        <w:t>①</w:t>
      </w:r>
      <w:r>
        <w:rPr>
          <w:rFonts w:hint="eastAsia" w:ascii="仿宋_GB2312" w:eastAsia="仿宋_GB2312" w:cs="Times New Roman"/>
          <w:color w:val="000000"/>
          <w:sz w:val="32"/>
          <w:szCs w:val="32"/>
        </w:rPr>
        <w:t xml:space="preserve"> </w:t>
      </w:r>
      <w:r>
        <w:rPr>
          <w:rFonts w:hint="eastAsia" w:ascii="仿宋_GB2312" w:eastAsia="仿宋_GB2312"/>
          <w:color w:val="000000"/>
          <w:sz w:val="32"/>
          <w:szCs w:val="32"/>
        </w:rPr>
        <w:t xml:space="preserve">按照“一票否决”制度落实计划生育工作，协调解决人口计生工作重点难点问题； </w:t>
      </w:r>
      <w:r>
        <w:rPr>
          <w:rFonts w:hint="eastAsia" w:ascii="仿宋_GB2312" w:eastAsia="仿宋_GB2312" w:cs="宋体"/>
          <w:color w:val="000000"/>
          <w:sz w:val="32"/>
          <w:szCs w:val="32"/>
        </w:rPr>
        <w:t>②</w:t>
      </w:r>
      <w:r>
        <w:rPr>
          <w:rFonts w:hint="eastAsia" w:ascii="仿宋_GB2312" w:eastAsia="仿宋_GB2312" w:cs="Times New Roman"/>
          <w:color w:val="000000"/>
          <w:sz w:val="32"/>
          <w:szCs w:val="32"/>
        </w:rPr>
        <w:t xml:space="preserve"> </w:t>
      </w:r>
      <w:r>
        <w:rPr>
          <w:rFonts w:hint="eastAsia" w:ascii="仿宋_GB2312" w:eastAsia="仿宋_GB2312"/>
          <w:color w:val="000000"/>
          <w:sz w:val="32"/>
          <w:szCs w:val="32"/>
        </w:rPr>
        <w:t xml:space="preserve">配齐配强行政、技术服务人员，保持结构、队伍的稳定工作； </w:t>
      </w:r>
      <w:r>
        <w:rPr>
          <w:rFonts w:hint="eastAsia" w:ascii="仿宋_GB2312" w:eastAsia="仿宋_GB2312" w:cs="宋体"/>
          <w:color w:val="000000"/>
          <w:sz w:val="32"/>
          <w:szCs w:val="32"/>
        </w:rPr>
        <w:t>③</w:t>
      </w:r>
      <w:r>
        <w:rPr>
          <w:rFonts w:hint="eastAsia" w:ascii="仿宋_GB2312" w:eastAsia="仿宋_GB2312" w:cs="Times New Roman"/>
          <w:color w:val="000000"/>
          <w:sz w:val="32"/>
          <w:szCs w:val="32"/>
        </w:rPr>
        <w:t xml:space="preserve"> </w:t>
      </w:r>
      <w:r>
        <w:rPr>
          <w:rFonts w:hint="eastAsia" w:ascii="仿宋_GB2312" w:eastAsia="仿宋_GB2312"/>
          <w:color w:val="000000"/>
          <w:sz w:val="32"/>
          <w:szCs w:val="32"/>
        </w:rPr>
        <w:t xml:space="preserve">实行目标管理责任制，统筹解决人口问题； </w:t>
      </w:r>
      <w:r>
        <w:rPr>
          <w:rFonts w:hint="eastAsia" w:ascii="仿宋_GB2312" w:eastAsia="仿宋_GB2312" w:cs="宋体"/>
          <w:color w:val="000000"/>
          <w:sz w:val="32"/>
          <w:szCs w:val="32"/>
        </w:rPr>
        <w:t>④</w:t>
      </w:r>
      <w:r>
        <w:rPr>
          <w:rFonts w:hint="eastAsia" w:ascii="仿宋_GB2312" w:eastAsia="仿宋_GB2312" w:cs="Times New Roman"/>
          <w:color w:val="000000"/>
          <w:sz w:val="32"/>
          <w:szCs w:val="32"/>
        </w:rPr>
        <w:t xml:space="preserve"> </w:t>
      </w:r>
      <w:r>
        <w:rPr>
          <w:rFonts w:hint="eastAsia" w:ascii="仿宋_GB2312" w:eastAsia="仿宋_GB2312"/>
          <w:color w:val="000000"/>
          <w:sz w:val="32"/>
          <w:szCs w:val="32"/>
        </w:rPr>
        <w:t xml:space="preserve">保证财政投入； </w:t>
      </w:r>
      <w:r>
        <w:rPr>
          <w:rFonts w:hint="eastAsia" w:ascii="仿宋_GB2312" w:eastAsia="仿宋_GB2312" w:cs="宋体"/>
          <w:color w:val="000000"/>
          <w:sz w:val="32"/>
          <w:szCs w:val="32"/>
        </w:rPr>
        <w:t>⑤</w:t>
      </w:r>
      <w:r>
        <w:rPr>
          <w:rFonts w:hint="eastAsia" w:ascii="仿宋_GB2312" w:eastAsia="仿宋_GB2312" w:cs="Times New Roman"/>
          <w:color w:val="000000"/>
          <w:sz w:val="32"/>
          <w:szCs w:val="32"/>
        </w:rPr>
        <w:t xml:space="preserve"> </w:t>
      </w:r>
      <w:r>
        <w:rPr>
          <w:rFonts w:hint="eastAsia" w:ascii="仿宋_GB2312" w:eastAsia="仿宋_GB2312"/>
          <w:color w:val="000000"/>
          <w:sz w:val="32"/>
          <w:szCs w:val="32"/>
        </w:rPr>
        <w:t>出生政策符合率95%以上</w:t>
      </w:r>
    </w:p>
    <w:p>
      <w:pPr>
        <w:widowControl/>
        <w:spacing w:line="570" w:lineRule="exact"/>
        <w:ind w:left="639" w:leftChars="228" w:hanging="160" w:hangingChars="50"/>
        <w:jc w:val="left"/>
        <w:rPr>
          <w:rFonts w:ascii="仿宋_GB2312" w:eastAsia="仿宋_GB2312"/>
          <w:color w:val="000000"/>
          <w:sz w:val="32"/>
          <w:szCs w:val="32"/>
        </w:rPr>
      </w:pPr>
      <w:r>
        <w:rPr>
          <w:rFonts w:hint="eastAsia" w:ascii="仿宋_GB2312" w:eastAsia="仿宋_GB2312" w:cs="宋体"/>
          <w:kern w:val="0"/>
          <w:sz w:val="32"/>
          <w:szCs w:val="32"/>
        </w:rPr>
        <w:t>4、组员办：</w:t>
      </w:r>
      <w:r>
        <w:rPr>
          <w:rFonts w:hint="eastAsia" w:ascii="仿宋_GB2312" w:eastAsia="仿宋_GB2312"/>
          <w:color w:val="000000"/>
          <w:sz w:val="32"/>
          <w:szCs w:val="32"/>
        </w:rPr>
        <w:t>基层组织 建设工作、党员管理工作</w:t>
      </w:r>
    </w:p>
    <w:p>
      <w:pPr>
        <w:widowControl/>
        <w:spacing w:line="570" w:lineRule="exact"/>
        <w:ind w:left="639" w:leftChars="228" w:hanging="160" w:hangingChars="50"/>
        <w:jc w:val="left"/>
        <w:rPr>
          <w:rFonts w:ascii="仿宋_GB2312" w:eastAsia="仿宋_GB2312"/>
          <w:color w:val="000000"/>
          <w:sz w:val="32"/>
          <w:szCs w:val="32"/>
        </w:rPr>
      </w:pPr>
      <w:r>
        <w:rPr>
          <w:rFonts w:hint="eastAsia" w:ascii="仿宋_GB2312" w:eastAsia="仿宋_GB2312"/>
          <w:color w:val="000000"/>
          <w:sz w:val="32"/>
          <w:szCs w:val="32"/>
        </w:rPr>
        <w:t>5、综治办：1、年初与各社区签订全年安全稳定责任状。2、铁路沿线的社区要与辖区单位签订《爱路护路保证书》3、各社区定期宣传法律知识、消防知识、健康知识等。4、各社区组织辖区志愿者在重点时期在小区内进行巡逻。</w:t>
      </w:r>
    </w:p>
    <w:p>
      <w:pPr>
        <w:widowControl/>
        <w:spacing w:line="570" w:lineRule="exact"/>
        <w:ind w:left="639" w:leftChars="228" w:hanging="160" w:hangingChars="50"/>
        <w:jc w:val="left"/>
        <w:rPr>
          <w:rFonts w:ascii="仿宋_GB2312" w:eastAsia="仿宋_GB2312"/>
          <w:color w:val="000000"/>
          <w:sz w:val="32"/>
          <w:szCs w:val="32"/>
        </w:rPr>
      </w:pPr>
      <w:r>
        <w:rPr>
          <w:rFonts w:hint="eastAsia" w:ascii="仿宋_GB2312" w:eastAsia="仿宋_GB2312"/>
          <w:color w:val="000000"/>
          <w:sz w:val="32"/>
          <w:szCs w:val="32"/>
        </w:rPr>
        <w:t>6、财政所：审核原始凭证，对符合标准的票据进行款项支付，记账处理。月末，和银行对账，打印会计凭证，整理装订，归档保存。对财政局拨付的工资进行核定，确定无误后组织发放；对审核无误的养老、医疗及住房公积金的缴纳工作；机关人员住房公积金的支取、查询、转移工作</w:t>
      </w:r>
    </w:p>
    <w:p>
      <w:pPr>
        <w:widowControl/>
        <w:spacing w:line="570" w:lineRule="exact"/>
        <w:ind w:left="639" w:leftChars="228" w:hanging="160" w:hangingChars="50"/>
        <w:jc w:val="left"/>
        <w:rPr>
          <w:rFonts w:ascii="仿宋_GB2312" w:eastAsia="仿宋_GB2312" w:cs="宋体"/>
          <w:color w:val="000000"/>
          <w:kern w:val="0"/>
          <w:sz w:val="32"/>
          <w:szCs w:val="32"/>
        </w:rPr>
      </w:pPr>
      <w:r>
        <w:rPr>
          <w:rFonts w:hint="eastAsia" w:ascii="仿宋_GB2312" w:eastAsia="仿宋_GB2312"/>
          <w:color w:val="000000"/>
          <w:sz w:val="32"/>
          <w:szCs w:val="32"/>
        </w:rPr>
        <w:t>7、民政所：切实做好低保信息系统相关工作，积极做好低保系统数据库更新工作，并加强对居委会工作人员的业务指导以及新增人员的申请与审核工作</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570" w:lineRule="exact"/>
        <w:jc w:val="center"/>
      </w:pPr>
      <w:r>
        <w:rPr>
          <w:rFonts w:hint="eastAsia" w:ascii="仿宋_GB2312" w:eastAsia="仿宋_GB2312" w:cs="宋体"/>
          <w:color w:val="000000"/>
          <w:kern w:val="0"/>
          <w:sz w:val="32"/>
          <w:szCs w:val="32"/>
        </w:rPr>
        <w:t>部门机构设置情况</w:t>
      </w:r>
    </w:p>
    <w:tbl>
      <w:tblPr>
        <w:tblStyle w:val="4"/>
        <w:tblW w:w="945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33"/>
        <w:gridCol w:w="1415"/>
        <w:gridCol w:w="1019"/>
        <w:gridCol w:w="27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23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0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79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3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廊坊市广阳区南尖塔镇人民政府</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01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正科级</w:t>
            </w:r>
          </w:p>
        </w:tc>
        <w:tc>
          <w:tcPr>
            <w:tcW w:w="27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3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廊坊市广阳区南尖塔镇财政所</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1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3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廊坊市广阳区南尖塔镇计生办</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1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3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廊坊市广阳区南尖塔镇农业办</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1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3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廊坊市广阳区南尖塔镇小学</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1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3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廊坊市广阳区南尖塔镇中学</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1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3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廊坊市广阳区南尖塔镇其他教育</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1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广阳区南尖塔镇人民政府</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4768.54</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4768.54</w:t>
      </w:r>
      <w:r>
        <w:rPr>
          <w:rFonts w:hint="eastAsia" w:ascii="仿宋_GB2312" w:eastAsia="仿宋_GB2312" w:cs="宋体"/>
          <w:color w:val="000000"/>
          <w:kern w:val="0"/>
          <w:sz w:val="32"/>
          <w:szCs w:val="32"/>
        </w:rPr>
        <w:t>万元，政府性基金收入0万元，财政专户核拨收入0万元，其他来源收入0万元。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w:t>
      </w:r>
      <w:r>
        <w:rPr>
          <w:rFonts w:hint="eastAsia" w:ascii="仿宋_GB2312" w:eastAsia="仿宋_GB2312" w:cs="宋体"/>
          <w:color w:val="000000"/>
          <w:kern w:val="0"/>
          <w:sz w:val="32"/>
          <w:szCs w:val="32"/>
        </w:rPr>
        <w:t>廊坊市广阳区南尖塔镇政府</w:t>
      </w:r>
      <w:r>
        <w:rPr>
          <w:rFonts w:ascii="仿宋_GB2312" w:eastAsia="仿宋_GB2312" w:cs="宋体"/>
          <w:color w:val="000000"/>
          <w:kern w:val="0"/>
          <w:sz w:val="32"/>
          <w:szCs w:val="32"/>
        </w:rPr>
        <w:t>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年支出预算4768.54万元，其中基本支出4522.09万元，包括人员经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4357.82万元</w:t>
      </w:r>
      <w:r>
        <w:rPr>
          <w:rFonts w:hint="eastAsia" w:ascii="仿宋_GB2312" w:eastAsia="仿宋_GB2312" w:cs="宋体"/>
          <w:color w:val="000000"/>
          <w:kern w:val="0"/>
          <w:sz w:val="32"/>
          <w:szCs w:val="32"/>
        </w:rPr>
        <w:t>和日</w:t>
      </w:r>
      <w:r>
        <w:rPr>
          <w:rFonts w:ascii="仿宋_GB2312" w:eastAsia="仿宋_GB2312" w:cs="宋体"/>
          <w:color w:val="000000"/>
          <w:kern w:val="0"/>
          <w:sz w:val="32"/>
          <w:szCs w:val="32"/>
        </w:rPr>
        <w:t>常公用经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164.27万元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项目支出246.45</w:t>
      </w:r>
      <w:r>
        <w:rPr>
          <w:rFonts w:hint="eastAsia" w:ascii="仿宋_GB2312" w:eastAsia="仿宋_GB2312" w:cs="宋体"/>
          <w:color w:val="000000"/>
          <w:kern w:val="0"/>
          <w:sz w:val="32"/>
          <w:szCs w:val="32"/>
        </w:rPr>
        <w:t>万元，主要为社区聘用人员经费132.72万元，乡镇卫生清运经费100万元。。</w:t>
      </w:r>
      <w:r>
        <w:rPr>
          <w:rFonts w:ascii="仿宋_GB2312" w:eastAsia="仿宋_GB2312" w:cs="宋体"/>
          <w:color w:val="000000"/>
          <w:kern w:val="0"/>
          <w:sz w:val="32"/>
          <w:szCs w:val="32"/>
        </w:rPr>
        <w:t xml:space="preserve"> </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4768.54</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825.77</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565.6</w:t>
      </w:r>
      <w:r>
        <w:rPr>
          <w:rFonts w:hint="eastAsia" w:ascii="仿宋_GB2312" w:eastAsia="仿宋_GB2312" w:cs="宋体"/>
          <w:color w:val="000000"/>
          <w:kern w:val="0"/>
          <w:sz w:val="32"/>
          <w:szCs w:val="32"/>
        </w:rPr>
        <w:t>万元，主要为增加人员支出；项目支出增加</w:t>
      </w:r>
      <w:r>
        <w:rPr>
          <w:rFonts w:ascii="仿宋_GB2312" w:eastAsia="仿宋_GB2312" w:cs="宋体"/>
          <w:color w:val="000000"/>
          <w:kern w:val="0"/>
          <w:sz w:val="32"/>
          <w:szCs w:val="32"/>
        </w:rPr>
        <w:t>246.45</w:t>
      </w:r>
      <w:r>
        <w:rPr>
          <w:rFonts w:hint="eastAsia" w:ascii="仿宋_GB2312" w:eastAsia="仿宋_GB2312" w:cs="宋体"/>
          <w:color w:val="000000"/>
          <w:kern w:val="0"/>
          <w:sz w:val="32"/>
          <w:szCs w:val="32"/>
        </w:rPr>
        <w:t>万元，主要增加</w:t>
      </w:r>
      <w:r>
        <w:rPr>
          <w:rFonts w:ascii="仿宋_GB2312" w:eastAsia="仿宋_GB2312" w:cs="宋体"/>
          <w:color w:val="000000"/>
          <w:kern w:val="0"/>
          <w:sz w:val="32"/>
          <w:szCs w:val="32"/>
        </w:rPr>
        <w:t>社区聘用人员、民办教师、卫生清运等项目支出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53.97</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22.97</w:t>
      </w:r>
      <w:r>
        <w:rPr>
          <w:rFonts w:hint="eastAsia" w:ascii="仿宋_GB2312" w:eastAsia="仿宋_GB2312" w:cs="宋体"/>
          <w:color w:val="000000"/>
          <w:kern w:val="0"/>
          <w:sz w:val="32"/>
          <w:szCs w:val="32"/>
        </w:rPr>
        <w:t>万元，其他业务费</w:t>
      </w:r>
      <w:r>
        <w:rPr>
          <w:rFonts w:ascii="仿宋_GB2312" w:eastAsia="仿宋_GB2312" w:cs="宋体"/>
          <w:color w:val="000000"/>
          <w:kern w:val="0"/>
          <w:sz w:val="32"/>
          <w:szCs w:val="32"/>
        </w:rPr>
        <w:t>31万元</w:t>
      </w:r>
      <w:r>
        <w:rPr>
          <w:rFonts w:hint="eastAsia" w:ascii="仿宋_GB2312" w:eastAsia="仿宋_GB2312" w:cs="宋体"/>
          <w:color w:val="000000"/>
          <w:kern w:val="0"/>
          <w:sz w:val="32"/>
          <w:szCs w:val="32"/>
        </w:rPr>
        <w:t>。主要用于机关办公区的日常维修、办公用房水电费、办公用房取暖费、办公用房物业管理费等日常运行支出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年，我部门“三公”经费预算安排4.6万元，</w:t>
      </w:r>
      <w:r>
        <w:rPr>
          <w:rFonts w:hint="eastAsia" w:ascii="仿宋_GB2312" w:eastAsia="仿宋_GB2312" w:cs="Times New Roman"/>
          <w:sz w:val="32"/>
          <w:szCs w:val="32"/>
        </w:rPr>
        <w:t>其中因公出国（境）费</w:t>
      </w:r>
      <w:r>
        <w:rPr>
          <w:rFonts w:ascii="仿宋_GB2312" w:eastAsia="仿宋_GB2312" w:cs="Times New Roman"/>
          <w:sz w:val="32"/>
          <w:szCs w:val="32"/>
        </w:rPr>
        <w:t>0</w:t>
      </w:r>
      <w:r>
        <w:rPr>
          <w:rFonts w:hint="eastAsia" w:ascii="仿宋_GB2312" w:eastAsia="仿宋_GB2312" w:cs="Times New Roman"/>
          <w:sz w:val="32"/>
          <w:szCs w:val="32"/>
        </w:rPr>
        <w:t>万元；</w:t>
      </w:r>
      <w:r>
        <w:rPr>
          <w:rFonts w:hint="eastAsia" w:ascii="仿宋_GB2312" w:eastAsia="仿宋_GB2312" w:cs="宋体"/>
          <w:color w:val="000000"/>
          <w:kern w:val="0"/>
          <w:sz w:val="32"/>
          <w:szCs w:val="32"/>
        </w:rPr>
        <w:t>公务用车购置及运维费4.6万元（其中：公务用车购置费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，公务用车运行费为4.6万元)；公务接待费无。</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年增公务用车运行费4.6万元，主要原因是2017年无此项预算。</w:t>
      </w:r>
    </w:p>
    <w:p>
      <w:pPr>
        <w:widowControl/>
        <w:spacing w:line="570" w:lineRule="exact"/>
        <w:ind w:left="15"/>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 xml:space="preserve">   总体绩效目标：</w:t>
      </w:r>
      <w:r>
        <w:rPr>
          <w:rFonts w:hint="eastAsia" w:ascii="仿宋_GB2312" w:eastAsia="仿宋_GB2312"/>
          <w:color w:val="000000"/>
          <w:sz w:val="32"/>
          <w:szCs w:val="32"/>
        </w:rPr>
        <w:t>一、负责党委全面工作，主持召集党委会议和党员(党员代表)大会，认真贯彻执行党的路线、方针、政策和上级的决议、指示，贯彻党委的决议和决定;研究安排党委工作，将党委工作中的重大问题及时提交党委和党员(党员代表)大会讨论决定。 二、坚持贯彻民主集中制原则和“三会一课”制度。 三、负责党的建设工作，保证党建目标的实现，及时准确地完成上级党委下达的各项任务。 四、负责党委班子思想、组织、作风建设，负责党员、干部队伍的教育与管理。 五、负责党委班子中心组理论学习工作，按时召开党委民主生活会，搞好党委的自身建设，充分发挥党委的集体领导作用。 六、负责党风廉政建设和反腐败工作，抓好精神文明建设，指导工、青、妇等群团组织和职能部门，广泛深入开展精神文明创建活动。 七、检查党委工作计划、决议的执行情况，按时向上级党委和党员(或党员代表)大会报告工作。 八、落实党政同责、一岗双责所要求的其他工作</w:t>
      </w:r>
      <w:r>
        <w:rPr>
          <w:rFonts w:hint="eastAsia" w:ascii="仿宋_GB2312" w:eastAsia="仿宋_GB2312" w:cs="宋体"/>
          <w:color w:val="000000"/>
          <w:kern w:val="0"/>
          <w:sz w:val="32"/>
          <w:szCs w:val="32"/>
        </w:rPr>
        <w:br w:type="textWrapping"/>
      </w:r>
    </w:p>
    <w:p>
      <w:pPr>
        <w:widowControl/>
        <w:spacing w:line="570" w:lineRule="exact"/>
        <w:ind w:firstLine="63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职责分类绩效目标：</w:t>
      </w:r>
      <w:r>
        <w:rPr>
          <w:rFonts w:hint="eastAsia" w:ascii="仿宋_GB2312" w:eastAsia="仿宋_GB2312"/>
          <w:color w:val="000000"/>
          <w:sz w:val="32"/>
          <w:szCs w:val="32"/>
        </w:rPr>
        <w:t>一、执行上级党委 、政府和同级党委、人民代表大会决定 、决议，并报告政府工作。 二、制定街道办事处政府各项工作总体规划和年度目标管理，并组织实施 。 三、主持召开办事处政府工作办公会议。 四、协助党委书记抓好政治思想工作和廉政建设，保持政府机关廉洁高效，密切联系群众，在群众中树立良好形象。 五、积极探索辖区经济建设新路子，采取切实可行的措施，强化各种机制，推动辖区经济建设稳步发展。 六、深入调查研究，深入基层解决实际问题，总结推广典型经验 。 七、在党委的领导下，街道人大的监督支持下，协调开展各项工作 。 八、对上级政府交办的各项临时任务和本级政府各项中心工作，负责组织安排和实施 。</w:t>
      </w:r>
    </w:p>
    <w:p>
      <w:pPr>
        <w:widowControl/>
        <w:spacing w:line="570" w:lineRule="exact"/>
        <w:ind w:firstLine="630"/>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70" w:lineRule="exact"/>
        <w:jc w:val="left"/>
        <w:rPr>
          <w:rFonts w:ascii="宋体" w:hAnsi="宋体" w:eastAsia="仿宋_GB2312" w:cs="宋体"/>
          <w:color w:val="000000"/>
          <w:kern w:val="0"/>
          <w:sz w:val="32"/>
          <w:szCs w:val="32"/>
        </w:rPr>
      </w:pPr>
    </w:p>
    <w:p>
      <w:pPr>
        <w:widowControl/>
        <w:spacing w:line="570" w:lineRule="exact"/>
        <w:ind w:firstLine="630"/>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部门职责-工作活动绩效目标</w:t>
      </w:r>
    </w:p>
    <w:p>
      <w:pPr>
        <w:widowControl/>
        <w:spacing w:line="570" w:lineRule="exact"/>
        <w:jc w:val="left"/>
      </w:pPr>
      <w:r>
        <w:rPr>
          <w:rFonts w:hint="eastAsia" w:ascii="宋体" w:hAnsi="宋体" w:eastAsia="仿宋_GB2312" w:cs="宋体"/>
          <w:color w:val="000000"/>
          <w:kern w:val="0"/>
          <w:sz w:val="32"/>
          <w:szCs w:val="32"/>
        </w:rPr>
        <w:t> </w:t>
      </w:r>
    </w:p>
    <w:tbl>
      <w:tblPr>
        <w:tblStyle w:val="4"/>
        <w:tblW w:w="139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0"/>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5" w:type="dxa"/>
            <w:gridSpan w:val="5"/>
            <w:tcBorders>
              <w:top w:val="single" w:color="FFFFFF" w:sz="6" w:space="0"/>
              <w:left w:val="single" w:color="FFFFFF" w:sz="6" w:space="0"/>
              <w:bottom w:val="single" w:color="000000" w:sz="6" w:space="0"/>
              <w:right w:val="single" w:color="FFFFFF" w:sz="6" w:space="0"/>
              <w:tl2br w:val="nil"/>
              <w:tr2bl w:val="nil"/>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914廊坊市广阳区南尖塔镇人民政府</w:t>
            </w:r>
          </w:p>
        </w:tc>
        <w:tc>
          <w:tcPr>
            <w:tcW w:w="2948" w:type="dxa"/>
            <w:gridSpan w:val="4"/>
            <w:tcBorders>
              <w:top w:val="single" w:color="FFFFFF" w:sz="6" w:space="0"/>
              <w:left w:val="single" w:color="FFFFFF" w:sz="6" w:space="0"/>
              <w:bottom w:val="single" w:color="000000" w:sz="6" w:space="0"/>
              <w:right w:val="single" w:color="FFFFFF" w:sz="6" w:space="0"/>
              <w:tl2br w:val="nil"/>
              <w:tr2bl w:val="nil"/>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一、政务服务</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146.45</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政务公开、镇政府、街办处会议管理、督察督办、政务联络等工作。</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1、政务公开</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承担镇、街办处政务公开暨行政权力公开透明运行工作领导小组的日常工作，指导和协调全镇政务公开及政务服务中心建设、推进行政服务体系标准化建设工作。</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通过完成乡镇政务信息公开工作的指导监督工作，使全乡镇信息公开业务队伍素质不断提高，业务水平进一步提升；政府政务信息公开范围不断扩大，公开内容得到进一步细化。</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政务公开次数</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政务公开内容</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2、政务联络</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负责管理县政府驻外办事处工作。负责县领导、县有关部门公务活动的接待安排；</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做好区际间与本乡镇政务往来服务保障工作</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重大会议的协调安保工作完成率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重大会议的内容完成情况</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对外联络任务完成程度</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对外联络任务效果</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3、会议管理</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政府会议的准备和服务工作，协助政府领导组织会议决定事项的落实。</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做好村街会议保障；严格召开的会议审批，控制会议费开支规模。</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重大会议的协调安保工作完成率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大型会议执行度</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4、督查督办</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146.45</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督促检查街道各部门对政府决定事项及政府领导重要指示的执行落实情况并跟踪调研，及时向领导报告。组织承办人大代表和政协提案工作。</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确保村街决定事项及村街领导重要指示得到贯彻落实。</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督察督办次数</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督察督办程度</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二、应急管理</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基层政府值班工作，及时报告重要情况，传达和督促落实镇政府领导指示。协助镇政府领导做好需由基层政府组织处理的突发事件应急处置工作。</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1、应急管理</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政府值班工作，及时报告重要情况，传达和督促落实镇政府领导指示。协助镇政府领导做好需由镇政府组织处理的突发事件应急处置工作。</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维护好本地政府应急平台，确保乡镇应急工作顺利完成；各类突发事件得到及时妥善处置</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突发事件处理程度</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突发事件处理效果</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三、残疾人综合业务管理</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对持证残疾人需求情况进行调查，对残疾人状况进行动态监测，加强和规范残疾人基层组织建设，加大残疾人就业保障金的征收力度，加强残疾人工作信息化建设和基础研究</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摸清残疾人底数，增强基层服务残疾人的能力，确保残疾人就业保障金的稳定增收；构建残疾人公共服务网络化平台。</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设施设备运转保障、残疾人组织建设、工作信息化建设等项工作</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发挥专门协会桥梁纽带作用，联系广大残疾人；提高残疾人证办证率；增强基层服务残疾人的能力；保障正常运转，促进残疾人事业发展。</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专门活动</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已开展活动</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人员情况调查</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四、维护妇女儿童合法权益促进妇女儿童发展</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关注并加强研究涉及妇女切身利益的热点、难点问题，及时向镇委和镇政府反映社情民意，提出对策建议。</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妇女综合素质和发展能力有较大提升。妇女儿童合法权益得到有效维护，男女平等基本国策宣传进一步深入人心。</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1、维权服务</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帮助权益受到侵害的妇女儿童解决困难和问题，提高广大妇女儿童的维权意识和维权能力，维护妇女儿童合法权益；规范妇女信访秩序，促进社会和谐稳定。</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答复妇女来电来访情况</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妇女信访代理工作开展情况</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法律援助妇女侵权案件办理情况</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五、工会事务管理</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研究指导全镇工会自身建设；承担镇委、镇政府及全国总工会交办的其他事项。</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加强组织和干部队伍建设，提高干部业务素质和大型企事业单位工会领导干部水平，促进工会事业发展。</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1、综合事务管理</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研究指导全镇工会自身改革和建设；负责工会干部管理制度和培训规划制定以及培训工作；承担镇委、镇政府及全国总工会交办的其他事项。</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切实提高工会综合事务管理水平，保障单位的正常运转</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职工定期活动率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对困难职工关注率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六、团委事务管理</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负责团委综合业务管理。</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年度工作任务圆满完成，促进共青团事业发展。</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参与制定全镇的青少年事业发展规划和青少年工作方针、政策;承担镇委、镇政府和团中央交办的有关事项。</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高质量完成全镇青少年发展规划和方针政策的制定，圆满完成省委、省政府和团中央交办的各项任务。</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综合业务完成率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青少年团员率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青少年团员定期活动率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七、宣传事务管理</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开展宣传文化业务管理，加强政策业务宣传等。</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重点工作督察督办数</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重点工作宣传次数</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重点工作宣传内容办数</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八、选举和任免</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检查监督代表法、选举法及其实施办法的贯彻实施；承担人大换届选举及人事任免服务工作；负责对镇政府组成人员主要负责人的目标责任书、述职报告的督办工作。</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1、换届选举及人事任免</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确保镇镇人大换届选举工作顺利完成，提高组织换届选举工作水平；高质量完成机关领导人选举和常委会人事任免服务工作；高效督办有关部门负责人的目标责任书和述职报告。</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调研计划完成率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巡视工作完成率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组织系统互联网建设率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九、电子政务管理</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1、政府电子政务管理与服务</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确保各类会议顺利进行；保障村街网络系统安全、稳定运行，技术设备安全可用</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网站事故次数</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网站内容</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网站作用</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十、地方志事务</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100.00</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全街道地方志事务管理。</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弘扬和传承优秀文化传统，充分发挥志书“资政、存史、教化”的综合功能，为社会各界方便快捷提供县情，为本县经济社会建设服务，为地方志工作者提供资料和工具。</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1、地方志事务管理</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100.00</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拟订全街道地方志工作规划并组织实施；搜集、保存、管理地方文献和资料；组织开发利用地方志资源；建设和维护街道地方志县情网络。</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为社会各界方便快捷提供村街情，为经济社会建设服务</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编印差错率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真实程度</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影响范围</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十一、建设与环保政务管理</w:t>
            </w:r>
          </w:p>
        </w:tc>
        <w:tc>
          <w:tcPr>
            <w:tcW w:w="12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负责环境保护系统综合业务管理和机关综合事务管理。</w:t>
            </w:r>
          </w:p>
        </w:tc>
        <w:tc>
          <w:tcPr>
            <w:tcW w:w="2976"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加强城乡建设与环保保护管理工作。</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加强污染治理技术研究及推广、排污费征收管理及环保专项资金使用。完善环保公共服务体系，加强环保创新能力，加大重点实验室及环境监测、监察的建设力度。</w:t>
            </w:r>
          </w:p>
        </w:tc>
        <w:tc>
          <w:tcPr>
            <w:tcW w:w="2976"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加强全省住房城镇建设人才队伍建设，提高人才业务素质，激励工作热情，提高行业水平</w:t>
            </w: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保障各项业务工作畅通</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0"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工作完成进度</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bl>
    <w:p>
      <w:pPr>
        <w:widowControl/>
        <w:spacing w:line="570" w:lineRule="exact"/>
        <w:jc w:val="left"/>
        <w:rPr>
          <w:rFonts w:ascii="宋体" w:hAnsi="宋体" w:eastAsia="仿宋_GB2312" w:cs="宋体"/>
          <w:color w:val="000000"/>
          <w:kern w:val="0"/>
          <w:sz w:val="32"/>
          <w:szCs w:val="32"/>
        </w:rPr>
      </w:pPr>
    </w:p>
    <w:p>
      <w:pPr>
        <w:widowControl/>
        <w:spacing w:line="570" w:lineRule="exact"/>
        <w:jc w:val="left"/>
        <w:rPr>
          <w:rFonts w:ascii="宋体" w:hAnsi="宋体" w:eastAsia="仿宋_GB2312" w:cs="宋体"/>
          <w:color w:val="000000"/>
          <w:kern w:val="0"/>
          <w:sz w:val="32"/>
          <w:szCs w:val="32"/>
        </w:rPr>
      </w:pPr>
      <w:r>
        <w:rPr>
          <w:rFonts w:ascii="宋体" w:hAnsi="宋体" w:eastAsia="仿宋_GB2312" w:cs="宋体"/>
          <w:color w:val="000000"/>
          <w:kern w:val="0"/>
          <w:sz w:val="32"/>
          <w:szCs w:val="32"/>
        </w:rPr>
        <w:br w:type="page"/>
      </w: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年，我部门无安排政府采购。</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40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973"/>
        <w:gridCol w:w="850"/>
        <w:gridCol w:w="812"/>
        <w:gridCol w:w="8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方正小标宋_GBK" w:eastAsia="方正小标宋_GBK"/>
                <w:sz w:val="24"/>
              </w:rPr>
              <w:t>914-廊坊市广阳区</w:t>
            </w:r>
            <w:r>
              <w:rPr>
                <w:rFonts w:ascii="方正小标宋_GBK" w:eastAsia="方正小标宋_GBK"/>
                <w:sz w:val="24"/>
              </w:rPr>
              <w:t>南尖塔镇</w:t>
            </w:r>
          </w:p>
        </w:tc>
        <w:tc>
          <w:tcPr>
            <w:tcW w:w="6057"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6057"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341"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86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97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5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12"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86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973" w:type="dxa"/>
            <w:shd w:val="clear" w:color="auto" w:fill="auto"/>
            <w:vAlign w:val="center"/>
          </w:tcPr>
          <w:p>
            <w:pPr>
              <w:spacing w:line="570" w:lineRule="exact"/>
              <w:jc w:val="center"/>
              <w:rPr>
                <w:rFonts w:ascii="仿宋_GB2312" w:eastAsia="仿宋_GB2312" w:cs="Times New Roman"/>
                <w:b/>
                <w:sz w:val="28"/>
                <w:szCs w:val="28"/>
              </w:rPr>
            </w:pPr>
          </w:p>
        </w:tc>
        <w:tc>
          <w:tcPr>
            <w:tcW w:w="850" w:type="dxa"/>
            <w:shd w:val="clear" w:color="auto" w:fill="auto"/>
            <w:vAlign w:val="center"/>
          </w:tcPr>
          <w:p>
            <w:pPr>
              <w:spacing w:line="570" w:lineRule="exact"/>
              <w:jc w:val="center"/>
              <w:rPr>
                <w:rFonts w:ascii="仿宋_GB2312" w:eastAsia="仿宋_GB2312" w:cs="Times New Roman"/>
                <w:b/>
                <w:sz w:val="28"/>
                <w:szCs w:val="28"/>
              </w:rPr>
            </w:pPr>
          </w:p>
        </w:tc>
        <w:tc>
          <w:tcPr>
            <w:tcW w:w="812" w:type="dxa"/>
            <w:shd w:val="clear" w:color="auto" w:fill="auto"/>
            <w:vAlign w:val="center"/>
          </w:tcPr>
          <w:p>
            <w:pPr>
              <w:spacing w:line="570" w:lineRule="exact"/>
              <w:jc w:val="center"/>
              <w:rPr>
                <w:rFonts w:ascii="仿宋_GB2312" w:eastAsia="仿宋_GB2312" w:cs="Times New Roman"/>
                <w:b/>
                <w:sz w:val="28"/>
                <w:szCs w:val="28"/>
              </w:rPr>
            </w:pPr>
          </w:p>
        </w:tc>
        <w:tc>
          <w:tcPr>
            <w:tcW w:w="863"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973" w:type="dxa"/>
            <w:shd w:val="clear" w:color="auto" w:fill="auto"/>
            <w:vAlign w:val="center"/>
          </w:tcPr>
          <w:p>
            <w:pPr>
              <w:spacing w:line="570" w:lineRule="exact"/>
              <w:jc w:val="center"/>
              <w:rPr>
                <w:rFonts w:ascii="仿宋_GB2312" w:eastAsia="仿宋_GB2312" w:cs="Times New Roman"/>
                <w:b/>
                <w:sz w:val="28"/>
                <w:szCs w:val="28"/>
              </w:rPr>
            </w:pPr>
          </w:p>
        </w:tc>
        <w:tc>
          <w:tcPr>
            <w:tcW w:w="850" w:type="dxa"/>
            <w:shd w:val="clear" w:color="auto" w:fill="auto"/>
            <w:vAlign w:val="center"/>
          </w:tcPr>
          <w:p>
            <w:pPr>
              <w:spacing w:line="570" w:lineRule="exact"/>
              <w:jc w:val="center"/>
              <w:rPr>
                <w:rFonts w:ascii="仿宋_GB2312" w:eastAsia="仿宋_GB2312" w:cs="Times New Roman"/>
                <w:b/>
                <w:sz w:val="28"/>
                <w:szCs w:val="28"/>
              </w:rPr>
            </w:pPr>
          </w:p>
        </w:tc>
        <w:tc>
          <w:tcPr>
            <w:tcW w:w="812" w:type="dxa"/>
            <w:shd w:val="clear" w:color="auto" w:fill="auto"/>
            <w:vAlign w:val="center"/>
          </w:tcPr>
          <w:p>
            <w:pPr>
              <w:spacing w:line="570" w:lineRule="exact"/>
              <w:jc w:val="center"/>
              <w:rPr>
                <w:rFonts w:ascii="仿宋_GB2312" w:eastAsia="仿宋_GB2312" w:cs="Times New Roman"/>
                <w:b/>
                <w:sz w:val="28"/>
                <w:szCs w:val="28"/>
              </w:rPr>
            </w:pPr>
          </w:p>
        </w:tc>
        <w:tc>
          <w:tcPr>
            <w:tcW w:w="863"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973" w:type="dxa"/>
            <w:shd w:val="clear" w:color="auto" w:fill="auto"/>
            <w:vAlign w:val="center"/>
          </w:tcPr>
          <w:p>
            <w:pPr>
              <w:spacing w:line="570" w:lineRule="exact"/>
              <w:jc w:val="center"/>
              <w:rPr>
                <w:rFonts w:ascii="仿宋_GB2312" w:eastAsia="仿宋_GB2312" w:cs="Times New Roman"/>
                <w:sz w:val="28"/>
                <w:szCs w:val="28"/>
              </w:rPr>
            </w:pPr>
          </w:p>
        </w:tc>
        <w:tc>
          <w:tcPr>
            <w:tcW w:w="850" w:type="dxa"/>
            <w:shd w:val="clear" w:color="auto" w:fill="auto"/>
            <w:vAlign w:val="center"/>
          </w:tcPr>
          <w:p>
            <w:pPr>
              <w:spacing w:line="570" w:lineRule="exact"/>
              <w:jc w:val="center"/>
              <w:rPr>
                <w:rFonts w:ascii="仿宋_GB2312" w:eastAsia="仿宋_GB2312" w:cs="Times New Roman"/>
                <w:sz w:val="28"/>
                <w:szCs w:val="28"/>
              </w:rPr>
            </w:pPr>
          </w:p>
        </w:tc>
        <w:tc>
          <w:tcPr>
            <w:tcW w:w="812" w:type="dxa"/>
            <w:shd w:val="clear" w:color="auto" w:fill="auto"/>
            <w:vAlign w:val="center"/>
          </w:tcPr>
          <w:p>
            <w:pPr>
              <w:spacing w:line="570" w:lineRule="exact"/>
              <w:jc w:val="center"/>
              <w:rPr>
                <w:rFonts w:ascii="仿宋_GB2312" w:eastAsia="仿宋_GB2312" w:cs="Times New Roman"/>
                <w:sz w:val="28"/>
                <w:szCs w:val="28"/>
              </w:rPr>
            </w:pPr>
          </w:p>
        </w:tc>
        <w:tc>
          <w:tcPr>
            <w:tcW w:w="863" w:type="dxa"/>
            <w:shd w:val="clear" w:color="auto" w:fill="auto"/>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973" w:type="dxa"/>
            <w:shd w:val="clear" w:color="auto" w:fill="auto"/>
            <w:vAlign w:val="center"/>
          </w:tcPr>
          <w:p>
            <w:pPr>
              <w:spacing w:line="570" w:lineRule="exact"/>
              <w:jc w:val="center"/>
              <w:rPr>
                <w:rFonts w:ascii="仿宋_GB2312" w:eastAsia="仿宋_GB2312" w:cs="Times New Roman"/>
                <w:sz w:val="28"/>
                <w:szCs w:val="28"/>
              </w:rPr>
            </w:pPr>
          </w:p>
        </w:tc>
        <w:tc>
          <w:tcPr>
            <w:tcW w:w="850" w:type="dxa"/>
            <w:shd w:val="clear" w:color="auto" w:fill="auto"/>
            <w:vAlign w:val="center"/>
          </w:tcPr>
          <w:p>
            <w:pPr>
              <w:spacing w:line="570" w:lineRule="exact"/>
              <w:jc w:val="center"/>
              <w:rPr>
                <w:rFonts w:ascii="仿宋_GB2312" w:eastAsia="仿宋_GB2312" w:cs="Times New Roman"/>
                <w:sz w:val="28"/>
                <w:szCs w:val="28"/>
              </w:rPr>
            </w:pPr>
          </w:p>
        </w:tc>
        <w:tc>
          <w:tcPr>
            <w:tcW w:w="812" w:type="dxa"/>
            <w:shd w:val="clear" w:color="auto" w:fill="auto"/>
            <w:vAlign w:val="center"/>
          </w:tcPr>
          <w:p>
            <w:pPr>
              <w:spacing w:line="570" w:lineRule="exact"/>
              <w:jc w:val="center"/>
              <w:rPr>
                <w:rFonts w:ascii="仿宋_GB2312" w:eastAsia="仿宋_GB2312" w:cs="Times New Roman"/>
                <w:sz w:val="28"/>
                <w:szCs w:val="28"/>
              </w:rPr>
            </w:pPr>
          </w:p>
        </w:tc>
        <w:tc>
          <w:tcPr>
            <w:tcW w:w="863" w:type="dxa"/>
            <w:shd w:val="clear" w:color="auto" w:fill="auto"/>
            <w:vAlign w:val="center"/>
          </w:tcPr>
          <w:p>
            <w:pPr>
              <w:spacing w:line="570" w:lineRule="exact"/>
              <w:jc w:val="center"/>
              <w:rPr>
                <w:rFonts w:ascii="仿宋_GB2312" w:eastAsia="仿宋_GB2312" w:cs="Times New Roman"/>
                <w:sz w:val="28"/>
                <w:szCs w:val="28"/>
              </w:rPr>
            </w:pPr>
          </w:p>
        </w:tc>
      </w:tr>
    </w:tbl>
    <w:p>
      <w:pPr>
        <w:widowControl/>
        <w:spacing w:line="570" w:lineRule="exact"/>
        <w:ind w:left="161" w:hanging="161" w:hangingChars="50"/>
        <w:jc w:val="left"/>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广阳区南尖塔镇人民政府</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971.95</w:t>
      </w:r>
      <w:r>
        <w:rPr>
          <w:rFonts w:hint="eastAsia" w:ascii="仿宋_GB2312" w:eastAsia="仿宋_GB2312" w:cs="宋体"/>
          <w:color w:val="000000"/>
          <w:kern w:val="0"/>
          <w:sz w:val="32"/>
          <w:szCs w:val="32"/>
        </w:rPr>
        <w:t>万元，我部门本年度无拟购置固定资产，详见下表。</w:t>
      </w:r>
    </w:p>
    <w:tbl>
      <w:tblPr>
        <w:tblStyle w:val="4"/>
        <w:tblW w:w="10385" w:type="dxa"/>
        <w:jc w:val="center"/>
        <w:tblCellSpacing w:w="0" w:type="dxa"/>
        <w:tblLayout w:type="fixed"/>
        <w:tblCellMar>
          <w:top w:w="0" w:type="dxa"/>
          <w:left w:w="0" w:type="dxa"/>
          <w:bottom w:w="0" w:type="dxa"/>
          <w:right w:w="0" w:type="dxa"/>
        </w:tblCellMar>
      </w:tblPr>
      <w:tblGrid>
        <w:gridCol w:w="4055"/>
        <w:gridCol w:w="2615"/>
        <w:gridCol w:w="3715"/>
      </w:tblGrid>
      <w:tr>
        <w:tblPrEx>
          <w:tblCellMar>
            <w:top w:w="0" w:type="dxa"/>
            <w:left w:w="0" w:type="dxa"/>
            <w:bottom w:w="0" w:type="dxa"/>
            <w:right w:w="0" w:type="dxa"/>
          </w:tblCellMar>
        </w:tblPrEx>
        <w:trPr>
          <w:trHeight w:val="705" w:hRule="atLeast"/>
          <w:tblCellSpacing w:w="0" w:type="dxa"/>
          <w:jc w:val="center"/>
        </w:trPr>
        <w:tc>
          <w:tcPr>
            <w:tcW w:w="10385" w:type="dxa"/>
            <w:gridSpan w:val="3"/>
            <w:tcBorders>
              <w:top w:val="nil"/>
              <w:left w:val="nil"/>
              <w:bottom w:val="nil"/>
              <w:right w:val="nil"/>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b/>
                <w:bCs/>
                <w:color w:val="000000"/>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70" w:type="dxa"/>
            <w:gridSpan w:val="2"/>
            <w:tcBorders>
              <w:top w:val="nil"/>
              <w:left w:val="nil"/>
              <w:bottom w:val="nil"/>
              <w:right w:val="nil"/>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编制部门：914-</w:t>
            </w:r>
            <w:r>
              <w:rPr>
                <w:rFonts w:hint="eastAsia" w:ascii="仿宋_GB2312" w:eastAsia="仿宋_GB2312" w:cs="宋体"/>
                <w:b/>
                <w:bCs/>
                <w:color w:val="000000"/>
                <w:kern w:val="0"/>
                <w:sz w:val="28"/>
                <w:szCs w:val="28"/>
              </w:rPr>
              <w:t>廊坊市广阳区南尖塔镇人民政府</w:t>
            </w:r>
          </w:p>
        </w:tc>
        <w:tc>
          <w:tcPr>
            <w:tcW w:w="3715" w:type="dxa"/>
            <w:tcBorders>
              <w:top w:val="nil"/>
              <w:left w:val="nil"/>
              <w:bottom w:val="nil"/>
              <w:right w:val="nil"/>
            </w:tcBorders>
            <w:noWrap/>
            <w:vAlign w:val="center"/>
          </w:tcPr>
          <w:p>
            <w:pPr>
              <w:widowControl/>
              <w:spacing w:line="360" w:lineRule="atLeast"/>
              <w:jc w:val="left"/>
              <w:rPr>
                <w:rFonts w:ascii="宋体" w:hAnsi="宋体" w:eastAsia="仿宋_GB2312" w:cs="宋体"/>
                <w:color w:val="000000"/>
                <w:kern w:val="0"/>
                <w:sz w:val="28"/>
                <w:szCs w:val="28"/>
              </w:rPr>
            </w:pPr>
            <w:r>
              <w:rPr>
                <w:rFonts w:hint="eastAsia" w:ascii="仿宋_GB2312" w:eastAsia="仿宋_GB2312" w:cs="宋体"/>
                <w:color w:val="000000"/>
                <w:kern w:val="0"/>
                <w:sz w:val="28"/>
                <w:szCs w:val="28"/>
              </w:rPr>
              <w:t>截止时间：201</w:t>
            </w:r>
            <w:r>
              <w:rPr>
                <w:rFonts w:hint="eastAsia" w:ascii="仿宋_GB2312" w:eastAsia="仿宋_GB2312" w:cs="宋体"/>
                <w:color w:val="000000"/>
                <w:kern w:val="0"/>
                <w:sz w:val="28"/>
                <w:szCs w:val="28"/>
                <w:lang w:val="en-US" w:eastAsia="zh-CN"/>
              </w:rPr>
              <w:t>7</w:t>
            </w:r>
            <w:r>
              <w:rPr>
                <w:rFonts w:hint="eastAsia" w:ascii="仿宋_GB2312" w:eastAsia="仿宋_GB2312" w:cs="宋体"/>
                <w:color w:val="000000"/>
                <w:kern w:val="0"/>
                <w:sz w:val="28"/>
                <w:szCs w:val="28"/>
              </w:rPr>
              <w:t>年12月31日</w:t>
            </w:r>
            <w:r>
              <w:rPr>
                <w:rFonts w:hint="eastAsia" w:ascii="宋体" w:hAnsi="宋体" w:eastAsia="仿宋_GB2312" w:cs="宋体"/>
                <w:color w:val="000000"/>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项</w:t>
            </w:r>
            <w:r>
              <w:rPr>
                <w:rFonts w:hint="eastAsia" w:ascii="宋体" w:hAnsi="宋体" w:eastAsia="仿宋_GB2312" w:cs="宋体"/>
                <w:b/>
                <w:bCs/>
                <w:color w:val="000000"/>
                <w:kern w:val="0"/>
                <w:sz w:val="28"/>
                <w:szCs w:val="28"/>
              </w:rPr>
              <w:t xml:space="preserve">   </w:t>
            </w:r>
            <w:r>
              <w:rPr>
                <w:rFonts w:hint="eastAsia" w:ascii="仿宋_GB2312" w:eastAsia="仿宋_GB2312" w:cs="宋体"/>
                <w:b/>
                <w:bCs/>
                <w:color w:val="000000"/>
                <w:kern w:val="0"/>
                <w:sz w:val="28"/>
                <w:szCs w:val="28"/>
              </w:rPr>
              <w:t>目</w:t>
            </w:r>
          </w:p>
        </w:tc>
        <w:tc>
          <w:tcPr>
            <w:tcW w:w="26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数量</w:t>
            </w:r>
          </w:p>
        </w:tc>
        <w:tc>
          <w:tcPr>
            <w:tcW w:w="37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资产总额</w:t>
            </w:r>
          </w:p>
        </w:tc>
        <w:tc>
          <w:tcPr>
            <w:tcW w:w="26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37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971.95</w:t>
            </w:r>
          </w:p>
        </w:tc>
      </w:tr>
      <w:tr>
        <w:tblPrEx>
          <w:tblCellMar>
            <w:top w:w="0" w:type="dxa"/>
            <w:left w:w="0" w:type="dxa"/>
            <w:bottom w:w="0" w:type="dxa"/>
            <w:right w:w="0" w:type="dxa"/>
          </w:tblCellMar>
        </w:tblPrEx>
        <w:trPr>
          <w:trHeight w:val="645" w:hRule="atLeast"/>
          <w:tblCellSpacing w:w="0" w:type="dxa"/>
          <w:jc w:val="center"/>
        </w:trPr>
        <w:tc>
          <w:tcPr>
            <w:tcW w:w="40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1、房屋（平方米）</w:t>
            </w:r>
          </w:p>
        </w:tc>
        <w:tc>
          <w:tcPr>
            <w:tcW w:w="26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7000</w:t>
            </w:r>
          </w:p>
        </w:tc>
        <w:tc>
          <w:tcPr>
            <w:tcW w:w="37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750</w:t>
            </w:r>
          </w:p>
        </w:tc>
      </w:tr>
      <w:tr>
        <w:tblPrEx>
          <w:tblCellMar>
            <w:top w:w="0" w:type="dxa"/>
            <w:left w:w="0" w:type="dxa"/>
            <w:bottom w:w="0" w:type="dxa"/>
            <w:right w:w="0" w:type="dxa"/>
          </w:tblCellMar>
        </w:tblPrEx>
        <w:trPr>
          <w:trHeight w:val="645" w:hRule="atLeast"/>
          <w:tblCellSpacing w:w="0" w:type="dxa"/>
          <w:jc w:val="center"/>
        </w:trPr>
        <w:tc>
          <w:tcPr>
            <w:tcW w:w="40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xml:space="preserve">   </w:t>
            </w:r>
            <w:r>
              <w:rPr>
                <w:rFonts w:hint="eastAsia" w:ascii="仿宋_GB2312" w:eastAsia="仿宋_GB2312" w:cs="宋体"/>
                <w:color w:val="000000"/>
                <w:kern w:val="0"/>
                <w:sz w:val="28"/>
                <w:szCs w:val="28"/>
              </w:rPr>
              <w:t>其中：办公用房（平方米）</w:t>
            </w:r>
          </w:p>
        </w:tc>
        <w:tc>
          <w:tcPr>
            <w:tcW w:w="26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7000</w:t>
            </w:r>
          </w:p>
        </w:tc>
        <w:tc>
          <w:tcPr>
            <w:tcW w:w="37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750</w:t>
            </w:r>
          </w:p>
        </w:tc>
      </w:tr>
      <w:tr>
        <w:tblPrEx>
          <w:tblCellMar>
            <w:top w:w="0" w:type="dxa"/>
            <w:left w:w="0" w:type="dxa"/>
            <w:bottom w:w="0" w:type="dxa"/>
            <w:right w:w="0" w:type="dxa"/>
          </w:tblCellMar>
        </w:tblPrEx>
        <w:trPr>
          <w:trHeight w:val="645" w:hRule="atLeast"/>
          <w:tblCellSpacing w:w="0" w:type="dxa"/>
          <w:jc w:val="center"/>
        </w:trPr>
        <w:tc>
          <w:tcPr>
            <w:tcW w:w="40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2、车辆（台、辆）</w:t>
            </w:r>
          </w:p>
        </w:tc>
        <w:tc>
          <w:tcPr>
            <w:tcW w:w="26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37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68.50</w:t>
            </w:r>
          </w:p>
        </w:tc>
      </w:tr>
      <w:tr>
        <w:tblPrEx>
          <w:tblCellMar>
            <w:top w:w="0" w:type="dxa"/>
            <w:left w:w="0" w:type="dxa"/>
            <w:bottom w:w="0" w:type="dxa"/>
            <w:right w:w="0" w:type="dxa"/>
          </w:tblCellMar>
        </w:tblPrEx>
        <w:trPr>
          <w:trHeight w:val="645" w:hRule="atLeast"/>
          <w:tblCellSpacing w:w="0" w:type="dxa"/>
          <w:jc w:val="center"/>
        </w:trPr>
        <w:tc>
          <w:tcPr>
            <w:tcW w:w="40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3、单价在50万元以上的设备</w:t>
            </w:r>
          </w:p>
        </w:tc>
        <w:tc>
          <w:tcPr>
            <w:tcW w:w="26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37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4、其他固定资产</w:t>
            </w:r>
          </w:p>
        </w:tc>
        <w:tc>
          <w:tcPr>
            <w:tcW w:w="26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7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right"/>
              <w:rPr>
                <w:rFonts w:ascii="仿宋_GB2312" w:eastAsia="仿宋_GB2312" w:cs="宋体"/>
                <w:color w:val="000000"/>
                <w:kern w:val="0"/>
                <w:sz w:val="28"/>
                <w:szCs w:val="28"/>
              </w:rPr>
            </w:pPr>
            <w:r>
              <w:rPr>
                <w:rFonts w:hint="eastAsia" w:ascii="仿宋_GB2312" w:eastAsia="仿宋_GB2312" w:cs="宋体"/>
                <w:color w:val="000000"/>
                <w:kern w:val="0"/>
                <w:sz w:val="28"/>
                <w:szCs w:val="28"/>
              </w:rPr>
              <w:t>153.45</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九、其他需要说明的事项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32A7F"/>
    <w:rsid w:val="000A6E46"/>
    <w:rsid w:val="009007AD"/>
    <w:rsid w:val="00911B53"/>
    <w:rsid w:val="00AB5541"/>
    <w:rsid w:val="00B32A7F"/>
    <w:rsid w:val="00C77018"/>
    <w:rsid w:val="00D228DC"/>
    <w:rsid w:val="090857B0"/>
    <w:rsid w:val="3A371B6F"/>
    <w:rsid w:val="71B4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1310</Words>
  <Characters>7471</Characters>
  <Lines>62</Lines>
  <Paragraphs>17</Paragraphs>
  <TotalTime>0</TotalTime>
  <ScaleCrop>false</ScaleCrop>
  <LinksUpToDate>false</LinksUpToDate>
  <CharactersWithSpaces>8764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2024-07-22T01:21:22Z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BA877887E5EA4A7D82199D7EE2F6B86C</vt:lpwstr>
  </property>
</Properties>
</file>