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bookmarkStart w:id="0" w:name="_GoBack"/>
      <w:r>
        <w:rPr>
          <w:rFonts w:hint="eastAsia" w:ascii="方正小标宋简体" w:eastAsia="方正小标宋简体" w:cs="宋体"/>
          <w:b/>
          <w:bCs/>
          <w:color w:val="000000"/>
          <w:kern w:val="0"/>
          <w:sz w:val="44"/>
          <w:szCs w:val="44"/>
        </w:rPr>
        <w:t>廊坊市广阳区林业局201</w:t>
      </w:r>
      <w:r>
        <w:rPr>
          <w:rFonts w:ascii="方正小标宋简体" w:eastAsia="方正小标宋简体" w:cs="宋体"/>
          <w:b/>
          <w:bCs/>
          <w:color w:val="000000"/>
          <w:kern w:val="0"/>
          <w:sz w:val="44"/>
          <w:szCs w:val="44"/>
        </w:rPr>
        <w:t>8</w:t>
      </w:r>
      <w:r>
        <w:rPr>
          <w:rFonts w:hint="eastAsia" w:ascii="方正小标宋简体" w:eastAsia="方正小标宋简体" w:cs="宋体"/>
          <w:b/>
          <w:bCs/>
          <w:color w:val="000000"/>
          <w:kern w:val="0"/>
          <w:sz w:val="44"/>
          <w:szCs w:val="44"/>
        </w:rPr>
        <w:t>年部门预算信息公开</w:t>
      </w:r>
      <w:bookmarkEnd w:id="0"/>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廊坊市广阳区林业局</w:t>
      </w: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年部门预算公开如下：</w:t>
      </w:r>
    </w:p>
    <w:p>
      <w:pPr>
        <w:widowControl/>
        <w:numPr>
          <w:ilvl w:val="0"/>
          <w:numId w:val="1"/>
        </w:numPr>
        <w:spacing w:line="570" w:lineRule="exact"/>
        <w:jc w:val="left"/>
        <w:rPr>
          <w:rFonts w:ascii="仿宋_GB2312" w:eastAsia="仿宋_GB2312"/>
          <w:sz w:val="32"/>
          <w:szCs w:val="32"/>
        </w:rPr>
      </w:pPr>
      <w:r>
        <w:rPr>
          <w:rFonts w:hint="eastAsia" w:ascii="仿宋_GB2312" w:eastAsia="仿宋_GB2312"/>
          <w:b/>
          <w:sz w:val="32"/>
          <w:szCs w:val="32"/>
        </w:rPr>
        <w:t xml:space="preserve">部门职责及机构设置情况 </w:t>
      </w:r>
      <w:r>
        <w:rPr>
          <w:rFonts w:hint="eastAsia" w:ascii="仿宋_GB2312" w:eastAsia="仿宋_GB2312"/>
          <w:sz w:val="32"/>
          <w:szCs w:val="32"/>
        </w:rPr>
        <w:t xml:space="preserve">  </w:t>
      </w:r>
      <w:r>
        <w:rPr>
          <w:rFonts w:hint="eastAsia" w:ascii="仿宋_GB2312" w:eastAsia="仿宋_GB2312"/>
          <w:sz w:val="32"/>
          <w:szCs w:val="32"/>
        </w:rPr>
        <w:br w:type="textWrapping"/>
      </w:r>
      <w:r>
        <w:rPr>
          <w:rFonts w:hint="eastAsia" w:ascii="仿宋_GB2312" w:eastAsia="仿宋_GB2312"/>
          <w:sz w:val="32"/>
          <w:szCs w:val="32"/>
        </w:rPr>
        <w:t>部门职责：</w:t>
      </w:r>
    </w:p>
    <w:p>
      <w:pPr>
        <w:widowControl/>
        <w:shd w:val="clear" w:color="auto" w:fill="FFFFFF"/>
        <w:wordWrap w:val="0"/>
        <w:spacing w:after="360" w:line="570" w:lineRule="exact"/>
        <w:ind w:firstLine="640" w:firstLineChars="200"/>
        <w:jc w:val="left"/>
        <w:rPr>
          <w:rFonts w:ascii="仿宋_GB2312" w:eastAsia="仿宋_GB2312"/>
          <w:sz w:val="32"/>
          <w:szCs w:val="32"/>
        </w:rPr>
      </w:pPr>
      <w:r>
        <w:rPr>
          <w:rFonts w:hint="eastAsia" w:ascii="仿宋_GB2312" w:eastAsia="仿宋_GB2312"/>
          <w:sz w:val="32"/>
          <w:szCs w:val="32"/>
        </w:rPr>
        <w:t>（一）负责国家和省市有关林业方针、政策、法律、法规的组织实施和监督检查。参与拟定全区林业生态环境建设、森林资源保护、国土绿化、防治沙化和林业产业发展的地方性规章制度草案，经批准后组织实施并监督检查。</w:t>
      </w:r>
    </w:p>
    <w:p>
      <w:pPr>
        <w:widowControl/>
        <w:shd w:val="clear" w:color="auto" w:fill="FFFFFF"/>
        <w:wordWrap w:val="0"/>
        <w:spacing w:after="360" w:line="570" w:lineRule="exact"/>
        <w:ind w:firstLine="640" w:firstLineChars="200"/>
        <w:jc w:val="left"/>
        <w:rPr>
          <w:rFonts w:ascii="仿宋_GB2312" w:eastAsia="仿宋_GB2312"/>
          <w:sz w:val="32"/>
          <w:szCs w:val="32"/>
        </w:rPr>
      </w:pPr>
      <w:r>
        <w:rPr>
          <w:rFonts w:hint="eastAsia" w:ascii="仿宋_GB2312" w:eastAsia="仿宋_GB2312"/>
          <w:sz w:val="32"/>
          <w:szCs w:val="32"/>
        </w:rPr>
        <w:t>（二）负责拟定全区林业发展战略规划、中长期和年度计划，组织制定全区林业综合规划和有关专业规划，并组织实施。</w:t>
      </w:r>
    </w:p>
    <w:p>
      <w:pPr>
        <w:pStyle w:val="9"/>
        <w:widowControl/>
        <w:shd w:val="clear" w:color="auto" w:fill="FFFFFF"/>
        <w:wordWrap w:val="0"/>
        <w:spacing w:after="360" w:line="570" w:lineRule="exact"/>
        <w:ind w:left="647" w:firstLine="0" w:firstLineChars="0"/>
        <w:jc w:val="left"/>
        <w:rPr>
          <w:rFonts w:ascii="仿宋_GB2312" w:eastAsia="仿宋_GB2312"/>
          <w:sz w:val="32"/>
          <w:szCs w:val="32"/>
        </w:rPr>
      </w:pPr>
      <w:r>
        <w:rPr>
          <w:rFonts w:hint="eastAsia" w:ascii="仿宋_GB2312" w:eastAsia="仿宋_GB2312"/>
          <w:sz w:val="32"/>
          <w:szCs w:val="32"/>
        </w:rPr>
        <w:t>（三）负责组织指导全区植树造林、国土绿化、防沙治沙和各类林业基地及工程项目的建设，对国有苗圃和基层林业工作站实行行业管理。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0" w:lineRule="exact"/>
        <w:ind w:firstLine="640" w:firstLineChars="200"/>
        <w:rPr>
          <w:rFonts w:ascii="仿宋_GB2312" w:eastAsia="仿宋_GB2312"/>
          <w:sz w:val="32"/>
          <w:szCs w:val="32"/>
        </w:rPr>
      </w:pPr>
      <w:r>
        <w:rPr>
          <w:rFonts w:hint="eastAsia" w:ascii="仿宋_GB2312" w:eastAsia="仿宋_GB2312"/>
          <w:sz w:val="32"/>
          <w:szCs w:val="32"/>
        </w:rPr>
        <w:t>（四）负责组织全区森林资源调查、规划、设计、动态监测及管理工作。编制、审核森林采伐限额并监督执行。监督执行木材凭证采伐、运输等林政管理工作，依据《中华人民共和国森林法》、《中华人民共和国土地管理法》、《中华人民共和国野生动物保护法》及有关法规的规定，负责林地、林权管理和野生动物保护；负责征用、占用林地的初审，主管森林资源有偿使用并监督林地开发利用。代表区政府管理国有森林资源。</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0" w:lineRule="exact"/>
        <w:ind w:firstLine="480" w:firstLineChars="150"/>
        <w:rPr>
          <w:rFonts w:ascii="仿宋_GB2312" w:eastAsia="仿宋_GB2312"/>
          <w:sz w:val="32"/>
          <w:szCs w:val="32"/>
        </w:rPr>
      </w:pPr>
      <w:r>
        <w:rPr>
          <w:rFonts w:hint="eastAsia" w:ascii="仿宋_GB2312" w:eastAsia="仿宋_GB2312"/>
          <w:sz w:val="32"/>
          <w:szCs w:val="32"/>
        </w:rPr>
        <w:t>（五）负责全区护林执法工作和林业执法队伍建设，协调、监督全区森林防火工作和查处破坏林果资源和野生动植物资源的重大案件，负责全区林果花病虫害的防治、检疫工作。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0" w:lineRule="exact"/>
        <w:ind w:firstLine="480" w:firstLineChars="150"/>
        <w:rPr>
          <w:rFonts w:ascii="仿宋_GB2312" w:eastAsia="仿宋_GB2312"/>
          <w:sz w:val="32"/>
          <w:szCs w:val="32"/>
        </w:rPr>
      </w:pPr>
      <w:r>
        <w:rPr>
          <w:rFonts w:hint="eastAsia" w:ascii="仿宋_GB2312" w:eastAsia="仿宋_GB2312"/>
          <w:sz w:val="32"/>
          <w:szCs w:val="32"/>
        </w:rPr>
        <w:t>（六）负责林业基金的筹集和管理工作，监督全区林业基金的管理和使用。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0" w:lineRule="exact"/>
        <w:ind w:firstLine="480" w:firstLineChars="150"/>
        <w:rPr>
          <w:rFonts w:ascii="仿宋_GB2312" w:eastAsia="仿宋_GB2312"/>
          <w:sz w:val="32"/>
          <w:szCs w:val="32"/>
        </w:rPr>
      </w:pPr>
      <w:r>
        <w:rPr>
          <w:rFonts w:hint="eastAsia" w:ascii="仿宋_GB2312" w:eastAsia="仿宋_GB2312"/>
          <w:sz w:val="32"/>
          <w:szCs w:val="32"/>
        </w:rPr>
        <w:t>（七）负责研究制定林业科技、科研、教育、技术推广的规划、措施，组织重大科研项目的技术攻关和科研成果的推广应用。负责全区林业教育和专业人才培训。负责本行业劳动工资及科技人员的宏观管理，负责局机关及下属事业单位干部职工的劳动人事管理。组织林业宣传工作，指导林业行业精神文明建设。</w:t>
      </w:r>
    </w:p>
    <w:p>
      <w:pPr>
        <w:pStyle w:val="8"/>
        <w:spacing w:line="570" w:lineRule="exact"/>
        <w:ind w:firstLine="320" w:firstLineChars="100"/>
        <w:rPr>
          <w:rFonts w:ascii="仿宋_GB2312" w:eastAsia="仿宋_GB2312" w:cs="Arial"/>
          <w:kern w:val="2"/>
          <w:sz w:val="32"/>
          <w:szCs w:val="32"/>
          <w:lang w:eastAsia="zh-CN"/>
        </w:rPr>
      </w:pPr>
      <w:r>
        <w:rPr>
          <w:rFonts w:hint="eastAsia" w:ascii="仿宋_GB2312" w:eastAsia="仿宋_GB2312" w:cs="Arial"/>
          <w:kern w:val="2"/>
          <w:sz w:val="32"/>
          <w:szCs w:val="32"/>
          <w:lang w:eastAsia="zh-CN"/>
        </w:rPr>
        <w:t xml:space="preserve"> （八）承办区政府交办的其它事项.</w:t>
      </w:r>
    </w:p>
    <w:p>
      <w:pPr>
        <w:widowControl/>
        <w:spacing w:line="570" w:lineRule="exact"/>
        <w:ind w:left="638" w:leftChars="304"/>
        <w:jc w:val="left"/>
        <w:rPr>
          <w:rFonts w:ascii="仿宋_GB2312" w:eastAsia="仿宋_GB2312"/>
          <w:sz w:val="32"/>
          <w:szCs w:val="32"/>
        </w:rPr>
      </w:pPr>
      <w:r>
        <w:rPr>
          <w:rFonts w:hint="eastAsia" w:ascii="仿宋_GB2312" w:eastAsia="仿宋_GB2312"/>
          <w:sz w:val="32"/>
          <w:szCs w:val="32"/>
        </w:rPr>
        <w:t>机构设置：</w:t>
      </w:r>
    </w:p>
    <w:p>
      <w:pPr>
        <w:widowControl/>
        <w:spacing w:line="570" w:lineRule="exact"/>
        <w:jc w:val="center"/>
        <w:rPr>
          <w:rFonts w:ascii="仿宋_GB2312" w:eastAsia="仿宋_GB2312"/>
          <w:sz w:val="32"/>
          <w:szCs w:val="32"/>
        </w:rPr>
      </w:pPr>
      <w:r>
        <w:rPr>
          <w:rFonts w:hint="eastAsia" w:ascii="仿宋_GB2312" w:eastAsia="仿宋_GB2312"/>
          <w:sz w:val="32"/>
          <w:szCs w:val="32"/>
        </w:rPr>
        <w:t>部门机构设置情况</w:t>
      </w:r>
    </w:p>
    <w:tbl>
      <w:tblPr>
        <w:tblStyle w:val="4"/>
        <w:tblW w:w="12318"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96"/>
        <w:gridCol w:w="2075"/>
        <w:gridCol w:w="1790"/>
        <w:gridCol w:w="42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trPr>
        <w:tc>
          <w:tcPr>
            <w:tcW w:w="419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b/>
                <w:bCs/>
                <w:sz w:val="32"/>
                <w:szCs w:val="32"/>
              </w:rPr>
            </w:pPr>
            <w:r>
              <w:rPr>
                <w:rFonts w:hint="eastAsia" w:ascii="仿宋_GB2312" w:eastAsia="仿宋_GB2312"/>
                <w:b/>
                <w:bCs/>
                <w:sz w:val="32"/>
                <w:szCs w:val="32"/>
              </w:rPr>
              <w:t>单位名称</w:t>
            </w:r>
          </w:p>
        </w:tc>
        <w:tc>
          <w:tcPr>
            <w:tcW w:w="207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b/>
                <w:bCs/>
                <w:sz w:val="32"/>
                <w:szCs w:val="32"/>
              </w:rPr>
            </w:pPr>
            <w:r>
              <w:rPr>
                <w:rFonts w:hint="eastAsia" w:ascii="仿宋_GB2312" w:eastAsia="仿宋_GB2312"/>
                <w:b/>
                <w:bCs/>
                <w:sz w:val="32"/>
                <w:szCs w:val="32"/>
              </w:rPr>
              <w:t>单位性质</w:t>
            </w:r>
          </w:p>
        </w:tc>
        <w:tc>
          <w:tcPr>
            <w:tcW w:w="1790"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b/>
                <w:bCs/>
                <w:sz w:val="32"/>
                <w:szCs w:val="32"/>
              </w:rPr>
            </w:pPr>
            <w:r>
              <w:rPr>
                <w:rFonts w:hint="eastAsia" w:ascii="仿宋_GB2312" w:eastAsia="仿宋_GB2312"/>
                <w:b/>
                <w:bCs/>
                <w:sz w:val="32"/>
                <w:szCs w:val="32"/>
              </w:rPr>
              <w:t>单位规格</w:t>
            </w:r>
          </w:p>
        </w:tc>
        <w:tc>
          <w:tcPr>
            <w:tcW w:w="425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b/>
                <w:bCs/>
                <w:sz w:val="32"/>
                <w:szCs w:val="32"/>
              </w:rPr>
            </w:pPr>
            <w:r>
              <w:rPr>
                <w:rFonts w:hint="eastAsia" w:ascii="仿宋_GB2312" w:eastAsia="仿宋_GB2312"/>
                <w:b/>
                <w:bCs/>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19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sz w:val="32"/>
                <w:szCs w:val="32"/>
              </w:rPr>
            </w:pPr>
            <w:r>
              <w:rPr>
                <w:rFonts w:hint="eastAsia" w:ascii="仿宋_GB2312" w:eastAsia="仿宋_GB2312"/>
                <w:sz w:val="32"/>
                <w:szCs w:val="32"/>
              </w:rPr>
              <w:t>廊坊市广阳区林业局</w:t>
            </w:r>
          </w:p>
        </w:tc>
        <w:tc>
          <w:tcPr>
            <w:tcW w:w="207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sz w:val="32"/>
                <w:szCs w:val="32"/>
              </w:rPr>
            </w:pPr>
            <w:r>
              <w:rPr>
                <w:rFonts w:hint="eastAsia" w:ascii="仿宋_GB2312" w:eastAsia="仿宋_GB2312"/>
                <w:sz w:val="32"/>
                <w:szCs w:val="32"/>
              </w:rPr>
              <w:t>行政单位</w:t>
            </w:r>
          </w:p>
        </w:tc>
        <w:tc>
          <w:tcPr>
            <w:tcW w:w="1790"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sz w:val="32"/>
                <w:szCs w:val="32"/>
              </w:rPr>
            </w:pPr>
            <w:r>
              <w:rPr>
                <w:rFonts w:hint="eastAsia" w:ascii="仿宋_GB2312" w:eastAsia="仿宋_GB2312"/>
                <w:sz w:val="32"/>
                <w:szCs w:val="32"/>
              </w:rPr>
              <w:t>正科级</w:t>
            </w:r>
          </w:p>
        </w:tc>
        <w:tc>
          <w:tcPr>
            <w:tcW w:w="425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sz w:val="32"/>
                <w:szCs w:val="32"/>
              </w:rPr>
            </w:pPr>
            <w:r>
              <w:rPr>
                <w:rFonts w:hint="eastAsia" w:ascii="仿宋_GB2312" w:eastAsia="仿宋_GB2312"/>
                <w:sz w:val="32"/>
                <w:szCs w:val="32"/>
              </w:rPr>
              <w:t>财政拨款</w:t>
            </w:r>
          </w:p>
        </w:tc>
      </w:tr>
    </w:tbl>
    <w:p>
      <w:pPr>
        <w:widowControl/>
        <w:spacing w:line="570" w:lineRule="exact"/>
        <w:jc w:val="left"/>
        <w:rPr>
          <w:rFonts w:ascii="仿宋_GB2312" w:eastAsia="仿宋_GB2312" w:cs="宋体"/>
          <w:kern w:val="0"/>
          <w:sz w:val="32"/>
          <w:szCs w:val="32"/>
        </w:rPr>
      </w:pPr>
      <w:r>
        <w:rPr>
          <w:rFonts w:hint="eastAsia" w:ascii="仿宋_GB2312" w:eastAsia="仿宋_GB2312"/>
          <w:b/>
          <w:sz w:val="32"/>
          <w:szCs w:val="32"/>
        </w:rPr>
        <w:t> 二、部门预算安排的总体情况</w:t>
      </w:r>
      <w:r>
        <w:rPr>
          <w:rFonts w:hint="eastAsia" w:ascii="仿宋_GB2312" w:eastAsia="仿宋_GB2312"/>
          <w:sz w:val="32"/>
          <w:szCs w:val="32"/>
        </w:rPr>
        <w:br w:type="textWrapping"/>
      </w:r>
      <w:r>
        <w:rPr>
          <w:rFonts w:hint="eastAsia" w:ascii="仿宋_GB2312" w:eastAsia="仿宋_GB2312"/>
          <w:sz w:val="32"/>
          <w:szCs w:val="32"/>
        </w:rPr>
        <w:t>    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kern w:val="0"/>
          <w:sz w:val="32"/>
          <w:szCs w:val="32"/>
        </w:rPr>
        <w:t>广阳区林业局</w:t>
      </w:r>
      <w:r>
        <w:rPr>
          <w:rFonts w:hint="eastAsia" w:ascii="仿宋_GB2312" w:hAnsi="Times New Roman" w:eastAsia="仿宋_GB2312" w:cs="Times New Roman"/>
          <w:sz w:val="32"/>
          <w:szCs w:val="32"/>
        </w:rPr>
        <w:t>机关及所属事业单位的收支包含在部门预算中。</w:t>
      </w:r>
    </w:p>
    <w:p>
      <w:pPr>
        <w:widowControl/>
        <w:spacing w:line="570" w:lineRule="exact"/>
        <w:ind w:firstLine="643" w:firstLineChars="200"/>
        <w:jc w:val="left"/>
        <w:rPr>
          <w:rFonts w:ascii="仿宋_GB2312" w:eastAsia="仿宋_GB2312"/>
          <w:b/>
          <w:bCs/>
          <w:sz w:val="32"/>
          <w:szCs w:val="32"/>
        </w:rPr>
      </w:pPr>
      <w:r>
        <w:rPr>
          <w:rFonts w:ascii="仿宋_GB2312" w:eastAsia="仿宋_GB2312"/>
          <w:b/>
          <w:bCs/>
          <w:sz w:val="32"/>
          <w:szCs w:val="32"/>
        </w:rPr>
        <w:t>1、</w:t>
      </w:r>
      <w:r>
        <w:rPr>
          <w:rFonts w:hint="eastAsia" w:ascii="仿宋_GB2312" w:eastAsia="仿宋_GB2312"/>
          <w:b/>
          <w:bCs/>
          <w:sz w:val="32"/>
          <w:szCs w:val="32"/>
        </w:rPr>
        <w:t>收入说明</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年预算收入935.94万元，其中：一般公共预算收入935.94万元，政府性基金收入0万元</w:t>
      </w:r>
      <w:r>
        <w:rPr>
          <w:rFonts w:ascii="仿宋_GB2312" w:eastAsia="仿宋_GB2312"/>
          <w:sz w:val="32"/>
          <w:szCs w:val="32"/>
        </w:rPr>
        <w:t>，</w:t>
      </w:r>
      <w:r>
        <w:rPr>
          <w:rFonts w:hint="eastAsia" w:ascii="仿宋_GB2312" w:eastAsia="仿宋_GB2312"/>
          <w:sz w:val="32"/>
          <w:szCs w:val="32"/>
        </w:rPr>
        <w:t>事业收入0万元，其他收入0万元。</w:t>
      </w:r>
    </w:p>
    <w:p>
      <w:pPr>
        <w:widowControl/>
        <w:spacing w:line="570" w:lineRule="exact"/>
        <w:ind w:firstLine="643" w:firstLineChars="200"/>
        <w:jc w:val="left"/>
        <w:rPr>
          <w:rFonts w:ascii="仿宋_GB2312" w:eastAsia="仿宋_GB2312"/>
          <w:b/>
          <w:bCs/>
          <w:sz w:val="32"/>
          <w:szCs w:val="32"/>
        </w:rPr>
      </w:pPr>
      <w:r>
        <w:rPr>
          <w:rFonts w:hint="eastAsia" w:ascii="仿宋_GB2312" w:eastAsia="仿宋_GB2312"/>
          <w:b/>
          <w:bCs/>
          <w:sz w:val="32"/>
          <w:szCs w:val="32"/>
        </w:rPr>
        <w:t>2、支出说明</w:t>
      </w:r>
    </w:p>
    <w:p>
      <w:pPr>
        <w:spacing w:line="570" w:lineRule="exact"/>
        <w:ind w:firstLine="640"/>
        <w:rPr>
          <w:rFonts w:ascii="仿宋_GB2312" w:eastAsia="仿宋_GB2312"/>
          <w:sz w:val="32"/>
          <w:szCs w:val="32"/>
        </w:rPr>
      </w:pPr>
      <w:r>
        <w:rPr>
          <w:rFonts w:ascii="仿宋_GB2312" w:eastAsia="仿宋_GB2312"/>
          <w:sz w:val="32"/>
          <w:szCs w:val="32"/>
        </w:rPr>
        <w:t>收支预算总表支出栏、基本支出表、项目支出表按经济分类和支出功能分类科目编制，反映河北省</w:t>
      </w:r>
      <w:r>
        <w:rPr>
          <w:rFonts w:hint="eastAsia" w:ascii="仿宋_GB2312" w:eastAsia="仿宋_GB2312"/>
          <w:sz w:val="32"/>
          <w:szCs w:val="32"/>
        </w:rPr>
        <w:t>廊坊市广阳区林业局2018</w:t>
      </w:r>
      <w:r>
        <w:rPr>
          <w:rFonts w:ascii="仿宋_GB2312" w:eastAsia="仿宋_GB2312"/>
          <w:sz w:val="32"/>
          <w:szCs w:val="32"/>
        </w:rPr>
        <w:t>年度部门预算中支出预算的总体情况。2018年支出预算</w:t>
      </w:r>
      <w:r>
        <w:rPr>
          <w:rFonts w:hint="eastAsia" w:ascii="仿宋_GB2312" w:eastAsia="仿宋_GB2312"/>
          <w:sz w:val="32"/>
          <w:szCs w:val="32"/>
        </w:rPr>
        <w:t>935.94</w:t>
      </w:r>
      <w:r>
        <w:rPr>
          <w:rFonts w:ascii="仿宋_GB2312" w:eastAsia="仿宋_GB2312"/>
          <w:sz w:val="32"/>
          <w:szCs w:val="32"/>
        </w:rPr>
        <w:t>万元，其中基本支出576.05万元，包括人员经费533.77万元和日常公用经费42.28万元；项目支出359.89万元，包括本级支出</w:t>
      </w:r>
      <w:r>
        <w:rPr>
          <w:rFonts w:hint="eastAsia" w:ascii="仿宋_GB2312" w:eastAsia="仿宋_GB2312"/>
          <w:sz w:val="32"/>
          <w:szCs w:val="32"/>
        </w:rPr>
        <w:t>，</w:t>
      </w:r>
      <w:r>
        <w:rPr>
          <w:rFonts w:ascii="仿宋_GB2312" w:eastAsia="仿宋_GB2312"/>
          <w:sz w:val="32"/>
          <w:szCs w:val="32"/>
        </w:rPr>
        <w:t>主要为植树造林</w:t>
      </w:r>
      <w:r>
        <w:rPr>
          <w:rFonts w:hint="eastAsia" w:ascii="仿宋_GB2312" w:eastAsia="仿宋_GB2312"/>
          <w:sz w:val="32"/>
          <w:szCs w:val="32"/>
        </w:rPr>
        <w:t>资金200万元</w:t>
      </w:r>
      <w:r>
        <w:rPr>
          <w:rFonts w:ascii="仿宋_GB2312" w:eastAsia="仿宋_GB2312"/>
          <w:sz w:val="32"/>
          <w:szCs w:val="32"/>
        </w:rPr>
        <w:t>、</w:t>
      </w:r>
      <w:r>
        <w:rPr>
          <w:rFonts w:hint="eastAsia" w:ascii="仿宋_GB2312" w:eastAsia="仿宋_GB2312"/>
          <w:sz w:val="32"/>
          <w:szCs w:val="32"/>
        </w:rPr>
        <w:t>林业生态恢复保护资金78.89万元、桔小实蝇防控经费3万元、森林病害虫防治经费3万元、地下水超采综合治理专项资金75万元。</w:t>
      </w:r>
    </w:p>
    <w:p>
      <w:pPr>
        <w:widowControl/>
        <w:spacing w:line="570" w:lineRule="exact"/>
        <w:ind w:firstLine="643" w:firstLineChars="200"/>
        <w:jc w:val="left"/>
        <w:rPr>
          <w:rFonts w:ascii="仿宋_GB2312" w:eastAsia="仿宋_GB2312"/>
          <w:b/>
          <w:bCs/>
          <w:sz w:val="32"/>
          <w:szCs w:val="32"/>
        </w:rPr>
      </w:pPr>
      <w:r>
        <w:rPr>
          <w:rFonts w:hint="eastAsia" w:ascii="仿宋_GB2312" w:eastAsia="仿宋_GB2312"/>
          <w:b/>
          <w:bCs/>
          <w:sz w:val="32"/>
          <w:szCs w:val="32"/>
        </w:rPr>
        <w:t>3、比上年增减情况</w:t>
      </w:r>
    </w:p>
    <w:p>
      <w:pPr>
        <w:widowControl/>
        <w:spacing w:line="570" w:lineRule="exact"/>
        <w:ind w:firstLine="640" w:firstLineChars="200"/>
        <w:jc w:val="left"/>
        <w:rPr>
          <w:rFonts w:ascii="仿宋_GB2312" w:eastAsia="仿宋_GB2312"/>
          <w:b/>
          <w:sz w:val="32"/>
          <w:szCs w:val="32"/>
        </w:rPr>
      </w:pP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年预算收支安排935.94万元，较201</w:t>
      </w:r>
      <w:r>
        <w:rPr>
          <w:rFonts w:ascii="仿宋_GB2312" w:eastAsia="仿宋_GB2312"/>
          <w:sz w:val="32"/>
          <w:szCs w:val="32"/>
        </w:rPr>
        <w:t>7</w:t>
      </w:r>
      <w:r>
        <w:rPr>
          <w:rFonts w:hint="eastAsia" w:ascii="仿宋_GB2312" w:eastAsia="仿宋_GB2312"/>
          <w:sz w:val="32"/>
          <w:szCs w:val="32"/>
        </w:rPr>
        <w:t>年预算增加368.98万元，其中：基本支出增加89.98万元，主要为增加人员经费支出；项目支出增加279万元，主要增加植树造林、病虫害防治、地下水超采</w:t>
      </w:r>
      <w:r>
        <w:rPr>
          <w:rFonts w:ascii="仿宋_GB2312" w:eastAsia="仿宋_GB2312"/>
          <w:sz w:val="32"/>
          <w:szCs w:val="32"/>
        </w:rPr>
        <w:t>项目支出</w:t>
      </w:r>
      <w:r>
        <w:rPr>
          <w:rFonts w:hint="eastAsia" w:ascii="仿宋_GB2312" w:eastAsia="仿宋_GB2312"/>
          <w:sz w:val="32"/>
          <w:szCs w:val="32"/>
        </w:rPr>
        <w:t>。</w:t>
      </w:r>
      <w:r>
        <w:rPr>
          <w:rFonts w:hint="eastAsia" w:ascii="仿宋_GB2312" w:eastAsia="仿宋_GB2312"/>
          <w:sz w:val="32"/>
          <w:szCs w:val="32"/>
        </w:rPr>
        <w:br w:type="textWrapping"/>
      </w:r>
      <w:r>
        <w:rPr>
          <w:rFonts w:hint="eastAsia" w:ascii="仿宋_GB2312" w:eastAsia="仿宋_GB2312"/>
          <w:b/>
          <w:sz w:val="32"/>
          <w:szCs w:val="32"/>
        </w:rPr>
        <w:t>三、机关运行经费安排情况</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年预算安排我部门机关运行经费</w:t>
      </w:r>
      <w:r>
        <w:rPr>
          <w:rFonts w:ascii="仿宋_GB2312" w:eastAsia="仿宋_GB2312"/>
          <w:sz w:val="32"/>
          <w:szCs w:val="32"/>
        </w:rPr>
        <w:t>6.84</w:t>
      </w:r>
      <w:r>
        <w:rPr>
          <w:rFonts w:hint="eastAsia" w:ascii="仿宋_GB2312" w:eastAsia="仿宋_GB2312"/>
          <w:sz w:val="32"/>
          <w:szCs w:val="32"/>
        </w:rPr>
        <w:t>万元，其中办公经费1.84万元，其他业务费5万元。主要用于办公区的日常维修等日常运行支出</w:t>
      </w:r>
      <w:r>
        <w:rPr>
          <w:rFonts w:ascii="仿宋_GB2312" w:eastAsia="仿宋_GB2312"/>
          <w:sz w:val="32"/>
          <w:szCs w:val="32"/>
        </w:rPr>
        <w:t>。</w:t>
      </w:r>
    </w:p>
    <w:p>
      <w:pPr>
        <w:widowControl/>
        <w:spacing w:line="570" w:lineRule="exact"/>
        <w:jc w:val="left"/>
        <w:rPr>
          <w:rFonts w:ascii="仿宋_GB2312" w:eastAsia="仿宋_GB2312"/>
          <w:b/>
          <w:sz w:val="32"/>
          <w:szCs w:val="32"/>
        </w:rPr>
      </w:pPr>
      <w:r>
        <w:rPr>
          <w:rFonts w:hint="eastAsia" w:ascii="仿宋_GB2312" w:eastAsia="仿宋_GB2312"/>
          <w:b/>
          <w:sz w:val="32"/>
          <w:szCs w:val="32"/>
        </w:rPr>
        <w:t>四、财政拨款“三公”经费预算情况及增减变化原因</w:t>
      </w:r>
    </w:p>
    <w:p>
      <w:pPr>
        <w:autoSpaceDE w:val="0"/>
        <w:autoSpaceDN w:val="0"/>
        <w:adjustRightInd w:val="0"/>
        <w:spacing w:line="570" w:lineRule="exact"/>
        <w:ind w:left="198" w:firstLine="640" w:firstLineChars="200"/>
        <w:jc w:val="left"/>
        <w:rPr>
          <w:rFonts w:ascii="仿宋_GB2312" w:eastAsia="仿宋_GB2312"/>
          <w:sz w:val="32"/>
          <w:szCs w:val="32"/>
        </w:rPr>
      </w:pP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我部门“三公”经费预算安排2.3万元，其中因公出国（境）费0万元；公务用车购置及运维费2.3万元（其中：公务用车购置费为0万元，公务用车运行费为2.3万元)；公务接待费0万元。与2017年增加2.3万元，原因是去年未安排。</w:t>
      </w:r>
    </w:p>
    <w:p>
      <w:pPr>
        <w:spacing w:line="570" w:lineRule="exact"/>
        <w:rPr>
          <w:rFonts w:ascii="仿宋_GB2312" w:eastAsia="仿宋_GB2312"/>
          <w:sz w:val="32"/>
          <w:szCs w:val="32"/>
        </w:rPr>
      </w:pPr>
      <w:r>
        <w:rPr>
          <w:rFonts w:hint="eastAsia" w:ascii="仿宋_GB2312" w:eastAsia="仿宋_GB2312"/>
          <w:b/>
          <w:sz w:val="32"/>
          <w:szCs w:val="32"/>
        </w:rPr>
        <w:t>五、绩效预算信息</w:t>
      </w:r>
      <w:r>
        <w:rPr>
          <w:rFonts w:hint="eastAsia" w:ascii="仿宋_GB2312" w:eastAsia="仿宋_GB2312"/>
          <w:b/>
          <w:sz w:val="32"/>
          <w:szCs w:val="32"/>
        </w:rPr>
        <w:br w:type="textWrapping"/>
      </w:r>
      <w:r>
        <w:rPr>
          <w:rFonts w:hint="eastAsia" w:ascii="仿宋_GB2312" w:eastAsia="仿宋_GB2312"/>
          <w:sz w:val="32"/>
          <w:szCs w:val="32"/>
        </w:rPr>
        <w:t>总体绩效目标：</w:t>
      </w:r>
      <w:r>
        <w:rPr>
          <w:rFonts w:hint="eastAsia" w:ascii="仿宋_GB2312" w:eastAsia="仿宋_GB2312"/>
          <w:sz w:val="32"/>
          <w:szCs w:val="32"/>
        </w:rPr>
        <w:br w:type="textWrapping"/>
      </w:r>
      <w:r>
        <w:rPr>
          <w:rFonts w:hint="eastAsia" w:ascii="仿宋_GB2312" w:eastAsia="仿宋_GB2312"/>
          <w:sz w:val="32"/>
          <w:szCs w:val="32"/>
        </w:rPr>
        <w:t xml:space="preserve">     贯彻执行国家、省、市关于林业及其生态建设的方针、政策和法律法规；拟定林业及其生态环境建设、森林资源保护、国土绿化和林业产业发展的规定和方法，并组织实施监督和检查，组织开展营造林及管护、承担林业生态文明建设的有关工作。</w:t>
      </w:r>
    </w:p>
    <w:p>
      <w:pPr>
        <w:widowControl/>
        <w:spacing w:line="570" w:lineRule="exact"/>
        <w:ind w:left="640" w:leftChars="76" w:hanging="480" w:hangingChars="150"/>
        <w:jc w:val="left"/>
        <w:rPr>
          <w:rFonts w:ascii="仿宋_GB2312" w:eastAsia="仿宋_GB2312"/>
          <w:sz w:val="32"/>
          <w:szCs w:val="32"/>
        </w:rPr>
      </w:pPr>
      <w:r>
        <w:rPr>
          <w:rFonts w:hint="eastAsia" w:ascii="仿宋_GB2312" w:eastAsia="仿宋_GB2312"/>
          <w:sz w:val="32"/>
          <w:szCs w:val="32"/>
        </w:rPr>
        <w:t>职责分类绩效目标：</w:t>
      </w:r>
    </w:p>
    <w:p>
      <w:pPr>
        <w:widowControl/>
        <w:spacing w:line="570" w:lineRule="exact"/>
        <w:ind w:firstLine="800" w:firstLineChars="250"/>
        <w:jc w:val="left"/>
        <w:rPr>
          <w:rFonts w:ascii="仿宋_GB2312" w:eastAsia="仿宋_GB2312"/>
          <w:sz w:val="32"/>
          <w:szCs w:val="32"/>
        </w:rPr>
      </w:pPr>
      <w:r>
        <w:rPr>
          <w:rFonts w:hint="eastAsia" w:ascii="仿宋_GB2312" w:eastAsia="仿宋_GB2312"/>
          <w:sz w:val="32"/>
          <w:szCs w:val="32"/>
        </w:rPr>
        <w:t>完成国家下达和省委省政府制定的造林任务及全区森林覆盖率考核目标。推进林果产业标准化生产，改善品种，调整结构，提升品质和产量，提升经济效益、研制并示范推广林业生产管理的良种、良法，提高林产品品质和经济效益、预防和减少自然灾害对森林资源的损失，保护森林资源保障全区林业事业健康科学持续发展、确保机关正常运行，提高业务工作效率等、有效改善广阳区生态环境。 </w:t>
      </w:r>
    </w:p>
    <w:p>
      <w:pPr>
        <w:widowControl/>
        <w:spacing w:line="570" w:lineRule="exact"/>
        <w:ind w:left="638" w:leftChars="304" w:firstLine="160" w:firstLineChars="50"/>
        <w:jc w:val="left"/>
        <w:rPr>
          <w:rFonts w:ascii="仿宋_GB2312" w:eastAsia="仿宋_GB2312"/>
          <w:sz w:val="32"/>
          <w:szCs w:val="32"/>
        </w:rPr>
      </w:pPr>
    </w:p>
    <w:p>
      <w:pPr>
        <w:widowControl/>
        <w:spacing w:line="570" w:lineRule="exact"/>
        <w:ind w:left="638" w:leftChars="304" w:firstLine="160" w:firstLineChars="50"/>
        <w:jc w:val="left"/>
        <w:rPr>
          <w:rFonts w:ascii="仿宋_GB2312" w:eastAsia="仿宋_GB2312"/>
          <w:sz w:val="32"/>
          <w:szCs w:val="32"/>
        </w:rPr>
      </w:pPr>
    </w:p>
    <w:p>
      <w:pPr>
        <w:widowControl/>
        <w:spacing w:line="570" w:lineRule="exact"/>
        <w:ind w:left="638" w:leftChars="304" w:firstLine="160" w:firstLineChars="50"/>
        <w:jc w:val="left"/>
        <w:rPr>
          <w:rFonts w:hint="eastAsia" w:ascii="仿宋_GB2312" w:eastAsia="仿宋_GB2312"/>
          <w:sz w:val="32"/>
          <w:szCs w:val="32"/>
        </w:rPr>
      </w:pPr>
      <w:r>
        <w:rPr>
          <w:rFonts w:hint="eastAsia" w:ascii="仿宋_GB2312" w:eastAsia="仿宋_GB2312"/>
          <w:sz w:val="32"/>
          <w:szCs w:val="32"/>
        </w:rPr>
        <w:t>部门职责-工作活动绩效目标</w:t>
      </w:r>
    </w:p>
    <w:p>
      <w:pPr>
        <w:widowControl/>
        <w:spacing w:line="570" w:lineRule="exact"/>
        <w:jc w:val="left"/>
        <w:rPr>
          <w:rFonts w:ascii="仿宋_GB2312" w:eastAsia="仿宋_GB2312"/>
          <w:sz w:val="32"/>
          <w:szCs w:val="32"/>
        </w:rPr>
      </w:pPr>
    </w:p>
    <w:tbl>
      <w:tblPr>
        <w:tblStyle w:val="4"/>
        <w:tblW w:w="1193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78"/>
        <w:gridCol w:w="1672"/>
        <w:gridCol w:w="1672"/>
        <w:gridCol w:w="1672"/>
        <w:gridCol w:w="1672"/>
        <w:gridCol w:w="893"/>
        <w:gridCol w:w="893"/>
        <w:gridCol w:w="893"/>
        <w:gridCol w:w="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8366" w:type="dxa"/>
            <w:gridSpan w:val="5"/>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678河北省廊坊市广阳区林业局</w:t>
            </w:r>
          </w:p>
        </w:tc>
        <w:tc>
          <w:tcPr>
            <w:tcW w:w="3572" w:type="dxa"/>
            <w:gridSpan w:val="4"/>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678" w:type="dxa"/>
            <w:vMerge w:val="restart"/>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职责活动</w:t>
            </w:r>
          </w:p>
        </w:tc>
        <w:tc>
          <w:tcPr>
            <w:tcW w:w="1672" w:type="dxa"/>
            <w:vMerge w:val="restart"/>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年度预算数</w:t>
            </w:r>
          </w:p>
        </w:tc>
        <w:tc>
          <w:tcPr>
            <w:tcW w:w="1672" w:type="dxa"/>
            <w:vMerge w:val="restart"/>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内容描述</w:t>
            </w:r>
          </w:p>
        </w:tc>
        <w:tc>
          <w:tcPr>
            <w:tcW w:w="1672" w:type="dxa"/>
            <w:vMerge w:val="restart"/>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绩效目标</w:t>
            </w:r>
          </w:p>
        </w:tc>
        <w:tc>
          <w:tcPr>
            <w:tcW w:w="1672" w:type="dxa"/>
            <w:vMerge w:val="restart"/>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绩效指标</w:t>
            </w:r>
          </w:p>
        </w:tc>
        <w:tc>
          <w:tcPr>
            <w:tcW w:w="3572" w:type="dxa"/>
            <w:gridSpan w:val="4"/>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678" w:type="dxa"/>
            <w:vMerge w:val="continue"/>
            <w:tcBorders>
              <w:top w:val="outset" w:color="auto" w:sz="6" w:space="0"/>
              <w:left w:val="outset" w:color="auto" w:sz="6" w:space="0"/>
              <w:bottom w:val="outset" w:color="auto" w:sz="6" w:space="0"/>
              <w:right w:val="outset" w:color="auto" w:sz="6" w:space="0"/>
            </w:tcBorders>
            <w:vAlign w:val="center"/>
          </w:tcPr>
          <w:p/>
        </w:tc>
        <w:tc>
          <w:tcPr>
            <w:tcW w:w="1672" w:type="dxa"/>
            <w:vMerge w:val="continue"/>
            <w:tcBorders>
              <w:top w:val="outset" w:color="auto" w:sz="6" w:space="0"/>
              <w:left w:val="outset" w:color="auto" w:sz="6" w:space="0"/>
              <w:bottom w:val="outset" w:color="auto" w:sz="6" w:space="0"/>
              <w:right w:val="outset" w:color="auto" w:sz="6" w:space="0"/>
            </w:tcBorders>
            <w:vAlign w:val="center"/>
          </w:tcPr>
          <w:p/>
        </w:tc>
        <w:tc>
          <w:tcPr>
            <w:tcW w:w="1672" w:type="dxa"/>
            <w:vMerge w:val="continue"/>
            <w:tcBorders>
              <w:top w:val="outset" w:color="auto" w:sz="6" w:space="0"/>
              <w:left w:val="outset" w:color="auto" w:sz="6" w:space="0"/>
              <w:bottom w:val="outset" w:color="auto" w:sz="6" w:space="0"/>
              <w:right w:val="outset" w:color="auto" w:sz="6" w:space="0"/>
            </w:tcBorders>
            <w:vAlign w:val="center"/>
          </w:tcPr>
          <w:p/>
        </w:tc>
        <w:tc>
          <w:tcPr>
            <w:tcW w:w="1672" w:type="dxa"/>
            <w:vMerge w:val="continue"/>
            <w:tcBorders>
              <w:top w:val="outset" w:color="auto" w:sz="6" w:space="0"/>
              <w:left w:val="outset" w:color="auto" w:sz="6" w:space="0"/>
              <w:bottom w:val="outset" w:color="auto" w:sz="6" w:space="0"/>
              <w:right w:val="outset" w:color="auto" w:sz="6" w:space="0"/>
            </w:tcBorders>
            <w:vAlign w:val="center"/>
          </w:tcPr>
          <w:p/>
        </w:tc>
        <w:tc>
          <w:tcPr>
            <w:tcW w:w="1672" w:type="dxa"/>
            <w:vMerge w:val="continue"/>
            <w:tcBorders>
              <w:top w:val="outset" w:color="auto" w:sz="6" w:space="0"/>
              <w:left w:val="outset" w:color="auto" w:sz="6" w:space="0"/>
              <w:bottom w:val="outset" w:color="auto" w:sz="6" w:space="0"/>
              <w:right w:val="outset" w:color="auto" w:sz="6" w:space="0"/>
            </w:tcBorders>
            <w:vAlign w:val="center"/>
          </w:tcPr>
          <w:p/>
        </w:tc>
        <w:tc>
          <w:tcPr>
            <w:tcW w:w="89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优</w:t>
            </w:r>
          </w:p>
        </w:tc>
        <w:tc>
          <w:tcPr>
            <w:tcW w:w="89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良</w:t>
            </w:r>
          </w:p>
        </w:tc>
        <w:tc>
          <w:tcPr>
            <w:tcW w:w="89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中</w:t>
            </w:r>
          </w:p>
        </w:tc>
        <w:tc>
          <w:tcPr>
            <w:tcW w:w="89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678" w:type="dxa"/>
            <w:tcBorders>
              <w:top w:val="outset" w:color="auto" w:sz="6" w:space="0"/>
              <w:left w:val="outset" w:color="auto" w:sz="6" w:space="0"/>
              <w:bottom w:val="outset" w:color="auto" w:sz="6" w:space="0"/>
              <w:right w:val="outset" w:color="auto" w:sz="6" w:space="0"/>
            </w:tcBorders>
            <w:vAlign w:val="center"/>
          </w:tcPr>
          <w:p>
            <w:pPr>
              <w:spacing w:line="570" w:lineRule="exact"/>
              <w:jc w:val="left"/>
              <w:rPr>
                <w:rFonts w:ascii="方正书宋_GBK" w:eastAsia="方正书宋_GBK"/>
                <w:b/>
              </w:rPr>
            </w:pPr>
            <w:r>
              <w:rPr>
                <w:rFonts w:hint="eastAsia" w:ascii="方正书宋_GBK" w:eastAsia="方正书宋_GBK"/>
                <w:b/>
              </w:rPr>
              <w:t>林业生态建设、</w:t>
            </w:r>
          </w:p>
          <w:p>
            <w:pPr>
              <w:spacing w:line="570" w:lineRule="exact"/>
              <w:jc w:val="left"/>
              <w:rPr>
                <w:rFonts w:ascii="方正书宋_GBK" w:eastAsia="方正书宋_GBK"/>
                <w:b/>
              </w:rPr>
            </w:pPr>
            <w:r>
              <w:rPr>
                <w:rFonts w:hint="eastAsia" w:ascii="方正书宋_GBK" w:eastAsia="方正书宋_GBK"/>
                <w:b/>
              </w:rPr>
              <w:t>林业科技支撑和公共服务、林业政务管理等</w:t>
            </w:r>
          </w:p>
        </w:tc>
        <w:tc>
          <w:tcPr>
            <w:tcW w:w="1672" w:type="dxa"/>
            <w:tcBorders>
              <w:top w:val="outset" w:color="auto" w:sz="6" w:space="0"/>
              <w:left w:val="outset" w:color="auto" w:sz="6" w:space="0"/>
              <w:bottom w:val="outset" w:color="auto" w:sz="6" w:space="0"/>
              <w:right w:val="outset" w:color="auto" w:sz="6" w:space="0"/>
            </w:tcBorders>
            <w:vAlign w:val="center"/>
          </w:tcPr>
          <w:p>
            <w:pPr>
              <w:spacing w:line="570" w:lineRule="exact"/>
              <w:jc w:val="left"/>
              <w:rPr>
                <w:rFonts w:ascii="方正书宋_GBK" w:eastAsia="方正书宋_GBK"/>
              </w:rPr>
            </w:pPr>
            <w:r>
              <w:rPr>
                <w:rFonts w:hint="eastAsia" w:ascii="方正书宋_GBK" w:eastAsia="方正书宋_GBK"/>
              </w:rPr>
              <w:t>359.89</w:t>
            </w:r>
          </w:p>
        </w:tc>
        <w:tc>
          <w:tcPr>
            <w:tcW w:w="1672" w:type="dxa"/>
            <w:tcBorders>
              <w:top w:val="outset" w:color="auto" w:sz="6" w:space="0"/>
              <w:left w:val="outset" w:color="auto" w:sz="6" w:space="0"/>
              <w:bottom w:val="outset" w:color="auto" w:sz="6" w:space="0"/>
              <w:right w:val="outset" w:color="auto" w:sz="6" w:space="0"/>
            </w:tcBorders>
            <w:vAlign w:val="center"/>
          </w:tcPr>
          <w:p>
            <w:pPr>
              <w:spacing w:line="570" w:lineRule="exact"/>
              <w:jc w:val="left"/>
              <w:rPr>
                <w:rFonts w:ascii="方正书宋_GBK" w:eastAsia="方正书宋_GBK"/>
              </w:rPr>
            </w:pPr>
            <w:r>
              <w:rPr>
                <w:rFonts w:hint="eastAsia" w:ascii="方正书宋_GBK" w:eastAsia="方正书宋_GBK"/>
              </w:rPr>
              <w:t>贯彻执行国家、省、关于林业及其生态建设的方针、政策和法律法规；拟定林业及其生态环境建设、森林资源保护、国土绿化、荒漠化防治和林业产业发展的规定和方法，并组织实施监督和检查，组织开展森林资源、承担林业生态文明建设的有关工作。</w:t>
            </w:r>
          </w:p>
        </w:tc>
        <w:tc>
          <w:tcPr>
            <w:tcW w:w="1672" w:type="dxa"/>
            <w:tcBorders>
              <w:top w:val="outset" w:color="auto" w:sz="6" w:space="0"/>
              <w:left w:val="outset" w:color="auto" w:sz="6" w:space="0"/>
              <w:bottom w:val="outset" w:color="auto" w:sz="6" w:space="0"/>
              <w:right w:val="outset" w:color="auto" w:sz="6" w:space="0"/>
            </w:tcBorders>
            <w:vAlign w:val="center"/>
          </w:tcPr>
          <w:p>
            <w:pPr>
              <w:spacing w:line="570" w:lineRule="exact"/>
              <w:jc w:val="left"/>
              <w:rPr>
                <w:rFonts w:ascii="方正书宋_GBK" w:eastAsia="方正书宋_GBK"/>
              </w:rPr>
            </w:pPr>
            <w:r>
              <w:rPr>
                <w:rFonts w:hint="eastAsia" w:ascii="方正书宋_GBK" w:eastAsia="方正书宋_GBK"/>
              </w:rPr>
              <w:t>完成</w:t>
            </w:r>
            <w:r>
              <w:rPr>
                <w:rFonts w:hint="eastAsia"/>
                <w:kern w:val="0"/>
              </w:rPr>
              <w:t>国家下达</w:t>
            </w:r>
            <w:r>
              <w:rPr>
                <w:rFonts w:hint="eastAsia" w:ascii="方正书宋_GBK" w:eastAsia="方正书宋_GBK"/>
              </w:rPr>
              <w:t>和省委省政府制定的造林任务及全区森林覆盖率考核目标。有效改善广阳区林业生态环境。</w:t>
            </w:r>
          </w:p>
        </w:tc>
        <w:tc>
          <w:tcPr>
            <w:tcW w:w="1672" w:type="dxa"/>
            <w:tcBorders>
              <w:top w:val="outset" w:color="auto" w:sz="6" w:space="0"/>
              <w:left w:val="outset" w:color="auto" w:sz="6" w:space="0"/>
              <w:bottom w:val="outset" w:color="auto" w:sz="6" w:space="0"/>
              <w:right w:val="outset" w:color="auto" w:sz="6" w:space="0"/>
            </w:tcBorders>
            <w:vAlign w:val="center"/>
          </w:tcPr>
          <w:p>
            <w:pPr>
              <w:pStyle w:val="10"/>
              <w:spacing w:line="570" w:lineRule="exact"/>
              <w:rPr>
                <w:kern w:val="0"/>
              </w:rPr>
            </w:pPr>
            <w:r>
              <w:rPr>
                <w:rFonts w:hint="eastAsia"/>
                <w:kern w:val="0"/>
              </w:rPr>
              <w:t>完</w:t>
            </w:r>
            <w:r>
              <w:rPr>
                <w:rFonts w:hint="eastAsia" w:ascii="方正书宋_GBK" w:eastAsia="方正书宋_GBK"/>
              </w:rPr>
              <w:t>成全区造林绿化、林木良种培育、依法依规完成工作任务等。</w:t>
            </w:r>
          </w:p>
        </w:tc>
        <w:tc>
          <w:tcPr>
            <w:tcW w:w="893"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ascii="方正书宋_GBK" w:eastAsia="方正书宋_GBK"/>
              </w:rPr>
            </w:pPr>
            <w:r>
              <w:rPr>
                <w:rFonts w:hint="eastAsia" w:ascii="方正书宋_GBK" w:eastAsia="方正书宋_GBK"/>
              </w:rPr>
              <w:t>90%-100%（含90%）</w:t>
            </w:r>
          </w:p>
        </w:tc>
        <w:tc>
          <w:tcPr>
            <w:tcW w:w="893"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ascii="方正书宋_GBK" w:eastAsia="方正书宋_GBK"/>
              </w:rPr>
            </w:pPr>
            <w:r>
              <w:rPr>
                <w:rFonts w:hint="eastAsia" w:ascii="方正书宋_GBK" w:eastAsia="方正书宋_GBK"/>
              </w:rPr>
              <w:t>70%-90%（含70%）</w:t>
            </w:r>
          </w:p>
        </w:tc>
        <w:tc>
          <w:tcPr>
            <w:tcW w:w="893"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ascii="方正书宋_GBK" w:eastAsia="方正书宋_GBK"/>
              </w:rPr>
            </w:pPr>
            <w:r>
              <w:rPr>
                <w:rFonts w:hint="eastAsia" w:ascii="方正书宋_GBK" w:eastAsia="方正书宋_GBK"/>
              </w:rPr>
              <w:t>50%-70%（含50%）</w:t>
            </w:r>
          </w:p>
        </w:tc>
        <w:tc>
          <w:tcPr>
            <w:tcW w:w="893"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ascii="方正书宋_GBK" w:eastAsia="方正书宋_GBK"/>
              </w:rPr>
            </w:pPr>
            <w:r>
              <w:rPr>
                <w:rFonts w:hint="eastAsia" w:ascii="方正书宋_GBK" w:eastAsia="方正书宋_GBK"/>
              </w:rPr>
              <w:t>50%以下</w:t>
            </w:r>
          </w:p>
        </w:tc>
      </w:tr>
    </w:tbl>
    <w:p>
      <w:pPr>
        <w:widowControl/>
        <w:spacing w:line="570" w:lineRule="exac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spacing w:line="570" w:lineRule="exact"/>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w:t>
      </w:r>
      <w:r>
        <w:rPr>
          <w:rFonts w:ascii="仿宋_GB2312" w:eastAsia="仿宋_GB2312" w:cs="宋体"/>
          <w:color w:val="000000"/>
          <w:kern w:val="0"/>
          <w:sz w:val="32"/>
          <w:szCs w:val="32"/>
        </w:rPr>
        <w:t>无</w:t>
      </w:r>
      <w:r>
        <w:rPr>
          <w:rFonts w:hint="eastAsia" w:ascii="仿宋_GB2312" w:eastAsia="仿宋_GB2312" w:cs="宋体"/>
          <w:color w:val="000000"/>
          <w:kern w:val="0"/>
          <w:sz w:val="32"/>
          <w:szCs w:val="32"/>
        </w:rPr>
        <w:t>安排政府采购预算。</w:t>
      </w:r>
    </w:p>
    <w:p>
      <w:pPr>
        <w:spacing w:line="570" w:lineRule="exact"/>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137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968"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ascii="仿宋_GB2312" w:eastAsia="仿宋_GB2312" w:cs="Times New Roman"/>
                <w:sz w:val="28"/>
                <w:szCs w:val="28"/>
              </w:rPr>
            </w:pPr>
            <w:r>
              <w:rPr>
                <w:rFonts w:hint="eastAsia" w:ascii="仿宋_GB2312" w:eastAsia="仿宋_GB2312" w:cs="Times New Roman"/>
                <w:sz w:val="28"/>
                <w:szCs w:val="28"/>
              </w:rPr>
              <w:t>678廊坊市广阳区林业局</w:t>
            </w:r>
          </w:p>
        </w:tc>
        <w:tc>
          <w:tcPr>
            <w:tcW w:w="5793"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3283" w:type="dxa"/>
            <w:gridSpan w:val="2"/>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3" w:type="dxa"/>
            <w:gridSpan w:val="7"/>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0"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0"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84"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70"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4"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70" w:type="dxa"/>
            <w:shd w:val="clear" w:color="auto" w:fill="auto"/>
            <w:vAlign w:val="center"/>
          </w:tcPr>
          <w:p>
            <w:pPr>
              <w:spacing w:line="570" w:lineRule="exact"/>
              <w:jc w:val="center"/>
              <w:rPr>
                <w:rFonts w:ascii="仿宋_GB2312" w:eastAsia="仿宋_GB2312" w:cs="Times New Roman"/>
                <w:b/>
                <w:sz w:val="28"/>
                <w:szCs w:val="28"/>
              </w:rPr>
            </w:pP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4"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70"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7"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776"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784" w:type="dxa"/>
            <w:shd w:val="clear" w:color="auto" w:fill="auto"/>
            <w:vAlign w:val="center"/>
          </w:tcPr>
          <w:p>
            <w:pPr>
              <w:spacing w:line="57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70"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7"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776"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784" w:type="dxa"/>
            <w:shd w:val="clear" w:color="auto" w:fill="auto"/>
            <w:vAlign w:val="center"/>
          </w:tcPr>
          <w:p>
            <w:pPr>
              <w:spacing w:line="570" w:lineRule="exact"/>
              <w:jc w:val="center"/>
              <w:rPr>
                <w:rFonts w:ascii="仿宋_GB2312" w:eastAsia="仿宋_GB2312" w:cs="Times New Roman"/>
                <w:sz w:val="28"/>
                <w:szCs w:val="28"/>
              </w:rPr>
            </w:pPr>
          </w:p>
        </w:tc>
      </w:tr>
    </w:tbl>
    <w:p>
      <w:pPr>
        <w:widowControl/>
        <w:spacing w:line="570" w:lineRule="exact"/>
        <w:jc w:val="left"/>
        <w:rPr>
          <w:rFonts w:hint="eastAsia" w:ascii="黑体" w:eastAsia="黑体" w:cs="宋体"/>
          <w:b/>
          <w:bCs/>
          <w:color w:val="000000"/>
          <w:kern w:val="0"/>
          <w:sz w:val="32"/>
          <w:szCs w:val="32"/>
        </w:rPr>
      </w:pPr>
    </w:p>
    <w:p>
      <w:pPr>
        <w:widowControl/>
        <w:spacing w:line="570" w:lineRule="exact"/>
        <w:jc w:val="left"/>
        <w:rPr>
          <w:rFonts w:hint="eastAsia" w:ascii="黑体" w:eastAsia="黑体" w:cs="宋体"/>
          <w:b/>
          <w:bCs/>
          <w:color w:val="000000"/>
          <w:kern w:val="0"/>
          <w:sz w:val="32"/>
          <w:szCs w:val="32"/>
        </w:rPr>
      </w:pPr>
    </w:p>
    <w:p>
      <w:pPr>
        <w:widowControl/>
        <w:spacing w:line="570" w:lineRule="exac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br w:type="page"/>
      </w: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广阳区林业局</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上年末固定资产金额为168.844万元，我部门本年度</w:t>
      </w:r>
      <w:r>
        <w:rPr>
          <w:rFonts w:ascii="仿宋_GB2312" w:eastAsia="仿宋_GB2312" w:cs="宋体"/>
          <w:color w:val="000000"/>
          <w:kern w:val="0"/>
          <w:sz w:val="32"/>
          <w:szCs w:val="32"/>
        </w:rPr>
        <w:t>无</w:t>
      </w:r>
      <w:r>
        <w:rPr>
          <w:rFonts w:hint="eastAsia" w:ascii="仿宋_GB2312" w:eastAsia="仿宋_GB2312" w:cs="宋体"/>
          <w:color w:val="000000"/>
          <w:kern w:val="0"/>
          <w:sz w:val="32"/>
          <w:szCs w:val="32"/>
        </w:rPr>
        <w:t>拟购置固定资产，详见下表。</w:t>
      </w:r>
    </w:p>
    <w:tbl>
      <w:tblPr>
        <w:tblStyle w:val="4"/>
        <w:tblW w:w="11129" w:type="dxa"/>
        <w:jc w:val="center"/>
        <w:tblCellSpacing w:w="0" w:type="dxa"/>
        <w:tblLayout w:type="fixed"/>
        <w:tblCellMar>
          <w:top w:w="0" w:type="dxa"/>
          <w:left w:w="0" w:type="dxa"/>
          <w:bottom w:w="0" w:type="dxa"/>
          <w:right w:w="0" w:type="dxa"/>
        </w:tblCellMar>
      </w:tblPr>
      <w:tblGrid>
        <w:gridCol w:w="4025"/>
        <w:gridCol w:w="2585"/>
        <w:gridCol w:w="4519"/>
      </w:tblGrid>
      <w:tr>
        <w:tblPrEx>
          <w:tblCellMar>
            <w:top w:w="0" w:type="dxa"/>
            <w:left w:w="0" w:type="dxa"/>
            <w:bottom w:w="0" w:type="dxa"/>
            <w:right w:w="0" w:type="dxa"/>
          </w:tblCellMar>
        </w:tblPrEx>
        <w:trPr>
          <w:trHeight w:val="453" w:hRule="exact"/>
          <w:tblCellSpacing w:w="0" w:type="dxa"/>
          <w:jc w:val="center"/>
        </w:trPr>
        <w:tc>
          <w:tcPr>
            <w:tcW w:w="11129" w:type="dxa"/>
            <w:gridSpan w:val="3"/>
          </w:tcPr>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廊坊市广阳区预算部门固定资产占用情况表</w:t>
            </w:r>
            <w:r>
              <w:rPr>
                <w:rFonts w:ascii="仿宋_GB2312" w:eastAsia="仿宋_GB2312" w:cs="宋体"/>
                <w:color w:val="000000"/>
                <w:kern w:val="0"/>
                <w:sz w:val="32"/>
                <w:szCs w:val="32"/>
              </w:rPr>
              <w:t> </w:t>
            </w:r>
          </w:p>
          <w:p>
            <w:pPr>
              <w:widowControl/>
              <w:spacing w:line="570" w:lineRule="exact"/>
              <w:jc w:val="center"/>
              <w:rPr>
                <w:rFonts w:ascii="仿宋_GB2312" w:eastAsia="仿宋_GB2312" w:cs="宋体"/>
                <w:color w:val="000000"/>
                <w:kern w:val="0"/>
                <w:sz w:val="32"/>
                <w:szCs w:val="32"/>
              </w:rPr>
            </w:pP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610" w:type="dxa"/>
            <w:gridSpan w:val="2"/>
            <w:vAlign w:val="center"/>
          </w:tcPr>
          <w:p>
            <w:pPr>
              <w:widowControl/>
              <w:spacing w:line="570" w:lineRule="exact"/>
              <w:rPr>
                <w:rFonts w:ascii="仿宋_GB2312" w:eastAsia="仿宋_GB2312" w:cs="宋体"/>
                <w:color w:val="000000"/>
                <w:kern w:val="0"/>
                <w:sz w:val="32"/>
                <w:szCs w:val="32"/>
              </w:rPr>
            </w:pPr>
            <w:r>
              <w:rPr>
                <w:rFonts w:hint="eastAsia" w:ascii="仿宋_GB2312" w:eastAsia="仿宋_GB2312" w:cs="宋体"/>
                <w:color w:val="000000"/>
                <w:kern w:val="0"/>
                <w:sz w:val="32"/>
                <w:szCs w:val="32"/>
              </w:rPr>
              <w:t>编制部门：</w:t>
            </w:r>
            <w:r>
              <w:rPr>
                <w:rFonts w:hint="eastAsia" w:ascii="仿宋_GB2312" w:eastAsia="仿宋_GB2312" w:cs="宋体"/>
                <w:color w:val="000000"/>
                <w:kern w:val="0"/>
                <w:sz w:val="32"/>
                <w:szCs w:val="32"/>
                <w:lang w:val="en-US" w:eastAsia="zh-CN"/>
              </w:rPr>
              <w:t>678</w:t>
            </w:r>
            <w:r>
              <w:rPr>
                <w:rFonts w:hint="eastAsia" w:ascii="仿宋_GB2312" w:eastAsia="仿宋_GB2312" w:cs="宋体"/>
                <w:color w:val="000000"/>
                <w:kern w:val="0"/>
                <w:sz w:val="32"/>
                <w:szCs w:val="32"/>
              </w:rPr>
              <w:t>廊坊市广阳区林业局</w:t>
            </w:r>
          </w:p>
        </w:tc>
        <w:tc>
          <w:tcPr>
            <w:tcW w:w="4519" w:type="dxa"/>
            <w:vAlign w:val="center"/>
          </w:tcPr>
          <w:p>
            <w:pPr>
              <w:widowControl/>
              <w:spacing w:line="570" w:lineRule="exact"/>
              <w:rPr>
                <w:rFonts w:ascii="仿宋_GB2312" w:eastAsia="仿宋_GB2312" w:cs="宋体"/>
                <w:color w:val="000000"/>
                <w:kern w:val="0"/>
                <w:sz w:val="32"/>
                <w:szCs w:val="32"/>
              </w:rPr>
            </w:pPr>
            <w:r>
              <w:rPr>
                <w:rFonts w:hint="eastAsia" w:ascii="仿宋_GB2312" w:eastAsia="仿宋_GB2312" w:cs="宋体"/>
                <w:color w:val="000000"/>
                <w:kern w:val="0"/>
                <w:sz w:val="32"/>
                <w:szCs w:val="32"/>
              </w:rPr>
              <w:t>截止时间：201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年12月31日</w:t>
            </w:r>
            <w:r>
              <w:rPr>
                <w:rFonts w:ascii="仿宋_GB2312" w:eastAsia="仿宋_GB2312" w:cs="宋体"/>
                <w:color w:val="000000"/>
                <w:kern w:val="0"/>
                <w:sz w:val="32"/>
                <w:szCs w:val="32"/>
              </w:rPr>
              <w:t> </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项</w:t>
            </w:r>
            <w:r>
              <w:rPr>
                <w:rFonts w:ascii="仿宋_GB2312" w:eastAsia="仿宋_GB2312" w:cs="宋体"/>
                <w:color w:val="000000"/>
                <w:kern w:val="0"/>
                <w:sz w:val="32"/>
                <w:szCs w:val="32"/>
              </w:rPr>
              <w:t xml:space="preserve">   </w:t>
            </w:r>
            <w:r>
              <w:rPr>
                <w:rFonts w:hint="eastAsia" w:ascii="仿宋_GB2312" w:eastAsia="仿宋_GB2312" w:cs="宋体"/>
                <w:color w:val="000000"/>
                <w:kern w:val="0"/>
                <w:sz w:val="32"/>
                <w:szCs w:val="32"/>
              </w:rPr>
              <w:t>目</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数量</w:t>
            </w:r>
          </w:p>
        </w:tc>
        <w:tc>
          <w:tcPr>
            <w:tcW w:w="4519"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资产总额</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p>
        </w:tc>
        <w:tc>
          <w:tcPr>
            <w:tcW w:w="4519"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168.844</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1、房屋（平方米）</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620</w:t>
            </w:r>
          </w:p>
        </w:tc>
        <w:tc>
          <w:tcPr>
            <w:tcW w:w="4519"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40.176</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r>
              <w:rPr>
                <w:rFonts w:ascii="仿宋_GB2312" w:eastAsia="仿宋_GB2312" w:cs="宋体"/>
                <w:color w:val="000000"/>
                <w:kern w:val="0"/>
                <w:sz w:val="32"/>
                <w:szCs w:val="32"/>
              </w:rPr>
              <w:t xml:space="preserve">   </w:t>
            </w:r>
            <w:r>
              <w:rPr>
                <w:rFonts w:hint="eastAsia" w:ascii="仿宋_GB2312" w:eastAsia="仿宋_GB2312" w:cs="宋体"/>
                <w:color w:val="000000"/>
                <w:kern w:val="0"/>
                <w:sz w:val="32"/>
                <w:szCs w:val="32"/>
              </w:rPr>
              <w:t>其中：办公用房（平方米）</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620</w:t>
            </w:r>
          </w:p>
        </w:tc>
        <w:tc>
          <w:tcPr>
            <w:tcW w:w="4519"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40.176</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2、车辆（台、辆）</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5</w:t>
            </w:r>
          </w:p>
        </w:tc>
        <w:tc>
          <w:tcPr>
            <w:tcW w:w="4519"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48.23</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3、单价在50万元以上的设备</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p>
        </w:tc>
        <w:tc>
          <w:tcPr>
            <w:tcW w:w="4519"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4、其他固定资产</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p>
        </w:tc>
        <w:tc>
          <w:tcPr>
            <w:tcW w:w="4519"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80.438</w:t>
            </w:r>
          </w:p>
        </w:tc>
      </w:tr>
    </w:tbl>
    <w:p>
      <w:pPr>
        <w:pStyle w:val="7"/>
        <w:spacing w:line="570" w:lineRule="exact"/>
        <w:rPr>
          <w:rFonts w:ascii="仿宋_GB2312" w:eastAsia="仿宋_GB2312" w:cs="宋体"/>
          <w:sz w:val="32"/>
          <w:szCs w:val="32"/>
        </w:rPr>
      </w:pPr>
      <w:r>
        <w:rPr>
          <w:rFonts w:hint="eastAsia" w:ascii="仿宋_GB2312" w:eastAsia="仿宋_GB2312" w:cs="宋体"/>
          <w:b/>
          <w:sz w:val="32"/>
          <w:szCs w:val="32"/>
        </w:rPr>
        <w:br w:type="page"/>
      </w:r>
      <w:r>
        <w:rPr>
          <w:rFonts w:hint="eastAsia" w:ascii="仿宋_GB2312" w:eastAsia="仿宋_GB2312" w:cs="宋体"/>
          <w:b/>
          <w:sz w:val="32"/>
          <w:szCs w:val="32"/>
        </w:rPr>
        <w:t>八、名词解释</w:t>
      </w:r>
      <w:r>
        <w:rPr>
          <w:rFonts w:hint="eastAsia" w:ascii="仿宋_GB2312" w:eastAsia="仿宋_GB2312" w:cs="宋体"/>
          <w:b/>
          <w:sz w:val="32"/>
          <w:szCs w:val="32"/>
        </w:rPr>
        <w:br w:type="textWrapping"/>
      </w:r>
      <w:r>
        <w:rPr>
          <w:rFonts w:hint="eastAsia" w:ascii="仿宋_GB2312" w:eastAsia="仿宋_GB2312" w:cs="宋体"/>
          <w:sz w:val="32"/>
          <w:szCs w:val="32"/>
        </w:rPr>
        <w:t xml:space="preserve"> </w:t>
      </w:r>
      <w:r>
        <w:rPr>
          <w:rFonts w:ascii="仿宋_GB2312" w:eastAsia="仿宋_GB2312" w:cs="宋体"/>
          <w:sz w:val="32"/>
          <w:szCs w:val="32"/>
        </w:rPr>
        <w:t xml:space="preserve">   </w:t>
      </w:r>
      <w:r>
        <w:rPr>
          <w:rFonts w:hint="eastAsia" w:ascii="仿宋_GB2312" w:eastAsia="仿宋_GB2312" w:cs="宋体"/>
          <w:sz w:val="32"/>
          <w:szCs w:val="32"/>
        </w:rPr>
        <w:t>1、一般公共预算拨款收入：指市级财政当年拨付的资金。</w:t>
      </w:r>
    </w:p>
    <w:p>
      <w:pPr>
        <w:pStyle w:val="7"/>
        <w:spacing w:line="570" w:lineRule="exact"/>
        <w:rPr>
          <w:rFonts w:ascii="仿宋_GB2312" w:eastAsia="仿宋_GB2312" w:cs="宋体"/>
          <w:sz w:val="32"/>
          <w:szCs w:val="32"/>
        </w:rPr>
      </w:pPr>
      <w:r>
        <w:rPr>
          <w:rFonts w:hint="eastAsia" w:ascii="仿宋_GB2312" w:eastAsia="仿宋_GB2312" w:cs="宋体"/>
          <w:sz w:val="32"/>
          <w:szCs w:val="32"/>
        </w:rPr>
        <w:t xml:space="preserve">    2、事业收入：指事业单位开展专业业务活动及辅助活动所取得的收入。</w:t>
      </w:r>
    </w:p>
    <w:p>
      <w:pPr>
        <w:pStyle w:val="7"/>
        <w:spacing w:line="570" w:lineRule="exact"/>
        <w:rPr>
          <w:rFonts w:ascii="仿宋_GB2312" w:eastAsia="仿宋_GB2312" w:cs="宋体"/>
          <w:sz w:val="32"/>
          <w:szCs w:val="32"/>
        </w:rPr>
      </w:pPr>
      <w:r>
        <w:rPr>
          <w:rFonts w:hint="eastAsia" w:ascii="仿宋_GB2312" w:eastAsia="仿宋_GB2312" w:cs="宋体"/>
          <w:sz w:val="32"/>
          <w:szCs w:val="32"/>
        </w:rPr>
        <w:t xml:space="preserve">    3、其他收入：指除上述“财政拨款收入”、“事业收入”等以外的收入。主要是按规定动用的租房收入、存款利息收入等。</w:t>
      </w:r>
    </w:p>
    <w:p>
      <w:pPr>
        <w:pStyle w:val="7"/>
        <w:spacing w:line="570" w:lineRule="exact"/>
        <w:rPr>
          <w:rFonts w:ascii="仿宋_GB2312" w:eastAsia="仿宋_GB2312" w:cs="宋体"/>
          <w:sz w:val="32"/>
          <w:szCs w:val="32"/>
        </w:rPr>
      </w:pPr>
      <w:r>
        <w:rPr>
          <w:rFonts w:hint="eastAsia" w:ascii="仿宋_GB2312" w:eastAsia="仿宋_GB2312" w:cs="宋体"/>
          <w:sz w:val="32"/>
          <w:szCs w:val="32"/>
        </w:rPr>
        <w:t xml:space="preserve">    4、基本支出：指为保障机构正常运转、完成日常工作任务而发生的人员支出和公用支出。</w:t>
      </w:r>
    </w:p>
    <w:p>
      <w:pPr>
        <w:spacing w:line="570" w:lineRule="exac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5、项目支出：指在基本支出之外为完成特定行政任务和事业发展目标所发生的支出。</w:t>
      </w:r>
    </w:p>
    <w:p>
      <w:pPr>
        <w:pStyle w:val="7"/>
        <w:spacing w:line="570" w:lineRule="exact"/>
        <w:rPr>
          <w:rFonts w:ascii="仿宋_GB2312" w:eastAsia="仿宋_GB2312" w:cs="宋体"/>
          <w:sz w:val="32"/>
          <w:szCs w:val="32"/>
        </w:rPr>
      </w:pPr>
      <w:r>
        <w:rPr>
          <w:rFonts w:hint="eastAsia" w:ascii="仿宋_GB2312" w:eastAsia="仿宋_GB2312" w:cs="宋体"/>
          <w:sz w:val="32"/>
          <w:szCs w:val="32"/>
        </w:rPr>
        <w:t xml:space="preserve">    6、上缴上级支出：指下级单位上缴上级的支出。</w:t>
      </w:r>
    </w:p>
    <w:p>
      <w:pPr>
        <w:pStyle w:val="7"/>
        <w:spacing w:line="570" w:lineRule="exact"/>
        <w:rPr>
          <w:rFonts w:ascii="仿宋_GB2312" w:eastAsia="仿宋_GB2312" w:cs="宋体"/>
          <w:sz w:val="32"/>
          <w:szCs w:val="32"/>
        </w:rPr>
      </w:pPr>
      <w:r>
        <w:rPr>
          <w:rFonts w:hint="eastAsia" w:ascii="仿宋_GB2312" w:eastAsia="仿宋_GB2312" w:cs="宋体"/>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70" w:lineRule="exact"/>
        <w:jc w:val="left"/>
        <w:rPr>
          <w:rFonts w:ascii="宋体" w:hAnsi="宋体" w:eastAsia="仿宋_GB2312" w:cs="宋体"/>
          <w:color w:val="000000"/>
          <w:kern w:val="0"/>
          <w:sz w:val="32"/>
          <w:szCs w:val="32"/>
        </w:rPr>
      </w:pPr>
      <w:r>
        <w:rPr>
          <w:rFonts w:hint="eastAsia" w:ascii="仿宋_GB2312" w:eastAsia="仿宋_GB2312" w:cs="宋体"/>
          <w:b/>
          <w:color w:val="000000"/>
          <w:kern w:val="0"/>
          <w:sz w:val="32"/>
          <w:szCs w:val="32"/>
        </w:rPr>
        <w:t>九、其他需要说明的事项</w:t>
      </w:r>
      <w:r>
        <w:rPr>
          <w:rFonts w:hint="eastAsia" w:ascii="仿宋_GB2312" w:eastAsia="仿宋_GB2312" w:cs="宋体"/>
          <w:b/>
          <w:color w:val="000000"/>
          <w:kern w:val="0"/>
          <w:sz w:val="32"/>
          <w:szCs w:val="32"/>
        </w:rPr>
        <w:br w:type="textWrapping"/>
      </w:r>
      <w:r>
        <w:rPr>
          <w:rFonts w:hint="eastAsia" w:ascii="仿宋_GB2312" w:eastAsia="仿宋_GB2312" w:cs="宋体"/>
          <w:color w:val="000000"/>
          <w:kern w:val="0"/>
          <w:sz w:val="32"/>
          <w:szCs w:val="32"/>
        </w:rPr>
        <w:t>无其他需要说明的事项。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spacing w:line="570" w:lineRule="exact"/>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8C5CE3"/>
    <w:rsid w:val="008C5CE3"/>
    <w:rsid w:val="00976767"/>
    <w:rsid w:val="00A40441"/>
    <w:rsid w:val="4DDF0B39"/>
    <w:rsid w:val="55A30692"/>
    <w:rsid w:val="658E236F"/>
    <w:rsid w:val="72B306FD"/>
    <w:rsid w:val="749E0911"/>
    <w:rsid w:val="7E761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
    <w:name w:val="[Normal]"/>
    <w:qFormat/>
    <w:uiPriority w:val="0"/>
    <w:rPr>
      <w:rFonts w:ascii="宋体" w:hAnsi="Times New Roman" w:eastAsia="宋体" w:cs="Times New Roman"/>
      <w:sz w:val="24"/>
      <w:szCs w:val="22"/>
      <w:lang w:val="en-US" w:eastAsia="en-US" w:bidi="ar-SA"/>
    </w:rPr>
  </w:style>
  <w:style w:type="paragraph" w:customStyle="1" w:styleId="9">
    <w:name w:val="列出段落1"/>
    <w:basedOn w:val="1"/>
    <w:qFormat/>
    <w:uiPriority w:val="0"/>
    <w:pPr>
      <w:ind w:firstLine="200" w:firstLineChars="200"/>
    </w:pPr>
  </w:style>
  <w:style w:type="paragraph" w:customStyle="1" w:styleId="10">
    <w:name w:val="无间隔1"/>
    <w:qFormat/>
    <w:uiPriority w:val="0"/>
    <w:pPr>
      <w:widowControl w:val="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510</Words>
  <Characters>2913</Characters>
  <Lines>24</Lines>
  <Paragraphs>6</Paragraphs>
  <TotalTime>0</TotalTime>
  <ScaleCrop>false</ScaleCrop>
  <LinksUpToDate>false</LinksUpToDate>
  <CharactersWithSpaces>3417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111</cp:lastModifiedBy>
  <dcterms:modified xsi:type="dcterms:W3CDTF">2024-07-19T01:09:49Z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ECFDF341121B4680A69B9AD6BBD638F0</vt:lpwstr>
  </property>
</Properties>
</file>