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黑体" w:eastAsia="黑体" w:cs="宋体"/>
          <w:b/>
          <w:color w:val="000000"/>
          <w:kern w:val="0"/>
          <w:sz w:val="44"/>
          <w:szCs w:val="44"/>
        </w:rPr>
      </w:pPr>
      <w:r>
        <w:rPr>
          <w:rFonts w:hint="eastAsia" w:ascii="黑体" w:eastAsia="黑体" w:cs="宋体"/>
          <w:b/>
          <w:bCs/>
          <w:color w:val="000000"/>
          <w:kern w:val="0"/>
          <w:sz w:val="44"/>
          <w:szCs w:val="44"/>
        </w:rPr>
        <w:t>廊坊市广阳区工业经济运行局2018年部门预算信息公开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1" w:name="_GoBack"/>
      <w:bookmarkEnd w:id="1"/>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w:t>
      </w:r>
      <w:r>
        <w:rPr>
          <w:rFonts w:hint="eastAsia" w:ascii="仿宋_GB2312" w:eastAsia="仿宋_GB2312" w:cs="宋体"/>
          <w:kern w:val="0"/>
          <w:sz w:val="32"/>
          <w:szCs w:val="32"/>
        </w:rPr>
        <w:t>区</w:t>
      </w:r>
      <w:r>
        <w:rPr>
          <w:rFonts w:hint="eastAsia" w:ascii="仿宋_GB2312" w:eastAsia="仿宋_GB2312" w:cs="宋体"/>
          <w:bCs/>
          <w:kern w:val="0"/>
          <w:sz w:val="32"/>
          <w:szCs w:val="32"/>
        </w:rPr>
        <w:t>工业经济运行局</w:t>
      </w:r>
      <w:r>
        <w:rPr>
          <w:rFonts w:hint="eastAsia" w:ascii="仿宋_GB2312" w:eastAsia="仿宋_GB2312"/>
          <w:sz w:val="32"/>
          <w:szCs w:val="32"/>
        </w:rPr>
        <w:t>2018年部门预算公开如下：</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一</w:t>
      </w:r>
      <w:r>
        <w:rPr>
          <w:rFonts w:ascii="黑体" w:eastAsia="黑体" w:cs="宋体"/>
          <w:b/>
          <w:bCs/>
          <w:color w:val="000000"/>
          <w:kern w:val="0"/>
          <w:sz w:val="32"/>
          <w:szCs w:val="32"/>
        </w:rPr>
        <w:t>、</w:t>
      </w:r>
      <w:r>
        <w:rPr>
          <w:rFonts w:hint="eastAsia" w:ascii="黑体" w:eastAsia="黑体" w:cs="宋体"/>
          <w:b/>
          <w:bCs/>
          <w:color w:val="000000"/>
          <w:kern w:val="0"/>
          <w:sz w:val="32"/>
          <w:szCs w:val="32"/>
        </w:rPr>
        <w:t xml:space="preserve">部门职责及机构设置情况 </w:t>
      </w:r>
    </w:p>
    <w:p>
      <w:pPr>
        <w:widowControl/>
        <w:spacing w:line="570" w:lineRule="exac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(一)、部门职责：</w:t>
      </w:r>
    </w:p>
    <w:p>
      <w:pPr>
        <w:widowControl/>
        <w:spacing w:line="570" w:lineRule="exact"/>
        <w:ind w:firstLine="640" w:firstLineChars="200"/>
        <w:jc w:val="left"/>
        <w:rPr>
          <w:rFonts w:ascii="仿宋_GB2312" w:eastAsia="仿宋_GB2312" w:cs="黑体"/>
          <w:sz w:val="32"/>
          <w:szCs w:val="32"/>
        </w:rPr>
      </w:pPr>
      <w:r>
        <w:rPr>
          <w:rFonts w:hint="eastAsia" w:ascii="仿宋_GB2312" w:eastAsia="仿宋_GB2312" w:cs="黑体"/>
          <w:sz w:val="32"/>
          <w:szCs w:val="32"/>
        </w:rPr>
        <w:t>部门职责：</w:t>
      </w:r>
    </w:p>
    <w:p>
      <w:pPr>
        <w:spacing w:line="570" w:lineRule="exact"/>
        <w:rPr>
          <w:rFonts w:ascii="仿宋_GB2312" w:eastAsia="仿宋_GB2312"/>
          <w:sz w:val="32"/>
          <w:szCs w:val="32"/>
        </w:rPr>
      </w:pPr>
      <w:r>
        <w:rPr>
          <w:rFonts w:hint="eastAsia" w:ascii="仿宋_GB2312" w:eastAsia="仿宋_GB2312"/>
          <w:sz w:val="32"/>
          <w:szCs w:val="32"/>
        </w:rPr>
        <w:t xml:space="preserve">   （一）研究拟定全区中小企业发展战略、中长期发展规划及年度发展目标，并组织实施。</w:t>
      </w:r>
    </w:p>
    <w:p>
      <w:pPr>
        <w:spacing w:line="570" w:lineRule="exact"/>
        <w:rPr>
          <w:rFonts w:ascii="仿宋_GB2312" w:eastAsia="仿宋_GB2312"/>
          <w:sz w:val="32"/>
          <w:szCs w:val="32"/>
        </w:rPr>
      </w:pPr>
      <w:r>
        <w:rPr>
          <w:rFonts w:hint="eastAsia" w:ascii="仿宋_GB2312" w:eastAsia="仿宋_GB2312"/>
          <w:sz w:val="32"/>
          <w:szCs w:val="32"/>
        </w:rPr>
        <w:t xml:space="preserve">   （二）指导全区中小企业调整产业和产品结构，引导地区间、企业间经济技术合作，扶持区域特色经济的发展。</w:t>
      </w:r>
    </w:p>
    <w:p>
      <w:pPr>
        <w:spacing w:line="570" w:lineRule="exact"/>
        <w:rPr>
          <w:rFonts w:ascii="仿宋_GB2312" w:eastAsia="仿宋_GB2312"/>
          <w:sz w:val="32"/>
          <w:szCs w:val="32"/>
        </w:rPr>
      </w:pPr>
      <w:r>
        <w:rPr>
          <w:rFonts w:hint="eastAsia" w:ascii="仿宋_GB2312" w:eastAsia="仿宋_GB2312"/>
          <w:sz w:val="32"/>
          <w:szCs w:val="32"/>
        </w:rPr>
        <w:t xml:space="preserve">   （三）指导中小企业宏观经营管理以及资产管理、财务管理和内部审计。</w:t>
      </w:r>
    </w:p>
    <w:p>
      <w:pPr>
        <w:spacing w:line="570" w:lineRule="exact"/>
        <w:rPr>
          <w:rFonts w:ascii="仿宋_GB2312" w:eastAsia="仿宋_GB2312"/>
          <w:sz w:val="32"/>
          <w:szCs w:val="32"/>
        </w:rPr>
      </w:pPr>
      <w:r>
        <w:rPr>
          <w:rFonts w:hint="eastAsia" w:ascii="仿宋_GB2312" w:eastAsia="仿宋_GB2312"/>
          <w:sz w:val="32"/>
          <w:szCs w:val="32"/>
        </w:rPr>
        <w:t xml:space="preserve">   （四）指导中小企业质量标准工作。</w:t>
      </w:r>
    </w:p>
    <w:p>
      <w:pPr>
        <w:spacing w:line="570" w:lineRule="exact"/>
        <w:rPr>
          <w:rFonts w:ascii="仿宋_GB2312" w:eastAsia="仿宋_GB2312"/>
          <w:sz w:val="32"/>
          <w:szCs w:val="32"/>
        </w:rPr>
      </w:pPr>
      <w:r>
        <w:rPr>
          <w:rFonts w:hint="eastAsia" w:ascii="仿宋_GB2312" w:eastAsia="仿宋_GB2312"/>
          <w:sz w:val="32"/>
          <w:szCs w:val="32"/>
        </w:rPr>
        <w:t xml:space="preserve">   （五）依法保护中小企业的合法权益，规范其生产和经营行为。</w:t>
      </w:r>
    </w:p>
    <w:p>
      <w:pPr>
        <w:spacing w:line="570" w:lineRule="exact"/>
        <w:rPr>
          <w:rFonts w:ascii="仿宋_GB2312" w:eastAsia="仿宋_GB2312"/>
          <w:sz w:val="32"/>
          <w:szCs w:val="32"/>
        </w:rPr>
      </w:pPr>
      <w:r>
        <w:rPr>
          <w:rFonts w:hint="eastAsia" w:ascii="仿宋_GB2312" w:eastAsia="仿宋_GB2312"/>
          <w:sz w:val="32"/>
          <w:szCs w:val="32"/>
        </w:rPr>
        <w:t xml:space="preserve">   （六）指导中小企业技术进步、职工教育和培训、人才引进及企业经营管理者的培训。</w:t>
      </w:r>
    </w:p>
    <w:p>
      <w:pPr>
        <w:spacing w:line="570" w:lineRule="exact"/>
        <w:rPr>
          <w:rFonts w:ascii="仿宋_GB2312" w:eastAsia="仿宋_GB2312"/>
          <w:sz w:val="32"/>
          <w:szCs w:val="32"/>
        </w:rPr>
      </w:pPr>
      <w:r>
        <w:rPr>
          <w:rFonts w:hint="eastAsia" w:ascii="仿宋_GB2312" w:eastAsia="仿宋_GB2312"/>
          <w:sz w:val="32"/>
          <w:szCs w:val="32"/>
        </w:rPr>
        <w:t xml:space="preserve">   （七）协同管理中小企业外事、外经、外贸工作，协调和指导中小企业招商引资、出口创汇工作。</w:t>
      </w:r>
    </w:p>
    <w:p>
      <w:pPr>
        <w:spacing w:line="570" w:lineRule="exact"/>
        <w:rPr>
          <w:rFonts w:ascii="仿宋_GB2312" w:eastAsia="仿宋_GB2312"/>
          <w:sz w:val="32"/>
          <w:szCs w:val="32"/>
        </w:rPr>
      </w:pPr>
      <w:r>
        <w:rPr>
          <w:rFonts w:hint="eastAsia" w:ascii="仿宋_GB2312" w:eastAsia="仿宋_GB2312"/>
          <w:sz w:val="32"/>
          <w:szCs w:val="32"/>
        </w:rPr>
        <w:t xml:space="preserve">   （八）综合分析全区工业发展形势，研究新型工业化发展战略和政策。</w:t>
      </w:r>
    </w:p>
    <w:p>
      <w:pPr>
        <w:spacing w:line="570" w:lineRule="exact"/>
        <w:rPr>
          <w:rFonts w:ascii="仿宋_GB2312" w:eastAsia="仿宋_GB2312"/>
          <w:sz w:val="32"/>
          <w:szCs w:val="32"/>
        </w:rPr>
      </w:pPr>
      <w:r>
        <w:rPr>
          <w:rFonts w:hint="eastAsia" w:ascii="仿宋_GB2312" w:eastAsia="仿宋_GB2312"/>
          <w:sz w:val="32"/>
          <w:szCs w:val="32"/>
        </w:rPr>
        <w:t xml:space="preserve">   （九）研究拟定主要工业行业规划，对全区工业现代化实施宏观指导。</w:t>
      </w:r>
    </w:p>
    <w:p>
      <w:pPr>
        <w:spacing w:line="570" w:lineRule="exact"/>
        <w:rPr>
          <w:rFonts w:ascii="仿宋_GB2312" w:eastAsia="仿宋_GB2312"/>
          <w:sz w:val="32"/>
          <w:szCs w:val="32"/>
        </w:rPr>
      </w:pPr>
      <w:r>
        <w:rPr>
          <w:rFonts w:hint="eastAsia" w:ascii="仿宋_GB2312" w:eastAsia="仿宋_GB2312"/>
          <w:sz w:val="32"/>
          <w:szCs w:val="32"/>
        </w:rPr>
        <w:t xml:space="preserve">   （十）培育和促进全区工业产业基地建设，指导和协调工业园区建设和发展。</w:t>
      </w:r>
    </w:p>
    <w:p>
      <w:pPr>
        <w:spacing w:line="570" w:lineRule="exact"/>
        <w:rPr>
          <w:rFonts w:ascii="仿宋_GB2312" w:eastAsia="仿宋_GB2312"/>
          <w:sz w:val="32"/>
          <w:szCs w:val="32"/>
        </w:rPr>
      </w:pPr>
      <w:r>
        <w:rPr>
          <w:rFonts w:hint="eastAsia" w:ascii="仿宋_GB2312" w:eastAsia="仿宋_GB2312"/>
          <w:sz w:val="32"/>
          <w:szCs w:val="32"/>
        </w:rPr>
        <w:t xml:space="preserve">   （十一）指导地方性行业技术法规和行业标准拟定。</w:t>
      </w:r>
    </w:p>
    <w:p>
      <w:pPr>
        <w:spacing w:line="570" w:lineRule="exact"/>
        <w:rPr>
          <w:rFonts w:ascii="仿宋_GB2312" w:eastAsia="仿宋_GB2312"/>
          <w:sz w:val="32"/>
          <w:szCs w:val="32"/>
        </w:rPr>
      </w:pPr>
      <w:r>
        <w:rPr>
          <w:rFonts w:hint="eastAsia" w:ascii="仿宋_GB2312" w:eastAsia="仿宋_GB2312"/>
          <w:sz w:val="32"/>
          <w:szCs w:val="32"/>
        </w:rPr>
        <w:t xml:space="preserve">   （十二）指导引进重大技术改造和重大成套设备的消化创新工作。</w:t>
      </w:r>
    </w:p>
    <w:p>
      <w:pPr>
        <w:spacing w:line="570" w:lineRule="exact"/>
        <w:rPr>
          <w:rFonts w:ascii="仿宋_GB2312" w:eastAsia="仿宋_GB2312"/>
          <w:sz w:val="32"/>
          <w:szCs w:val="32"/>
        </w:rPr>
      </w:pPr>
      <w:r>
        <w:rPr>
          <w:rFonts w:hint="eastAsia" w:ascii="仿宋_GB2312" w:eastAsia="仿宋_GB2312"/>
          <w:sz w:val="32"/>
          <w:szCs w:val="32"/>
        </w:rPr>
        <w:t xml:space="preserve">   （十三）组织工业重点项目前期工作，安排大中型及市管以上工业项目。</w:t>
      </w:r>
    </w:p>
    <w:p>
      <w:pPr>
        <w:spacing w:line="570" w:lineRule="exact"/>
        <w:rPr>
          <w:rFonts w:ascii="仿宋_GB2312" w:eastAsia="仿宋_GB2312"/>
          <w:sz w:val="32"/>
          <w:szCs w:val="32"/>
        </w:rPr>
      </w:pPr>
      <w:r>
        <w:rPr>
          <w:rFonts w:hint="eastAsia" w:ascii="仿宋_GB2312" w:eastAsia="仿宋_GB2312"/>
          <w:sz w:val="32"/>
          <w:szCs w:val="32"/>
        </w:rPr>
        <w:t xml:space="preserve">   （十四）负责日常工业经济运行的检测分析和协调调度，组织解决工业经济运行中的有关重大问题。</w:t>
      </w:r>
    </w:p>
    <w:p>
      <w:pPr>
        <w:spacing w:line="570" w:lineRule="exact"/>
        <w:rPr>
          <w:rFonts w:ascii="仿宋_GB2312" w:eastAsia="仿宋_GB2312"/>
          <w:sz w:val="32"/>
          <w:szCs w:val="32"/>
        </w:rPr>
      </w:pPr>
      <w:r>
        <w:rPr>
          <w:rFonts w:hint="eastAsia" w:ascii="仿宋_GB2312" w:eastAsia="仿宋_GB2312"/>
          <w:sz w:val="32"/>
          <w:szCs w:val="32"/>
        </w:rPr>
        <w:t xml:space="preserve">   （十五）指导全区行业协会工作。</w:t>
      </w:r>
    </w:p>
    <w:p>
      <w:pPr>
        <w:spacing w:line="570" w:lineRule="exact"/>
        <w:rPr>
          <w:rFonts w:ascii="仿宋_GB2312" w:eastAsia="仿宋_GB2312"/>
          <w:sz w:val="32"/>
          <w:szCs w:val="32"/>
        </w:rPr>
      </w:pPr>
      <w:r>
        <w:rPr>
          <w:rFonts w:hint="eastAsia" w:ascii="仿宋_GB2312" w:eastAsia="仿宋_GB2312"/>
          <w:sz w:val="32"/>
          <w:szCs w:val="32"/>
        </w:rPr>
        <w:t xml:space="preserve">   （十六）承办区政府交办的其他事项。</w:t>
      </w:r>
    </w:p>
    <w:p>
      <w:pPr>
        <w:widowControl/>
        <w:spacing w:line="570" w:lineRule="exac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（二）、机构设置：</w:t>
      </w:r>
    </w:p>
    <w:p>
      <w:pPr>
        <w:widowControl/>
        <w:spacing w:line="570" w:lineRule="exact"/>
        <w:jc w:val="center"/>
        <w:rPr>
          <w:rFonts w:ascii="宋体" w:cs="宋体"/>
          <w:color w:val="000000"/>
          <w:kern w:val="0"/>
          <w:sz w:val="32"/>
          <w:szCs w:val="32"/>
        </w:rPr>
      </w:pPr>
      <w:r>
        <w:rPr>
          <w:rFonts w:hint="eastAsia" w:ascii="宋体"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7"/>
        <w:gridCol w:w="2073"/>
        <w:gridCol w:w="1786"/>
        <w:gridCol w:w="42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宋体" w:cs="宋体"/>
                <w:b/>
                <w:bCs/>
                <w:kern w:val="0"/>
                <w:sz w:val="32"/>
                <w:szCs w:val="32"/>
              </w:rPr>
            </w:pPr>
            <w:r>
              <w:rPr>
                <w:rFonts w:hint="eastAsia" w:ascii="宋体"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宋体" w:cs="宋体"/>
                <w:b/>
                <w:bCs/>
                <w:kern w:val="0"/>
                <w:sz w:val="32"/>
                <w:szCs w:val="32"/>
              </w:rPr>
            </w:pPr>
            <w:r>
              <w:rPr>
                <w:rFonts w:hint="eastAsia" w:ascii="宋体"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宋体" w:cs="宋体"/>
                <w:b/>
                <w:bCs/>
                <w:kern w:val="0"/>
                <w:sz w:val="32"/>
                <w:szCs w:val="32"/>
              </w:rPr>
            </w:pPr>
            <w:r>
              <w:rPr>
                <w:rFonts w:hint="eastAsia" w:ascii="宋体" w:cs="宋体"/>
                <w:b/>
                <w:bCs/>
                <w:kern w:val="0"/>
                <w:sz w:val="32"/>
                <w:szCs w:val="32"/>
              </w:rPr>
              <w:t>单位规格</w:t>
            </w:r>
          </w:p>
        </w:tc>
        <w:tc>
          <w:tcPr>
            <w:tcW w:w="42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宋体" w:cs="宋体"/>
                <w:b/>
                <w:bCs/>
                <w:kern w:val="0"/>
                <w:sz w:val="32"/>
                <w:szCs w:val="32"/>
              </w:rPr>
            </w:pPr>
            <w:r>
              <w:rPr>
                <w:rFonts w:hint="eastAsia" w:ascii="宋体"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廊坊市广阳区工业经济运行局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ascii="仿宋_GB2312" w:eastAsia="仿宋_GB2312" w:cs="宋体"/>
          <w:color w:val="FF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广阳区工业经济运行局</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1、收入说明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2018年预算收入684.54万元，其中：一般公共预算收入684.54万元，政府性基金收入0万元，事业收入0万元，其他收入0万元。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收支预算总表支出栏、基本支出表、项目支出表按经济分类和支出功能分类科目编制，反映河北省2018年度</w:t>
      </w:r>
      <w:r>
        <w:rPr>
          <w:rFonts w:hint="eastAsia" w:ascii="仿宋_GB2312" w:eastAsia="仿宋_GB2312" w:cs="宋体"/>
          <w:kern w:val="0"/>
          <w:sz w:val="32"/>
          <w:szCs w:val="32"/>
        </w:rPr>
        <w:t>廊坊市广阳区工业经济运行局</w:t>
      </w:r>
      <w:r>
        <w:rPr>
          <w:rFonts w:hint="eastAsia" w:ascii="仿宋_GB2312" w:eastAsia="仿宋_GB2312" w:cs="宋体"/>
          <w:color w:val="000000"/>
          <w:kern w:val="0"/>
          <w:sz w:val="32"/>
          <w:szCs w:val="32"/>
        </w:rPr>
        <w:t>部门预算中支出预算的总体情况。2018年支出预算684.54万元，其中基本支出213.79万元，包括人员经费196.62万元和日常公用经费17.17万元；项目支出470.75万元，主要为电子政务网络平台和信息化建设465.75万元，人才引进活动经费5万元。</w:t>
      </w:r>
    </w:p>
    <w:p>
      <w:pPr>
        <w:widowControl/>
        <w:spacing w:line="570" w:lineRule="exact"/>
        <w:ind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3、比上年增减情况</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2018年预算收支安排684.54万元，较2017年预算增加510.98万元，其中：基本支出增加40.23万元，主要为增加在职、离退休人员工资支出；项目支出增加470.75万元，主要为推进电子政务网络平台和信息化建设资金及工信政务管理等方面支出。</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2018年预算安排我部门机关运行经费0.47万元，其中办公经费0.47万元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其他业务费0万元。主要用于机关办公区的日常维修、办公用房水电费、办公用房取暖费、办公用房物业管理费等日常运行支出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2018年，我部门“三公”经费预算安排2.3万元，其中因公出国（境）费0万元；公务用车购置及运维费2.3万元（其中：公务用车购置费为0万元，公务用车运行费为2.3万元)；公务接待费0万元。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年增公务用车运行费2.3万元，主要原因是2017年无此项预算。</w:t>
      </w:r>
    </w:p>
    <w:p>
      <w:pPr>
        <w:spacing w:line="570" w:lineRule="exact"/>
        <w:jc w:val="left"/>
        <w:rPr>
          <w:rFonts w:ascii="黑体" w:eastAsia="黑体" w:cs="宋体"/>
          <w:b/>
          <w:bCs/>
          <w:color w:val="000000"/>
          <w:sz w:val="32"/>
          <w:szCs w:val="32"/>
        </w:rPr>
      </w:pPr>
      <w:r>
        <w:rPr>
          <w:rFonts w:hint="eastAsia" w:ascii="黑体" w:eastAsia="黑体" w:cs="宋体"/>
          <w:b/>
          <w:bCs/>
          <w:color w:val="000000"/>
          <w:sz w:val="32"/>
          <w:szCs w:val="32"/>
        </w:rPr>
        <w:t>五、绩效预算信息</w:t>
      </w:r>
    </w:p>
    <w:p>
      <w:pPr>
        <w:spacing w:line="570" w:lineRule="exact"/>
        <w:jc w:val="left"/>
        <w:rPr>
          <w:rFonts w:ascii="仿宋_GB2312" w:eastAsia="仿宋_GB2312"/>
          <w:b/>
          <w:sz w:val="32"/>
          <w:szCs w:val="32"/>
        </w:rPr>
      </w:pPr>
      <w:r>
        <w:rPr>
          <w:rFonts w:hint="eastAsia" w:ascii="仿宋_GB2312" w:eastAsia="仿宋_GB2312"/>
          <w:b/>
          <w:sz w:val="32"/>
          <w:szCs w:val="32"/>
        </w:rPr>
        <w:t>总体目标：</w:t>
      </w:r>
    </w:p>
    <w:p>
      <w:pPr>
        <w:spacing w:line="570" w:lineRule="exact"/>
        <w:ind w:firstLine="560"/>
        <w:rPr>
          <w:rFonts w:ascii="仿宋_GB2312" w:eastAsia="仿宋_GB2312"/>
          <w:sz w:val="32"/>
          <w:szCs w:val="32"/>
        </w:rPr>
      </w:pPr>
      <w:r>
        <w:rPr>
          <w:rFonts w:hint="eastAsia" w:ascii="仿宋_GB2312" w:eastAsia="仿宋_GB2312"/>
          <w:sz w:val="32"/>
          <w:szCs w:val="32"/>
        </w:rPr>
        <w:t>廊坊市广阳区工业经济运行局</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年度发展规划目标 </w:t>
      </w:r>
    </w:p>
    <w:p>
      <w:pPr>
        <w:spacing w:line="570" w:lineRule="exact"/>
        <w:ind w:firstLine="560"/>
        <w:rPr>
          <w:rFonts w:ascii="仿宋_GB2312" w:eastAsia="仿宋_GB2312"/>
          <w:sz w:val="32"/>
          <w:szCs w:val="32"/>
        </w:rPr>
      </w:pPr>
      <w:r>
        <w:rPr>
          <w:rFonts w:hint="eastAsia" w:ascii="仿宋_GB2312" w:eastAsia="仿宋_GB2312"/>
          <w:sz w:val="32"/>
          <w:szCs w:val="32"/>
        </w:rPr>
        <w:t>总体目标：</w:t>
      </w:r>
    </w:p>
    <w:p>
      <w:pPr>
        <w:spacing w:line="570" w:lineRule="exact"/>
        <w:ind w:firstLine="560"/>
        <w:rPr>
          <w:rFonts w:ascii="仿宋_GB2312" w:eastAsia="仿宋_GB2312"/>
          <w:sz w:val="32"/>
          <w:szCs w:val="32"/>
        </w:rPr>
      </w:pPr>
      <w:r>
        <w:rPr>
          <w:rFonts w:hint="eastAsia" w:ascii="仿宋_GB2312" w:eastAsia="仿宋_GB2312"/>
          <w:sz w:val="32"/>
          <w:szCs w:val="32"/>
        </w:rPr>
        <w:t>——工业经济稳步发展。以推进工业稳中求进为总基调，积极应对经济下行压力，着力加强分析研判，强化指标督导调度，狠抓规上企业培育，力促工业经济平稳运行。</w:t>
      </w:r>
    </w:p>
    <w:p>
      <w:pPr>
        <w:spacing w:line="570" w:lineRule="exact"/>
        <w:ind w:firstLine="560"/>
        <w:rPr>
          <w:rFonts w:ascii="仿宋_GB2312" w:eastAsia="仿宋_GB2312"/>
          <w:sz w:val="32"/>
          <w:szCs w:val="32"/>
        </w:rPr>
      </w:pPr>
      <w:r>
        <w:rPr>
          <w:rFonts w:hint="eastAsia" w:ascii="仿宋_GB2312" w:eastAsia="仿宋_GB2312"/>
          <w:sz w:val="32"/>
          <w:szCs w:val="32"/>
        </w:rPr>
        <w:t>——大智移云加速引领。以工业智能化发展为方向，推动制造业和互联网深度融合发展。加快物联网、智能机器人、云计算等先进技术在生产过程中的应用，拓展企业云等功能平台在企业全过程铺开，提升企业智能化、数字化、网络化水平。</w:t>
      </w:r>
    </w:p>
    <w:p>
      <w:pPr>
        <w:spacing w:line="570" w:lineRule="exact"/>
        <w:ind w:firstLine="560"/>
        <w:rPr>
          <w:rFonts w:ascii="仿宋_GB2312" w:eastAsia="仿宋_GB2312"/>
          <w:sz w:val="32"/>
          <w:szCs w:val="32"/>
        </w:rPr>
      </w:pPr>
      <w:r>
        <w:rPr>
          <w:rFonts w:hint="eastAsia" w:ascii="仿宋_GB2312" w:eastAsia="仿宋_GB2312"/>
          <w:sz w:val="32"/>
          <w:szCs w:val="32"/>
        </w:rPr>
        <w:t>——创新能力有效激发。以提升工业发展质量效益为目标，深入实施创新驱动发展战略。鼓励支持规上企业建立研发机构，推动建设工业设计产业体系，推进军民融合技术双向转移转化，不断推进企业自主研发能力提升和品牌建设。</w:t>
      </w:r>
    </w:p>
    <w:p>
      <w:pPr>
        <w:spacing w:line="570" w:lineRule="exact"/>
        <w:ind w:firstLine="560"/>
        <w:rPr>
          <w:rFonts w:ascii="仿宋_GB2312" w:eastAsia="仿宋_GB2312"/>
          <w:sz w:val="32"/>
          <w:szCs w:val="32"/>
        </w:rPr>
      </w:pPr>
      <w:r>
        <w:rPr>
          <w:rFonts w:hint="eastAsia" w:ascii="仿宋_GB2312" w:eastAsia="仿宋_GB2312"/>
          <w:sz w:val="32"/>
          <w:szCs w:val="32"/>
        </w:rPr>
        <w:t>——为企服务深入推进。以优化企业发展环境为保障，着眼解决资金、市场、技术等制约企业长远发展的实际困难，实施精准帮扶，优环境、搭平台、促创新、壮实体。</w:t>
      </w:r>
    </w:p>
    <w:p>
      <w:pPr>
        <w:spacing w:line="570" w:lineRule="exact"/>
        <w:ind w:firstLine="560"/>
        <w:rPr>
          <w:rFonts w:ascii="仿宋_GB2312" w:eastAsia="仿宋_GB2312"/>
          <w:sz w:val="32"/>
          <w:szCs w:val="32"/>
        </w:rPr>
      </w:pPr>
      <w:r>
        <w:rPr>
          <w:rFonts w:hint="eastAsia" w:ascii="仿宋_GB2312" w:eastAsia="仿宋_GB2312"/>
          <w:sz w:val="32"/>
          <w:szCs w:val="32"/>
        </w:rPr>
        <w:t>——绿色发展持续深化。以散乱污企业长效管控为切入点，落实好《廊坊市“散乱污”企业整治长效管控十项措施》，按要求推进《廊坊市2017-2018秋冬季大气污染综合治理攻坚行动方案》《2017-2018采暖季错峰生产攻坚行动实施方案》相关任务，加快推进环境友好型工业体系建设。</w:t>
      </w:r>
    </w:p>
    <w:p>
      <w:pPr>
        <w:spacing w:line="570" w:lineRule="exact"/>
        <w:jc w:val="left"/>
        <w:rPr>
          <w:rFonts w:ascii="仿宋_GB2312" w:eastAsia="仿宋_GB2312"/>
          <w:b/>
          <w:sz w:val="32"/>
          <w:szCs w:val="32"/>
        </w:rPr>
      </w:pPr>
      <w:r>
        <w:rPr>
          <w:rFonts w:hint="eastAsia" w:ascii="仿宋_GB2312" w:eastAsia="仿宋_GB2312"/>
          <w:b/>
          <w:sz w:val="32"/>
          <w:szCs w:val="32"/>
        </w:rPr>
        <w:t xml:space="preserve">    职责分类绩效目标：</w:t>
      </w:r>
    </w:p>
    <w:p>
      <w:pPr>
        <w:spacing w:line="570" w:lineRule="exact"/>
        <w:ind w:firstLine="560"/>
        <w:rPr>
          <w:rFonts w:ascii="仿宋_GB2312" w:eastAsia="仿宋_GB2312"/>
          <w:sz w:val="32"/>
          <w:szCs w:val="32"/>
        </w:rPr>
      </w:pPr>
      <w:r>
        <w:rPr>
          <w:rFonts w:hint="eastAsia" w:ascii="仿宋_GB2312" w:eastAsia="仿宋_GB2312"/>
          <w:sz w:val="32"/>
          <w:szCs w:val="32"/>
        </w:rPr>
        <w:t>廊坊市广阳区工业经济运行局</w:t>
      </w:r>
    </w:p>
    <w:p>
      <w:pPr>
        <w:spacing w:line="570" w:lineRule="exact"/>
        <w:ind w:firstLine="560"/>
        <w:rPr>
          <w:rFonts w:ascii="仿宋_GB2312" w:eastAsia="仿宋_GB2312"/>
          <w:sz w:val="32"/>
          <w:szCs w:val="32"/>
        </w:rPr>
      </w:pPr>
      <w:r>
        <w:rPr>
          <w:rFonts w:hint="eastAsia" w:ascii="仿宋_GB2312" w:eastAsia="仿宋_GB2312"/>
          <w:sz w:val="32"/>
          <w:szCs w:val="32"/>
        </w:rPr>
        <w:t>职责分类绩效目标：</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   促进工业转型升级绩效目标：加大我区工业转型升级步伐，实施“中国制造2040”，加快制造强市建设，提升工业发展的质量和效益。提升行业管理水平，促进行业健康发展。实施“互联网+”计划，提升全区信息化建设和发展水平。</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   推进全区信息化建设与应用绩效目标：提升全市电子政务信息化建设与应用水平，保障网络与信息安全。</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   促进中小和民营经济发展绩效目标：推动中小微企业和民营经济持续、健康发展。</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   推进军民融合发展绩效目标：提升军民融合发展水平，提高行业监管和服务水平。</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   工信政务管理绩效目标：提升工业和信息化综合事务管理水平。</w:t>
      </w:r>
    </w:p>
    <w:p>
      <w:pPr>
        <w:spacing w:line="570" w:lineRule="exact"/>
        <w:ind w:firstLine="560"/>
        <w:rPr>
          <w:rFonts w:ascii="仿宋_GB2312" w:eastAsia="仿宋_GB2312"/>
          <w:sz w:val="32"/>
          <w:szCs w:val="32"/>
        </w:rPr>
      </w:pPr>
      <w:r>
        <w:rPr>
          <w:rFonts w:hint="eastAsia" w:ascii="仿宋_GB2312" w:eastAsia="仿宋_GB2312"/>
          <w:sz w:val="32"/>
          <w:szCs w:val="32"/>
        </w:rPr>
        <w:t xml:space="preserve">    </w:t>
      </w:r>
    </w:p>
    <w:p>
      <w:pPr>
        <w:spacing w:line="570" w:lineRule="exact"/>
        <w:jc w:val="left"/>
        <w:rPr>
          <w:rFonts w:ascii="黑体" w:eastAsia="黑体"/>
          <w:b/>
          <w:sz w:val="32"/>
          <w:szCs w:val="32"/>
        </w:rPr>
      </w:pPr>
      <w:r>
        <w:rPr>
          <w:rFonts w:hint="eastAsia" w:ascii="方正黑体_GBK" w:eastAsia="方正黑体_GBK"/>
          <w:sz w:val="28"/>
        </w:rPr>
        <w:t xml:space="preserve">  </w:t>
      </w:r>
      <w:r>
        <w:rPr>
          <w:rFonts w:hint="eastAsia" w:ascii="黑体" w:eastAsia="黑体"/>
          <w:b/>
          <w:sz w:val="32"/>
          <w:szCs w:val="32"/>
        </w:rPr>
        <w:t>实现年度发展规划目标的保障措施</w:t>
      </w:r>
    </w:p>
    <w:p>
      <w:pPr>
        <w:spacing w:line="570" w:lineRule="exact"/>
        <w:ind w:firstLine="560"/>
        <w:rPr>
          <w:rFonts w:ascii="仿宋_GB2312" w:eastAsia="仿宋_GB2312"/>
          <w:sz w:val="32"/>
          <w:szCs w:val="32"/>
        </w:rPr>
      </w:pPr>
      <w:r>
        <w:rPr>
          <w:rFonts w:hint="eastAsia" w:ascii="仿宋_GB2312" w:eastAsia="仿宋_GB2312"/>
          <w:sz w:val="32"/>
          <w:szCs w:val="32"/>
        </w:rPr>
        <w:t>廊坊市广阳区工业经济运行局</w:t>
      </w:r>
    </w:p>
    <w:p>
      <w:pPr>
        <w:spacing w:line="570" w:lineRule="exact"/>
        <w:ind w:firstLine="560"/>
        <w:rPr>
          <w:rFonts w:ascii="仿宋_GB2312" w:eastAsia="仿宋_GB2312"/>
          <w:sz w:val="32"/>
          <w:szCs w:val="32"/>
        </w:rPr>
      </w:pPr>
      <w:r>
        <w:rPr>
          <w:rFonts w:hint="eastAsia" w:ascii="仿宋_GB2312" w:eastAsia="仿宋_GB2312"/>
          <w:sz w:val="32"/>
          <w:szCs w:val="32"/>
        </w:rPr>
        <w:t>实现年度发展规划目标的保障措施</w:t>
      </w:r>
    </w:p>
    <w:p>
      <w:pPr>
        <w:spacing w:line="570" w:lineRule="exact"/>
        <w:ind w:firstLine="560"/>
        <w:rPr>
          <w:rFonts w:ascii="仿宋_GB2312" w:eastAsia="仿宋_GB2312"/>
          <w:sz w:val="32"/>
          <w:szCs w:val="32"/>
        </w:rPr>
      </w:pPr>
      <w:r>
        <w:rPr>
          <w:rFonts w:hint="eastAsia" w:ascii="仿宋_GB2312" w:eastAsia="仿宋_GB2312"/>
          <w:sz w:val="32"/>
          <w:szCs w:val="32"/>
        </w:rPr>
        <w:t>（一）着力加强运行调度。实施经济目标管理责任制，不定期会同统计、督查等部门，对工业经济指标进行专项督导，向各乡镇、街办处传导任务压力，要求落实主体责任，按要求完成年度目标。坚持会商、预测、预警机制，加强分析研判，找准问题困难，做好精准帮扶，确保工业经济平稳运行。对重点规下企业和有望新建入统企业实施台账管理，加强跟踪服务，做好入统工作。</w:t>
      </w:r>
    </w:p>
    <w:p>
      <w:pPr>
        <w:spacing w:line="570" w:lineRule="exact"/>
        <w:ind w:firstLine="560"/>
        <w:rPr>
          <w:rFonts w:ascii="仿宋_GB2312" w:eastAsia="仿宋_GB2312"/>
          <w:sz w:val="32"/>
          <w:szCs w:val="32"/>
        </w:rPr>
      </w:pPr>
      <w:r>
        <w:rPr>
          <w:rFonts w:hint="eastAsia" w:ascii="仿宋_GB2312" w:eastAsia="仿宋_GB2312"/>
          <w:sz w:val="32"/>
          <w:szCs w:val="32"/>
        </w:rPr>
        <w:t>（二）突出“大智移云”首位引领。加快“大智移云”先进技术、便民惠企服务在社会各领域、企业各环节的全方位应用。</w:t>
      </w:r>
    </w:p>
    <w:p>
      <w:pPr>
        <w:spacing w:line="570" w:lineRule="exact"/>
        <w:ind w:firstLine="560"/>
        <w:rPr>
          <w:rFonts w:ascii="仿宋_GB2312" w:eastAsia="仿宋_GB2312"/>
          <w:sz w:val="32"/>
          <w:szCs w:val="32"/>
        </w:rPr>
      </w:pPr>
      <w:r>
        <w:rPr>
          <w:rFonts w:hint="eastAsia" w:ascii="仿宋_GB2312" w:eastAsia="仿宋_GB2312"/>
          <w:sz w:val="32"/>
          <w:szCs w:val="32"/>
        </w:rPr>
        <w:t>（三）深入推进企业技术创新。鼓励企业加快与互联网深度融合，通过委托贷款、贷款贴息等方式，引导企业在生产工序植入自动化软件、引进机器人设备，打造智能工厂和数字化车间，逐步提升智能化、绿色化发展水平。强力推进规上工业企业研发机构建设，鼓励企业积极开展新产品、新技术、新工艺研发，积极争创国家、省级技术创新示范企业。实施工业设计战略，培育发展专业化、开放式工业设计企业，打造工业设计示范园区。建立工业设计奖评审激励机制，激发全社会工业设计创新积极性和主动性。</w:t>
      </w:r>
    </w:p>
    <w:p>
      <w:pPr>
        <w:spacing w:line="570" w:lineRule="exact"/>
        <w:ind w:firstLine="560"/>
        <w:rPr>
          <w:rFonts w:ascii="仿宋_GB2312" w:eastAsia="仿宋_GB2312"/>
          <w:sz w:val="32"/>
          <w:szCs w:val="32"/>
        </w:rPr>
      </w:pPr>
      <w:r>
        <w:rPr>
          <w:rFonts w:hint="eastAsia" w:ascii="仿宋_GB2312" w:eastAsia="仿宋_GB2312"/>
          <w:sz w:val="32"/>
          <w:szCs w:val="32"/>
        </w:rPr>
        <w:t>（四）强力推进军民深度融合发展。落实好省、市关于军民融合发展工作部署，加快制定全区军民融合发展规划，统筹推进军民融合产业发展。统筹军民两方资源，实施军转民、民参军技术和产品目录推广。建立军民融合技术交易市场和技术转移平台，着力推进军民融合技术双向转移转化和联合协作，在军民融合方面率先实现转型突破。</w:t>
      </w:r>
    </w:p>
    <w:p>
      <w:pPr>
        <w:spacing w:line="570" w:lineRule="exact"/>
        <w:ind w:firstLine="560"/>
        <w:rPr>
          <w:rFonts w:ascii="仿宋_GB2312" w:eastAsia="仿宋_GB2312"/>
          <w:sz w:val="32"/>
          <w:szCs w:val="32"/>
        </w:rPr>
      </w:pPr>
      <w:r>
        <w:rPr>
          <w:rFonts w:hint="eastAsia" w:ascii="仿宋_GB2312" w:eastAsia="仿宋_GB2312"/>
          <w:sz w:val="32"/>
          <w:szCs w:val="32"/>
        </w:rPr>
        <w:t>（五）加大企业服务力度。落实惠企扶持政策，帮助企业用足用好各项扶持政策。加快人才培育引进，提升推动产业转型升级和发展壮大的潜力。组织企业参加各类贸易洽谈活动，帮助企业开拓国内外市场。搭建政银企保对接平台，帮助企业拓宽融资渠道。加大企业帮扶力度，通过政企面对面等方式，集中帮助企业解决一批用地、融资、人才等生产要素方面的实际困难和问题。组织企业转型培训，以企业共性、重点服务需求为目标，为企业提供研发、制造、管理等方面提升服务，促进企业上档升级。</w:t>
      </w:r>
    </w:p>
    <w:p>
      <w:pPr>
        <w:spacing w:line="570" w:lineRule="exact"/>
        <w:ind w:firstLine="560"/>
        <w:rPr>
          <w:rFonts w:ascii="仿宋_GB2312" w:eastAsia="仿宋_GB2312"/>
          <w:sz w:val="32"/>
          <w:szCs w:val="32"/>
        </w:rPr>
      </w:pPr>
      <w:r>
        <w:rPr>
          <w:rFonts w:hint="eastAsia" w:ascii="仿宋_GB2312" w:eastAsia="仿宋_GB2312"/>
          <w:sz w:val="32"/>
          <w:szCs w:val="32"/>
        </w:rPr>
        <w:t>（六）全力搭建绿色工业发展体系。长效管控“散乱污”企业，重点推进《廊坊市主城区工业企业治理提升行动计划》，坚持落实好《廊坊市“散乱污”企业整治长效管控十项措施》，坚决防止“散乱污”企业回流和反弹。按要求严格推进《廊坊市2017-2018秋冬季大气污染综合治理攻坚行动方案》《2017-2018采暖季错峰生产攻坚行动实施方案》相关任务，加快推进环境友好型工业体系建设。</w:t>
      </w:r>
    </w:p>
    <w:p>
      <w:pPr>
        <w:widowControl/>
        <w:spacing w:line="570" w:lineRule="exact"/>
        <w:jc w:val="left"/>
        <w:rPr>
          <w:rFonts w:ascii="宋体"/>
          <w:sz w:val="32"/>
          <w:szCs w:val="32"/>
        </w:rPr>
      </w:pPr>
    </w:p>
    <w:p>
      <w:pPr>
        <w:spacing w:line="570" w:lineRule="exact"/>
        <w:jc w:val="center"/>
        <w:outlineLvl w:val="0"/>
        <w:rPr>
          <w:rFonts w:ascii="宋体"/>
          <w:sz w:val="32"/>
        </w:rPr>
      </w:pPr>
      <w:bookmarkStart w:id="0" w:name="_Toc505096607"/>
      <w:r>
        <w:rPr>
          <w:rFonts w:hint="eastAsia" w:ascii="宋体"/>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570" w:lineRule="exact"/>
              <w:jc w:val="left"/>
              <w:rPr>
                <w:rFonts w:ascii="宋体"/>
                <w:sz w:val="24"/>
              </w:rPr>
            </w:pPr>
            <w:r>
              <w:rPr>
                <w:rFonts w:hint="eastAsia" w:ascii="宋体"/>
                <w:sz w:val="24"/>
              </w:rPr>
              <w:t>740廊坊市广阳区工业经济运行局</w:t>
            </w:r>
          </w:p>
        </w:tc>
        <w:tc>
          <w:tcPr>
            <w:tcW w:w="2948"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570" w:lineRule="exact"/>
              <w:jc w:val="right"/>
              <w:rPr>
                <w:rFonts w:ascii="宋体"/>
                <w:sz w:val="24"/>
              </w:rPr>
            </w:pPr>
            <w:r>
              <w:rPr>
                <w:rFonts w:hint="eastAsia" w:ascii="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ascii="宋体"/>
                <w:b/>
              </w:rPr>
            </w:pPr>
            <w:r>
              <w:rPr>
                <w:rFonts w:hint="eastAsia" w:ascii="宋体"/>
                <w:b/>
              </w:rPr>
              <w:t>职责活动</w:t>
            </w:r>
          </w:p>
        </w:tc>
        <w:tc>
          <w:tcPr>
            <w:tcW w:w="1276" w:type="dxa"/>
            <w:vMerge w:val="restart"/>
            <w:shd w:val="clear" w:color="auto" w:fill="auto"/>
            <w:vAlign w:val="center"/>
          </w:tcPr>
          <w:p>
            <w:pPr>
              <w:spacing w:line="570" w:lineRule="exact"/>
              <w:jc w:val="center"/>
              <w:rPr>
                <w:rFonts w:ascii="宋体"/>
                <w:b/>
              </w:rPr>
            </w:pPr>
            <w:r>
              <w:rPr>
                <w:rFonts w:hint="eastAsia" w:ascii="宋体"/>
                <w:b/>
              </w:rPr>
              <w:t>年度预算数</w:t>
            </w:r>
          </w:p>
        </w:tc>
        <w:tc>
          <w:tcPr>
            <w:tcW w:w="2976" w:type="dxa"/>
            <w:vMerge w:val="restart"/>
            <w:shd w:val="clear" w:color="auto" w:fill="auto"/>
            <w:vAlign w:val="center"/>
          </w:tcPr>
          <w:p>
            <w:pPr>
              <w:spacing w:line="570" w:lineRule="exact"/>
              <w:jc w:val="center"/>
              <w:rPr>
                <w:rFonts w:ascii="宋体"/>
                <w:b/>
              </w:rPr>
            </w:pPr>
            <w:r>
              <w:rPr>
                <w:rFonts w:hint="eastAsia" w:ascii="宋体"/>
                <w:b/>
              </w:rPr>
              <w:t>内容描述</w:t>
            </w:r>
          </w:p>
        </w:tc>
        <w:tc>
          <w:tcPr>
            <w:tcW w:w="2976" w:type="dxa"/>
            <w:vMerge w:val="restart"/>
            <w:shd w:val="clear" w:color="auto" w:fill="auto"/>
            <w:vAlign w:val="center"/>
          </w:tcPr>
          <w:p>
            <w:pPr>
              <w:spacing w:line="570" w:lineRule="exact"/>
              <w:jc w:val="center"/>
              <w:rPr>
                <w:rFonts w:ascii="宋体"/>
                <w:b/>
              </w:rPr>
            </w:pPr>
            <w:r>
              <w:rPr>
                <w:rFonts w:hint="eastAsia" w:ascii="宋体"/>
                <w:b/>
              </w:rPr>
              <w:t>绩效目标</w:t>
            </w:r>
          </w:p>
        </w:tc>
        <w:tc>
          <w:tcPr>
            <w:tcW w:w="1417" w:type="dxa"/>
            <w:vMerge w:val="restart"/>
            <w:shd w:val="clear" w:color="auto" w:fill="auto"/>
            <w:vAlign w:val="center"/>
          </w:tcPr>
          <w:p>
            <w:pPr>
              <w:spacing w:line="570" w:lineRule="exact"/>
              <w:jc w:val="center"/>
              <w:rPr>
                <w:rFonts w:ascii="宋体"/>
                <w:b/>
              </w:rPr>
            </w:pPr>
            <w:r>
              <w:rPr>
                <w:rFonts w:hint="eastAsia" w:ascii="宋体"/>
                <w:b/>
              </w:rPr>
              <w:t>绩效指标</w:t>
            </w:r>
          </w:p>
        </w:tc>
        <w:tc>
          <w:tcPr>
            <w:tcW w:w="2948" w:type="dxa"/>
            <w:gridSpan w:val="4"/>
            <w:shd w:val="clear" w:color="auto" w:fill="auto"/>
            <w:vAlign w:val="center"/>
          </w:tcPr>
          <w:p>
            <w:pPr>
              <w:spacing w:line="570" w:lineRule="exact"/>
              <w:jc w:val="center"/>
              <w:rPr>
                <w:rFonts w:ascii="宋体"/>
                <w:b/>
              </w:rPr>
            </w:pPr>
            <w:r>
              <w:rPr>
                <w:rFonts w:hint="eastAsia" w:ascii="宋体"/>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ascii="宋体"/>
                <w:b/>
              </w:rPr>
            </w:pPr>
            <w:r>
              <w:rPr>
                <w:rFonts w:hint="eastAsia" w:ascii="宋体"/>
                <w:b/>
              </w:rPr>
              <w:t>优</w:t>
            </w:r>
          </w:p>
        </w:tc>
        <w:tc>
          <w:tcPr>
            <w:tcW w:w="737" w:type="dxa"/>
            <w:shd w:val="clear" w:color="auto" w:fill="auto"/>
            <w:vAlign w:val="center"/>
          </w:tcPr>
          <w:p>
            <w:pPr>
              <w:spacing w:line="570" w:lineRule="exact"/>
              <w:jc w:val="center"/>
              <w:rPr>
                <w:rFonts w:ascii="宋体"/>
                <w:b/>
              </w:rPr>
            </w:pPr>
            <w:r>
              <w:rPr>
                <w:rFonts w:hint="eastAsia" w:ascii="宋体"/>
                <w:b/>
              </w:rPr>
              <w:t>良</w:t>
            </w:r>
          </w:p>
        </w:tc>
        <w:tc>
          <w:tcPr>
            <w:tcW w:w="737" w:type="dxa"/>
            <w:shd w:val="clear" w:color="auto" w:fill="auto"/>
            <w:vAlign w:val="center"/>
          </w:tcPr>
          <w:p>
            <w:pPr>
              <w:spacing w:line="570" w:lineRule="exact"/>
              <w:jc w:val="center"/>
              <w:rPr>
                <w:rFonts w:ascii="宋体"/>
                <w:b/>
              </w:rPr>
            </w:pPr>
            <w:r>
              <w:rPr>
                <w:rFonts w:hint="eastAsia" w:ascii="宋体"/>
                <w:b/>
              </w:rPr>
              <w:t>中</w:t>
            </w:r>
          </w:p>
        </w:tc>
        <w:tc>
          <w:tcPr>
            <w:tcW w:w="737" w:type="dxa"/>
            <w:shd w:val="clear" w:color="auto" w:fill="auto"/>
            <w:vAlign w:val="center"/>
          </w:tcPr>
          <w:p>
            <w:pPr>
              <w:spacing w:line="570" w:lineRule="exact"/>
              <w:jc w:val="center"/>
              <w:rPr>
                <w:rFonts w:ascii="宋体"/>
                <w:b/>
              </w:rPr>
            </w:pPr>
            <w:r>
              <w:rPr>
                <w:rFonts w:hint="eastAsia" w:ascii="宋体"/>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宋体"/>
                <w:b/>
              </w:rPr>
            </w:pPr>
            <w:r>
              <w:rPr>
                <w:rFonts w:hint="eastAsia" w:ascii="宋体"/>
                <w:b/>
              </w:rPr>
              <w:t>一、推进全省信息化建设</w:t>
            </w:r>
          </w:p>
        </w:tc>
        <w:tc>
          <w:tcPr>
            <w:tcW w:w="1276" w:type="dxa"/>
            <w:shd w:val="clear" w:color="auto" w:fill="auto"/>
            <w:vAlign w:val="center"/>
          </w:tcPr>
          <w:p>
            <w:pPr>
              <w:spacing w:line="570" w:lineRule="exact"/>
              <w:jc w:val="left"/>
              <w:rPr>
                <w:rFonts w:ascii="宋体"/>
              </w:rPr>
            </w:pPr>
            <w:r>
              <w:rPr>
                <w:rFonts w:hint="eastAsia" w:ascii="宋体"/>
              </w:rPr>
              <w:t>465.75</w:t>
            </w:r>
          </w:p>
        </w:tc>
        <w:tc>
          <w:tcPr>
            <w:tcW w:w="2976" w:type="dxa"/>
            <w:shd w:val="clear" w:color="auto" w:fill="auto"/>
            <w:vAlign w:val="center"/>
          </w:tcPr>
          <w:p>
            <w:pPr>
              <w:spacing w:line="570" w:lineRule="exact"/>
              <w:jc w:val="left"/>
              <w:rPr>
                <w:rFonts w:ascii="宋体"/>
              </w:rPr>
            </w:pPr>
            <w:r>
              <w:rPr>
                <w:rFonts w:hint="eastAsia" w:ascii="宋体"/>
              </w:rPr>
              <w:t>推进信息化和工业化融合，指导协调电子政务发展，促进“三网”（电信、广播电视和计算机网络）融合、信息消费和物联网发展，维护网络与信息安全。推动全县软件业、信息服务业发展。</w:t>
            </w:r>
          </w:p>
        </w:tc>
        <w:tc>
          <w:tcPr>
            <w:tcW w:w="2976" w:type="dxa"/>
            <w:shd w:val="clear" w:color="auto" w:fill="auto"/>
            <w:vAlign w:val="center"/>
          </w:tcPr>
          <w:p>
            <w:pPr>
              <w:spacing w:line="570" w:lineRule="exact"/>
              <w:jc w:val="left"/>
              <w:rPr>
                <w:rFonts w:ascii="宋体"/>
              </w:rPr>
            </w:pPr>
            <w:r>
              <w:rPr>
                <w:rFonts w:hint="eastAsia" w:ascii="宋体"/>
              </w:rPr>
              <w:t>提升全县信息化建设和发展水平</w:t>
            </w: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b/>
              </w:rPr>
            </w:pPr>
            <w:r>
              <w:rPr>
                <w:rFonts w:hint="eastAsia" w:ascii="宋体"/>
                <w:b/>
              </w:rPr>
              <w:t>　　1、推进电子政务集约化建设与应用</w:t>
            </w:r>
          </w:p>
        </w:tc>
        <w:tc>
          <w:tcPr>
            <w:tcW w:w="1276" w:type="dxa"/>
            <w:vMerge w:val="restart"/>
            <w:shd w:val="clear" w:color="auto" w:fill="auto"/>
            <w:vAlign w:val="center"/>
          </w:tcPr>
          <w:p>
            <w:pPr>
              <w:spacing w:line="570" w:lineRule="exact"/>
              <w:jc w:val="left"/>
              <w:rPr>
                <w:rFonts w:ascii="宋体"/>
              </w:rPr>
            </w:pPr>
            <w:r>
              <w:rPr>
                <w:rFonts w:hint="eastAsia" w:ascii="宋体"/>
              </w:rPr>
              <w:t>465.75</w:t>
            </w:r>
          </w:p>
        </w:tc>
        <w:tc>
          <w:tcPr>
            <w:tcW w:w="2976" w:type="dxa"/>
            <w:vMerge w:val="restart"/>
            <w:shd w:val="clear" w:color="auto" w:fill="auto"/>
            <w:vAlign w:val="center"/>
          </w:tcPr>
          <w:p>
            <w:pPr>
              <w:spacing w:line="570" w:lineRule="exact"/>
              <w:jc w:val="left"/>
              <w:rPr>
                <w:rFonts w:ascii="宋体"/>
              </w:rPr>
            </w:pPr>
            <w:r>
              <w:rPr>
                <w:rFonts w:hint="eastAsia" w:ascii="宋体"/>
              </w:rPr>
              <w:t>拟订信息化及电子政务相关政策规划，完善建设市级政务云；推进部门应用系统云上部署； 组织协调规划党政机关网建设；开展对信息化项目建设方案初审；</w:t>
            </w:r>
          </w:p>
        </w:tc>
        <w:tc>
          <w:tcPr>
            <w:tcW w:w="2976" w:type="dxa"/>
            <w:vMerge w:val="restart"/>
            <w:shd w:val="clear" w:color="auto" w:fill="auto"/>
            <w:vAlign w:val="center"/>
          </w:tcPr>
          <w:p>
            <w:pPr>
              <w:spacing w:line="570" w:lineRule="exact"/>
              <w:jc w:val="left"/>
              <w:rPr>
                <w:rFonts w:ascii="宋体"/>
              </w:rPr>
            </w:pPr>
            <w:r>
              <w:rPr>
                <w:rFonts w:hint="eastAsia" w:ascii="宋体"/>
              </w:rPr>
              <w:t>提高电子政务信息化水平</w:t>
            </w:r>
          </w:p>
        </w:tc>
        <w:tc>
          <w:tcPr>
            <w:tcW w:w="1417" w:type="dxa"/>
            <w:shd w:val="clear" w:color="auto" w:fill="auto"/>
            <w:vAlign w:val="center"/>
          </w:tcPr>
          <w:p>
            <w:pPr>
              <w:spacing w:line="570" w:lineRule="exact"/>
              <w:jc w:val="left"/>
              <w:rPr>
                <w:rFonts w:ascii="宋体"/>
              </w:rPr>
            </w:pPr>
            <w:r>
              <w:rPr>
                <w:rFonts w:hint="eastAsia" w:ascii="宋体"/>
              </w:rPr>
              <w:t>信息化项目审核率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云服务质量考核每年一次</w:t>
            </w:r>
          </w:p>
        </w:tc>
        <w:tc>
          <w:tcPr>
            <w:tcW w:w="737" w:type="dxa"/>
            <w:shd w:val="clear" w:color="auto" w:fill="auto"/>
            <w:vAlign w:val="center"/>
          </w:tcPr>
          <w:p>
            <w:pPr>
              <w:spacing w:line="570" w:lineRule="exact"/>
              <w:jc w:val="center"/>
              <w:rPr>
                <w:rFonts w:ascii="宋体"/>
              </w:rPr>
            </w:pPr>
            <w:r>
              <w:rPr>
                <w:rFonts w:hint="eastAsia" w:ascii="宋体"/>
              </w:rPr>
              <w:t>开展</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政务云日常服务管理满意率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≥70%</w:t>
            </w:r>
          </w:p>
        </w:tc>
        <w:tc>
          <w:tcPr>
            <w:tcW w:w="737" w:type="dxa"/>
            <w:shd w:val="clear" w:color="auto" w:fill="auto"/>
            <w:vAlign w:val="center"/>
          </w:tcPr>
          <w:p>
            <w:pPr>
              <w:spacing w:line="570" w:lineRule="exact"/>
              <w:jc w:val="center"/>
              <w:rPr>
                <w:rFonts w:ascii="宋体"/>
              </w:rPr>
            </w:pPr>
            <w:r>
              <w:rPr>
                <w:rFonts w:hint="eastAsia" w:ascii="宋体"/>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2、促进信息资源共享</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开展政务信息资源梳理、编目；依托政务云建设市政务信息资源共享平台，推进信息资源交换共享；协调推进三网融合、京津冀信息化协同发展。</w:t>
            </w:r>
          </w:p>
        </w:tc>
        <w:tc>
          <w:tcPr>
            <w:tcW w:w="2976" w:type="dxa"/>
            <w:vMerge w:val="restart"/>
            <w:shd w:val="clear" w:color="auto" w:fill="auto"/>
            <w:vAlign w:val="center"/>
          </w:tcPr>
          <w:p>
            <w:pPr>
              <w:spacing w:line="570" w:lineRule="exact"/>
              <w:jc w:val="left"/>
              <w:rPr>
                <w:rFonts w:ascii="宋体"/>
              </w:rPr>
            </w:pPr>
            <w:r>
              <w:rPr>
                <w:rFonts w:hint="eastAsia" w:ascii="宋体"/>
              </w:rPr>
              <w:t>提升信息资源利用水平，促进三网融合，加快与京津信息化协同发展</w:t>
            </w:r>
          </w:p>
        </w:tc>
        <w:tc>
          <w:tcPr>
            <w:tcW w:w="1417" w:type="dxa"/>
            <w:shd w:val="clear" w:color="auto" w:fill="auto"/>
            <w:vAlign w:val="center"/>
          </w:tcPr>
          <w:p>
            <w:pPr>
              <w:spacing w:line="570" w:lineRule="exact"/>
              <w:jc w:val="left"/>
              <w:rPr>
                <w:rFonts w:ascii="宋体"/>
              </w:rPr>
            </w:pPr>
            <w:r>
              <w:rPr>
                <w:rFonts w:hint="eastAsia" w:ascii="宋体"/>
              </w:rPr>
              <w:t>市政务信息资源共享平台完成率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三网融合报送情况</w:t>
            </w:r>
          </w:p>
        </w:tc>
        <w:tc>
          <w:tcPr>
            <w:tcW w:w="737" w:type="dxa"/>
            <w:shd w:val="clear" w:color="auto" w:fill="auto"/>
            <w:vAlign w:val="center"/>
          </w:tcPr>
          <w:p>
            <w:pPr>
              <w:spacing w:line="570" w:lineRule="exact"/>
              <w:jc w:val="center"/>
              <w:rPr>
                <w:rFonts w:ascii="宋体"/>
              </w:rPr>
            </w:pPr>
            <w:r>
              <w:rPr>
                <w:rFonts w:hint="eastAsia" w:ascii="宋体"/>
              </w:rPr>
              <w:t>及时</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市政务信息资源共享平台完成率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市政务信息资源共享平台完成率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三网融合报送情况</w:t>
            </w:r>
          </w:p>
        </w:tc>
        <w:tc>
          <w:tcPr>
            <w:tcW w:w="737" w:type="dxa"/>
            <w:shd w:val="clear" w:color="auto" w:fill="auto"/>
            <w:vAlign w:val="center"/>
          </w:tcPr>
          <w:p>
            <w:pPr>
              <w:spacing w:line="570" w:lineRule="exact"/>
              <w:jc w:val="center"/>
              <w:rPr>
                <w:rFonts w:ascii="宋体"/>
              </w:rPr>
            </w:pPr>
            <w:r>
              <w:rPr>
                <w:rFonts w:hint="eastAsia" w:ascii="宋体"/>
              </w:rPr>
              <w:t>及时</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3、协调全市信息安全保障体系建设</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shd w:val="clear" w:color="auto" w:fill="auto"/>
            <w:vAlign w:val="center"/>
          </w:tcPr>
          <w:p>
            <w:pPr>
              <w:spacing w:line="570" w:lineRule="exact"/>
              <w:jc w:val="left"/>
              <w:rPr>
                <w:rFonts w:ascii="宋体"/>
              </w:rPr>
            </w:pPr>
            <w:r>
              <w:rPr>
                <w:rFonts w:hint="eastAsia" w:ascii="宋体"/>
              </w:rPr>
              <w:t>保障全市网络信息安全，确保不发生重特大网络信息安全事件。</w:t>
            </w:r>
          </w:p>
        </w:tc>
        <w:tc>
          <w:tcPr>
            <w:tcW w:w="1417" w:type="dxa"/>
            <w:shd w:val="clear" w:color="auto" w:fill="auto"/>
            <w:vAlign w:val="center"/>
          </w:tcPr>
          <w:p>
            <w:pPr>
              <w:spacing w:line="570" w:lineRule="exact"/>
              <w:jc w:val="left"/>
              <w:rPr>
                <w:rFonts w:ascii="宋体"/>
              </w:rPr>
            </w:pPr>
            <w:r>
              <w:rPr>
                <w:rFonts w:hint="eastAsia" w:ascii="宋体"/>
              </w:rPr>
              <w:t>信息系统测评数量（家）</w:t>
            </w:r>
          </w:p>
        </w:tc>
        <w:tc>
          <w:tcPr>
            <w:tcW w:w="737" w:type="dxa"/>
            <w:shd w:val="clear" w:color="auto" w:fill="auto"/>
            <w:vAlign w:val="center"/>
          </w:tcPr>
          <w:p>
            <w:pPr>
              <w:spacing w:line="570" w:lineRule="exact"/>
              <w:jc w:val="center"/>
              <w:rPr>
                <w:rFonts w:ascii="宋体"/>
              </w:rPr>
            </w:pPr>
            <w:r>
              <w:rPr>
                <w:rFonts w:hint="eastAsia" w:ascii="宋体"/>
              </w:rPr>
              <w:t>≥10</w:t>
            </w:r>
          </w:p>
        </w:tc>
        <w:tc>
          <w:tcPr>
            <w:tcW w:w="737" w:type="dxa"/>
            <w:shd w:val="clear" w:color="auto" w:fill="auto"/>
            <w:vAlign w:val="center"/>
          </w:tcPr>
          <w:p>
            <w:pPr>
              <w:spacing w:line="570" w:lineRule="exact"/>
              <w:jc w:val="center"/>
              <w:rPr>
                <w:rFonts w:ascii="宋体"/>
              </w:rPr>
            </w:pPr>
            <w:r>
              <w:rPr>
                <w:rFonts w:hint="eastAsia" w:ascii="宋体"/>
              </w:rPr>
              <w:t>≥8</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应急和重大事件有效处理率</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安全检查评估数量（家）</w:t>
            </w:r>
          </w:p>
        </w:tc>
        <w:tc>
          <w:tcPr>
            <w:tcW w:w="737" w:type="dxa"/>
            <w:shd w:val="clear" w:color="auto" w:fill="auto"/>
            <w:vAlign w:val="center"/>
          </w:tcPr>
          <w:p>
            <w:pPr>
              <w:spacing w:line="570" w:lineRule="exact"/>
              <w:jc w:val="center"/>
              <w:rPr>
                <w:rFonts w:ascii="宋体"/>
              </w:rPr>
            </w:pPr>
            <w:r>
              <w:rPr>
                <w:rFonts w:hint="eastAsia" w:ascii="宋体"/>
              </w:rPr>
              <w:t>≥7</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≥4</w:t>
            </w:r>
          </w:p>
        </w:tc>
        <w:tc>
          <w:tcPr>
            <w:tcW w:w="737" w:type="dxa"/>
            <w:shd w:val="clear" w:color="auto" w:fill="auto"/>
            <w:vAlign w:val="center"/>
          </w:tcPr>
          <w:p>
            <w:pPr>
              <w:spacing w:line="570" w:lineRule="exact"/>
              <w:jc w:val="center"/>
              <w:rPr>
                <w:rFonts w:ascii="宋体"/>
              </w:rPr>
            </w:pPr>
            <w:r>
              <w:rPr>
                <w:rFonts w:hint="eastAsia" w:ascii="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网站监测覆盖率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≥75%</w:t>
            </w:r>
          </w:p>
        </w:tc>
        <w:tc>
          <w:tcPr>
            <w:tcW w:w="737" w:type="dxa"/>
            <w:shd w:val="clear" w:color="auto" w:fill="auto"/>
            <w:vAlign w:val="center"/>
          </w:tcPr>
          <w:p>
            <w:pPr>
              <w:spacing w:line="570" w:lineRule="exact"/>
              <w:jc w:val="center"/>
              <w:rPr>
                <w:rFonts w:ascii="宋体"/>
              </w:rPr>
            </w:pPr>
            <w:r>
              <w:rPr>
                <w:rFonts w:hint="eastAsia" w:ascii="宋体"/>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二、促进中小企业和民营经济发展</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宋体"/>
              </w:rPr>
            </w:pPr>
            <w:r>
              <w:rPr>
                <w:rFonts w:hint="eastAsia" w:ascii="宋体"/>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vAlign w:val="center"/>
          </w:tcPr>
          <w:p>
            <w:pPr>
              <w:spacing w:line="570" w:lineRule="exact"/>
              <w:jc w:val="left"/>
              <w:rPr>
                <w:rFonts w:ascii="宋体"/>
              </w:rPr>
            </w:pPr>
            <w:r>
              <w:rPr>
                <w:rFonts w:hint="eastAsia" w:ascii="宋体"/>
              </w:rPr>
              <w:t>推动中小微企业和民营经济持续、健康发展</w:t>
            </w: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1、促进中小企业和民营经济发展</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shd w:val="clear" w:color="auto" w:fill="auto"/>
            <w:vAlign w:val="center"/>
          </w:tcPr>
          <w:p>
            <w:pPr>
              <w:spacing w:line="570" w:lineRule="exact"/>
              <w:jc w:val="left"/>
              <w:rPr>
                <w:rFonts w:ascii="宋体"/>
              </w:rPr>
            </w:pPr>
            <w:r>
              <w:rPr>
                <w:rFonts w:hint="eastAsia" w:ascii="宋体"/>
              </w:rPr>
              <w:t>提升公共服务体系建设水平</w:t>
            </w:r>
          </w:p>
        </w:tc>
        <w:tc>
          <w:tcPr>
            <w:tcW w:w="1417" w:type="dxa"/>
            <w:shd w:val="clear" w:color="auto" w:fill="auto"/>
            <w:vAlign w:val="center"/>
          </w:tcPr>
          <w:p>
            <w:pPr>
              <w:spacing w:line="570" w:lineRule="exact"/>
              <w:jc w:val="left"/>
              <w:rPr>
                <w:rFonts w:ascii="宋体"/>
              </w:rPr>
            </w:pPr>
            <w:r>
              <w:rPr>
                <w:rFonts w:hint="eastAsia" w:ascii="宋体"/>
              </w:rPr>
              <w:t>数据分析和发布及时性</w:t>
            </w:r>
          </w:p>
        </w:tc>
        <w:tc>
          <w:tcPr>
            <w:tcW w:w="737" w:type="dxa"/>
            <w:shd w:val="clear" w:color="auto" w:fill="auto"/>
            <w:vAlign w:val="center"/>
          </w:tcPr>
          <w:p>
            <w:pPr>
              <w:spacing w:line="570" w:lineRule="exact"/>
              <w:jc w:val="center"/>
              <w:rPr>
                <w:rFonts w:ascii="宋体"/>
              </w:rPr>
            </w:pPr>
            <w:r>
              <w:rPr>
                <w:rFonts w:hint="eastAsia" w:ascii="宋体"/>
              </w:rPr>
              <w:t>0</w:t>
            </w:r>
          </w:p>
        </w:tc>
        <w:tc>
          <w:tcPr>
            <w:tcW w:w="737" w:type="dxa"/>
            <w:shd w:val="clear" w:color="auto" w:fill="auto"/>
            <w:vAlign w:val="center"/>
          </w:tcPr>
          <w:p>
            <w:pPr>
              <w:spacing w:line="570" w:lineRule="exact"/>
              <w:jc w:val="center"/>
              <w:rPr>
                <w:rFonts w:ascii="宋体"/>
              </w:rPr>
            </w:pPr>
            <w:r>
              <w:rPr>
                <w:rFonts w:hint="eastAsia" w:ascii="宋体"/>
              </w:rPr>
              <w:t>≥0</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公共技术服务平台新增数量（个）</w:t>
            </w:r>
          </w:p>
        </w:tc>
        <w:tc>
          <w:tcPr>
            <w:tcW w:w="737" w:type="dxa"/>
            <w:shd w:val="clear" w:color="auto" w:fill="auto"/>
            <w:vAlign w:val="center"/>
          </w:tcPr>
          <w:p>
            <w:pPr>
              <w:spacing w:line="570" w:lineRule="exact"/>
              <w:jc w:val="center"/>
              <w:rPr>
                <w:rFonts w:ascii="宋体"/>
              </w:rPr>
            </w:pPr>
            <w:r>
              <w:rPr>
                <w:rFonts w:hint="eastAsia" w:ascii="宋体"/>
              </w:rPr>
              <w:t>≥10</w:t>
            </w:r>
          </w:p>
        </w:tc>
        <w:tc>
          <w:tcPr>
            <w:tcW w:w="737" w:type="dxa"/>
            <w:shd w:val="clear" w:color="auto" w:fill="auto"/>
            <w:vAlign w:val="center"/>
          </w:tcPr>
          <w:p>
            <w:pPr>
              <w:spacing w:line="570" w:lineRule="exact"/>
              <w:jc w:val="center"/>
              <w:rPr>
                <w:rFonts w:ascii="宋体"/>
              </w:rPr>
            </w:pPr>
            <w:r>
              <w:rPr>
                <w:rFonts w:hint="eastAsia" w:ascii="宋体"/>
              </w:rPr>
              <w:t>≥8</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担保机构融资能力增长率</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全市中小企业担保机构注册资本金规模增长率</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民营经济考核</w:t>
            </w:r>
          </w:p>
        </w:tc>
        <w:tc>
          <w:tcPr>
            <w:tcW w:w="737" w:type="dxa"/>
            <w:shd w:val="clear" w:color="auto" w:fill="auto"/>
            <w:vAlign w:val="center"/>
          </w:tcPr>
          <w:p>
            <w:pPr>
              <w:spacing w:line="570" w:lineRule="exact"/>
              <w:jc w:val="center"/>
              <w:rPr>
                <w:rFonts w:ascii="宋体"/>
              </w:rPr>
            </w:pPr>
            <w:r>
              <w:rPr>
                <w:rFonts w:hint="eastAsia" w:ascii="宋体"/>
              </w:rPr>
              <w:t>开展</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课题研究数量（个）</w:t>
            </w:r>
          </w:p>
        </w:tc>
        <w:tc>
          <w:tcPr>
            <w:tcW w:w="737" w:type="dxa"/>
            <w:shd w:val="clear" w:color="auto" w:fill="auto"/>
            <w:vAlign w:val="center"/>
          </w:tcPr>
          <w:p>
            <w:pPr>
              <w:spacing w:line="570" w:lineRule="exact"/>
              <w:jc w:val="center"/>
              <w:rPr>
                <w:rFonts w:ascii="宋体"/>
              </w:rPr>
            </w:pPr>
            <w:r>
              <w:rPr>
                <w:rFonts w:hint="eastAsia" w:ascii="宋体"/>
              </w:rPr>
              <w:t>≥300</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c>
          <w:tcPr>
            <w:tcW w:w="737" w:type="dxa"/>
            <w:shd w:val="clear" w:color="auto" w:fill="auto"/>
            <w:vAlign w:val="center"/>
          </w:tcPr>
          <w:p>
            <w:pPr>
              <w:spacing w:line="570" w:lineRule="exact"/>
              <w:jc w:val="center"/>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≥85%</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开展入企帮扶活动</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c>
          <w:tcPr>
            <w:tcW w:w="737" w:type="dxa"/>
            <w:shd w:val="clear" w:color="auto" w:fill="auto"/>
            <w:vAlign w:val="center"/>
          </w:tcPr>
          <w:p>
            <w:pPr>
              <w:spacing w:line="570" w:lineRule="exact"/>
              <w:jc w:val="center"/>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监测点上报率</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≥85%</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民营经济运行调度</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c>
          <w:tcPr>
            <w:tcW w:w="737" w:type="dxa"/>
            <w:shd w:val="clear" w:color="auto" w:fill="auto"/>
            <w:vAlign w:val="center"/>
          </w:tcPr>
          <w:p>
            <w:pPr>
              <w:spacing w:line="570" w:lineRule="exact"/>
              <w:jc w:val="center"/>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行政许可事项办结率</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平台网络服务企业数量（万个）</w:t>
            </w:r>
          </w:p>
        </w:tc>
        <w:tc>
          <w:tcPr>
            <w:tcW w:w="737" w:type="dxa"/>
            <w:shd w:val="clear" w:color="auto" w:fill="auto"/>
            <w:vAlign w:val="center"/>
          </w:tcPr>
          <w:p>
            <w:pPr>
              <w:spacing w:line="570" w:lineRule="exact"/>
              <w:jc w:val="center"/>
              <w:rPr>
                <w:rFonts w:ascii="宋体"/>
              </w:rPr>
            </w:pPr>
            <w:r>
              <w:rPr>
                <w:rFonts w:hint="eastAsia" w:ascii="宋体"/>
              </w:rPr>
              <w:t>≥1</w:t>
            </w:r>
          </w:p>
        </w:tc>
        <w:tc>
          <w:tcPr>
            <w:tcW w:w="737" w:type="dxa"/>
            <w:shd w:val="clear" w:color="auto" w:fill="auto"/>
            <w:vAlign w:val="center"/>
          </w:tcPr>
          <w:p>
            <w:pPr>
              <w:spacing w:line="570" w:lineRule="exact"/>
              <w:jc w:val="center"/>
              <w:rPr>
                <w:rFonts w:ascii="宋体"/>
              </w:rPr>
            </w:pPr>
            <w:r>
              <w:rPr>
                <w:rFonts w:hint="eastAsia" w:ascii="宋体"/>
              </w:rPr>
              <w:t>≥0.9</w:t>
            </w:r>
          </w:p>
        </w:tc>
        <w:tc>
          <w:tcPr>
            <w:tcW w:w="737" w:type="dxa"/>
            <w:shd w:val="clear" w:color="auto" w:fill="auto"/>
            <w:vAlign w:val="center"/>
          </w:tcPr>
          <w:p>
            <w:pPr>
              <w:spacing w:line="570" w:lineRule="exact"/>
              <w:jc w:val="center"/>
              <w:rPr>
                <w:rFonts w:ascii="宋体"/>
              </w:rPr>
            </w:pPr>
            <w:r>
              <w:rPr>
                <w:rFonts w:hint="eastAsia" w:ascii="宋体"/>
              </w:rPr>
              <w:t>≥0.8</w:t>
            </w:r>
          </w:p>
        </w:tc>
        <w:tc>
          <w:tcPr>
            <w:tcW w:w="737" w:type="dxa"/>
            <w:shd w:val="clear" w:color="auto" w:fill="auto"/>
            <w:vAlign w:val="center"/>
          </w:tcPr>
          <w:p>
            <w:pPr>
              <w:spacing w:line="570" w:lineRule="exact"/>
              <w:jc w:val="center"/>
              <w:rPr>
                <w:rFonts w:ascii="宋体"/>
              </w:rPr>
            </w:pPr>
            <w:r>
              <w:rPr>
                <w:rFonts w:hint="eastAsia" w:ascii="宋体"/>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三、工信政务管理</w:t>
            </w:r>
          </w:p>
        </w:tc>
        <w:tc>
          <w:tcPr>
            <w:tcW w:w="12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5.00</w:t>
            </w:r>
          </w:p>
        </w:tc>
        <w:tc>
          <w:tcPr>
            <w:tcW w:w="2976" w:type="dxa"/>
            <w:shd w:val="clear" w:color="auto" w:fill="auto"/>
            <w:vAlign w:val="center"/>
          </w:tcPr>
          <w:p>
            <w:pPr>
              <w:spacing w:line="570" w:lineRule="exact"/>
              <w:jc w:val="left"/>
              <w:rPr>
                <w:rFonts w:ascii="宋体"/>
              </w:rPr>
            </w:pPr>
            <w:r>
              <w:rPr>
                <w:rFonts w:hint="eastAsia" w:ascii="宋体"/>
              </w:rPr>
              <w:t>负责系统（内部）综合业务管理和机关（内部）综合事务管理。</w:t>
            </w:r>
          </w:p>
        </w:tc>
        <w:tc>
          <w:tcPr>
            <w:tcW w:w="2976" w:type="dxa"/>
            <w:shd w:val="clear" w:color="auto" w:fill="auto"/>
            <w:vAlign w:val="center"/>
          </w:tcPr>
          <w:p>
            <w:pPr>
              <w:spacing w:line="570" w:lineRule="exact"/>
              <w:jc w:val="left"/>
              <w:rPr>
                <w:rFonts w:ascii="宋体"/>
              </w:rPr>
            </w:pPr>
            <w:r>
              <w:rPr>
                <w:rFonts w:hint="eastAsia" w:ascii="宋体"/>
              </w:rPr>
              <w:t>提升工业和信息化综合事务管理水平。</w:t>
            </w: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5.00</w:t>
            </w:r>
          </w:p>
        </w:tc>
        <w:tc>
          <w:tcPr>
            <w:tcW w:w="2976" w:type="dxa"/>
            <w:vMerge w:val="restart"/>
            <w:shd w:val="clear" w:color="auto" w:fill="auto"/>
            <w:vAlign w:val="center"/>
          </w:tcPr>
          <w:p>
            <w:pPr>
              <w:spacing w:line="570" w:lineRule="exact"/>
              <w:jc w:val="left"/>
              <w:rPr>
                <w:rFonts w:ascii="宋体"/>
              </w:rPr>
            </w:pPr>
            <w:r>
              <w:rPr>
                <w:rFonts w:hint="eastAsia" w:ascii="宋体"/>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2976" w:type="dxa"/>
            <w:vMerge w:val="restart"/>
            <w:shd w:val="clear" w:color="auto" w:fill="auto"/>
            <w:vAlign w:val="center"/>
          </w:tcPr>
          <w:p>
            <w:pPr>
              <w:spacing w:line="570" w:lineRule="exact"/>
              <w:jc w:val="left"/>
              <w:rPr>
                <w:rFonts w:ascii="宋体"/>
              </w:rPr>
            </w:pPr>
            <w:r>
              <w:rPr>
                <w:rFonts w:hint="eastAsia" w:ascii="宋体"/>
              </w:rPr>
              <w:t>依法做好监控化学品日常监管和行政许可审批，完善工业和信息化政策法规体系建设，培育专业化人才，提升工业和信息化水平。</w:t>
            </w:r>
          </w:p>
        </w:tc>
        <w:tc>
          <w:tcPr>
            <w:tcW w:w="1417" w:type="dxa"/>
            <w:shd w:val="clear" w:color="auto" w:fill="auto"/>
            <w:vAlign w:val="center"/>
          </w:tcPr>
          <w:p>
            <w:pPr>
              <w:spacing w:line="570" w:lineRule="exact"/>
              <w:jc w:val="left"/>
              <w:rPr>
                <w:rFonts w:ascii="宋体"/>
              </w:rPr>
            </w:pPr>
            <w:r>
              <w:rPr>
                <w:rFonts w:hint="eastAsia" w:ascii="宋体"/>
              </w:rPr>
              <w:t>综合业务管理工作完成率</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完成进度</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完成范围</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2、综合事务管理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vMerge w:val="restart"/>
            <w:shd w:val="clear" w:color="auto" w:fill="auto"/>
            <w:vAlign w:val="center"/>
          </w:tcPr>
          <w:p>
            <w:pPr>
              <w:spacing w:line="570" w:lineRule="exact"/>
              <w:jc w:val="left"/>
              <w:rPr>
                <w:rFonts w:ascii="宋体"/>
              </w:rPr>
            </w:pPr>
            <w:r>
              <w:rPr>
                <w:rFonts w:hint="eastAsia" w:ascii="宋体"/>
              </w:rPr>
              <w:t>保障机关正常工作高效运转</w:t>
            </w:r>
          </w:p>
        </w:tc>
        <w:tc>
          <w:tcPr>
            <w:tcW w:w="1417" w:type="dxa"/>
            <w:shd w:val="clear" w:color="auto" w:fill="auto"/>
            <w:vAlign w:val="center"/>
          </w:tcPr>
          <w:p>
            <w:pPr>
              <w:spacing w:line="570" w:lineRule="exact"/>
              <w:jc w:val="left"/>
              <w:rPr>
                <w:rFonts w:ascii="宋体"/>
              </w:rPr>
            </w:pPr>
            <w:r>
              <w:rPr>
                <w:rFonts w:hint="eastAsia" w:ascii="宋体"/>
              </w:rPr>
              <w:t>综合事务管理工作完成率</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完成进度</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完成范围</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四、促进工业转型升级</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宋体"/>
              </w:rPr>
            </w:pPr>
            <w:r>
              <w:rPr>
                <w:rFonts w:hint="eastAsia" w:ascii="宋体"/>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shd w:val="clear" w:color="auto" w:fill="auto"/>
            <w:vAlign w:val="center"/>
          </w:tcPr>
          <w:p>
            <w:pPr>
              <w:spacing w:line="570" w:lineRule="exact"/>
              <w:jc w:val="left"/>
              <w:rPr>
                <w:rFonts w:ascii="宋体"/>
              </w:rPr>
            </w:pPr>
            <w:r>
              <w:rPr>
                <w:rFonts w:hint="eastAsia" w:ascii="宋体"/>
              </w:rPr>
              <w:t>加大我市工业转型升级步伐，实施“中国制造2040”，加快制造强市建设，提升工业发展的质量和效益。提升行业管理水平，促进行业健康发展。实施“互联网+”计划，提升全市信息化建设和发展水平</w:t>
            </w: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1、支持工业转型升级</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研究提出全市新型工业和信息化发展战略和政策，支持工业技术改造，扶持企业技术创新，促进工业节能减排与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应急管理，促进物联网、Wifi覆盖、大数据、云计算产业发展。</w:t>
            </w:r>
          </w:p>
        </w:tc>
        <w:tc>
          <w:tcPr>
            <w:tcW w:w="2976" w:type="dxa"/>
            <w:vMerge w:val="restart"/>
            <w:shd w:val="clear" w:color="auto" w:fill="auto"/>
            <w:vAlign w:val="center"/>
          </w:tcPr>
          <w:p>
            <w:pPr>
              <w:spacing w:line="570" w:lineRule="exact"/>
              <w:jc w:val="left"/>
              <w:rPr>
                <w:rFonts w:ascii="宋体"/>
              </w:rPr>
            </w:pPr>
            <w:r>
              <w:rPr>
                <w:rFonts w:hint="eastAsia" w:ascii="宋体"/>
              </w:rPr>
              <w:t>推进工业行业化解过剩产能、淘汰落后产能。</w:t>
            </w:r>
          </w:p>
        </w:tc>
        <w:tc>
          <w:tcPr>
            <w:tcW w:w="1417" w:type="dxa"/>
            <w:shd w:val="clear" w:color="auto" w:fill="auto"/>
            <w:vAlign w:val="center"/>
          </w:tcPr>
          <w:p>
            <w:pPr>
              <w:spacing w:line="570" w:lineRule="exact"/>
              <w:jc w:val="left"/>
              <w:rPr>
                <w:rFonts w:ascii="宋体"/>
              </w:rPr>
            </w:pPr>
            <w:r>
              <w:rPr>
                <w:rFonts w:hint="eastAsia" w:ascii="宋体"/>
              </w:rPr>
              <w:t>规模以上工业企业新产品销售收入占比情况</w:t>
            </w:r>
          </w:p>
        </w:tc>
        <w:tc>
          <w:tcPr>
            <w:tcW w:w="737" w:type="dxa"/>
            <w:shd w:val="clear" w:color="auto" w:fill="auto"/>
            <w:vAlign w:val="center"/>
          </w:tcPr>
          <w:p>
            <w:pPr>
              <w:spacing w:line="570" w:lineRule="exact"/>
              <w:jc w:val="center"/>
              <w:rPr>
                <w:rFonts w:ascii="宋体"/>
              </w:rPr>
            </w:pPr>
            <w:r>
              <w:rPr>
                <w:rFonts w:hint="eastAsia" w:ascii="宋体"/>
              </w:rPr>
              <w:t>≥7.7%</w:t>
            </w:r>
          </w:p>
        </w:tc>
        <w:tc>
          <w:tcPr>
            <w:tcW w:w="737" w:type="dxa"/>
            <w:shd w:val="clear" w:color="auto" w:fill="auto"/>
            <w:vAlign w:val="center"/>
          </w:tcPr>
          <w:p>
            <w:pPr>
              <w:spacing w:line="570" w:lineRule="exact"/>
              <w:jc w:val="center"/>
              <w:rPr>
                <w:rFonts w:ascii="宋体"/>
              </w:rPr>
            </w:pPr>
            <w:r>
              <w:rPr>
                <w:rFonts w:hint="eastAsia" w:ascii="宋体"/>
              </w:rPr>
              <w:t>≥7.5%</w:t>
            </w:r>
          </w:p>
        </w:tc>
        <w:tc>
          <w:tcPr>
            <w:tcW w:w="737" w:type="dxa"/>
            <w:shd w:val="clear" w:color="auto" w:fill="auto"/>
            <w:vAlign w:val="center"/>
          </w:tcPr>
          <w:p>
            <w:pPr>
              <w:spacing w:line="570" w:lineRule="exact"/>
              <w:jc w:val="center"/>
              <w:rPr>
                <w:rFonts w:ascii="宋体"/>
              </w:rPr>
            </w:pPr>
            <w:r>
              <w:rPr>
                <w:rFonts w:hint="eastAsia" w:ascii="宋体"/>
              </w:rPr>
              <w:t>≥7.1%</w:t>
            </w:r>
          </w:p>
        </w:tc>
        <w:tc>
          <w:tcPr>
            <w:tcW w:w="737" w:type="dxa"/>
            <w:shd w:val="clear" w:color="auto" w:fill="auto"/>
            <w:vAlign w:val="center"/>
          </w:tcPr>
          <w:p>
            <w:pPr>
              <w:spacing w:line="570" w:lineRule="exact"/>
              <w:jc w:val="center"/>
              <w:rPr>
                <w:rFonts w:ascii="宋体"/>
              </w:rPr>
            </w:pPr>
            <w:r>
              <w:rPr>
                <w:rFonts w:hint="eastAsia" w:ascii="宋体"/>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专利拥有量增长率</w:t>
            </w:r>
          </w:p>
        </w:tc>
        <w:tc>
          <w:tcPr>
            <w:tcW w:w="737" w:type="dxa"/>
            <w:shd w:val="clear" w:color="auto" w:fill="auto"/>
            <w:vAlign w:val="center"/>
          </w:tcPr>
          <w:p>
            <w:pPr>
              <w:spacing w:line="570" w:lineRule="exact"/>
              <w:jc w:val="center"/>
              <w:rPr>
                <w:rFonts w:ascii="宋体"/>
              </w:rPr>
            </w:pPr>
            <w:r>
              <w:rPr>
                <w:rFonts w:hint="eastAsia" w:ascii="宋体"/>
              </w:rPr>
              <w:t>≥10%</w:t>
            </w:r>
          </w:p>
        </w:tc>
        <w:tc>
          <w:tcPr>
            <w:tcW w:w="737" w:type="dxa"/>
            <w:shd w:val="clear" w:color="auto" w:fill="auto"/>
            <w:vAlign w:val="center"/>
          </w:tcPr>
          <w:p>
            <w:pPr>
              <w:spacing w:line="570" w:lineRule="exact"/>
              <w:jc w:val="center"/>
              <w:rPr>
                <w:rFonts w:ascii="宋体"/>
              </w:rPr>
            </w:pPr>
            <w:r>
              <w:rPr>
                <w:rFonts w:hint="eastAsia" w:ascii="宋体"/>
              </w:rPr>
              <w:t>≥8%</w:t>
            </w:r>
          </w:p>
        </w:tc>
        <w:tc>
          <w:tcPr>
            <w:tcW w:w="737" w:type="dxa"/>
            <w:shd w:val="clear" w:color="auto" w:fill="auto"/>
            <w:vAlign w:val="center"/>
          </w:tcPr>
          <w:p>
            <w:pPr>
              <w:spacing w:line="570" w:lineRule="exact"/>
              <w:jc w:val="center"/>
              <w:rPr>
                <w:rFonts w:ascii="宋体"/>
              </w:rPr>
            </w:pPr>
            <w:r>
              <w:rPr>
                <w:rFonts w:hint="eastAsia" w:ascii="宋体"/>
              </w:rPr>
              <w:t>≥6%</w:t>
            </w:r>
          </w:p>
        </w:tc>
        <w:tc>
          <w:tcPr>
            <w:tcW w:w="737" w:type="dxa"/>
            <w:shd w:val="clear" w:color="auto" w:fill="auto"/>
            <w:vAlign w:val="center"/>
          </w:tcPr>
          <w:p>
            <w:pPr>
              <w:spacing w:line="570" w:lineRule="exact"/>
              <w:jc w:val="center"/>
              <w:rPr>
                <w:rFonts w:ascii="宋体"/>
              </w:rPr>
            </w:pPr>
            <w:r>
              <w:rPr>
                <w:rFonts w:hint="eastAsia" w:ascii="宋体"/>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战略新兴产业占比情况</w:t>
            </w:r>
          </w:p>
        </w:tc>
        <w:tc>
          <w:tcPr>
            <w:tcW w:w="737" w:type="dxa"/>
            <w:shd w:val="clear" w:color="auto" w:fill="auto"/>
            <w:vAlign w:val="center"/>
          </w:tcPr>
          <w:p>
            <w:pPr>
              <w:spacing w:line="570" w:lineRule="exact"/>
              <w:jc w:val="center"/>
              <w:rPr>
                <w:rFonts w:ascii="宋体"/>
              </w:rPr>
            </w:pPr>
            <w:r>
              <w:rPr>
                <w:rFonts w:hint="eastAsia" w:ascii="宋体"/>
              </w:rPr>
              <w:t>≥14%</w:t>
            </w:r>
          </w:p>
        </w:tc>
        <w:tc>
          <w:tcPr>
            <w:tcW w:w="737" w:type="dxa"/>
            <w:shd w:val="clear" w:color="auto" w:fill="auto"/>
            <w:vAlign w:val="center"/>
          </w:tcPr>
          <w:p>
            <w:pPr>
              <w:spacing w:line="570" w:lineRule="exact"/>
              <w:jc w:val="center"/>
              <w:rPr>
                <w:rFonts w:ascii="宋体"/>
              </w:rPr>
            </w:pPr>
            <w:r>
              <w:rPr>
                <w:rFonts w:hint="eastAsia" w:ascii="宋体"/>
              </w:rPr>
              <w:t>≥12%</w:t>
            </w:r>
          </w:p>
        </w:tc>
        <w:tc>
          <w:tcPr>
            <w:tcW w:w="737" w:type="dxa"/>
            <w:shd w:val="clear" w:color="auto" w:fill="auto"/>
            <w:vAlign w:val="center"/>
          </w:tcPr>
          <w:p>
            <w:pPr>
              <w:spacing w:line="570" w:lineRule="exact"/>
              <w:jc w:val="center"/>
              <w:rPr>
                <w:rFonts w:ascii="宋体"/>
              </w:rPr>
            </w:pPr>
            <w:r>
              <w:rPr>
                <w:rFonts w:hint="eastAsia" w:ascii="宋体"/>
              </w:rPr>
              <w:t>≥10%</w:t>
            </w:r>
          </w:p>
        </w:tc>
        <w:tc>
          <w:tcPr>
            <w:tcW w:w="737" w:type="dxa"/>
            <w:shd w:val="clear" w:color="auto" w:fill="auto"/>
            <w:vAlign w:val="center"/>
          </w:tcPr>
          <w:p>
            <w:pPr>
              <w:spacing w:line="570" w:lineRule="exact"/>
              <w:jc w:val="center"/>
              <w:rPr>
                <w:rFonts w:ascii="宋体"/>
              </w:rPr>
            </w:pPr>
            <w:r>
              <w:rPr>
                <w:rFonts w:hint="eastAsia" w:ascii="宋体"/>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关键工序制造装备数控化率</w:t>
            </w:r>
          </w:p>
        </w:tc>
        <w:tc>
          <w:tcPr>
            <w:tcW w:w="737" w:type="dxa"/>
            <w:shd w:val="clear" w:color="auto" w:fill="auto"/>
            <w:vAlign w:val="center"/>
          </w:tcPr>
          <w:p>
            <w:pPr>
              <w:spacing w:line="570" w:lineRule="exact"/>
              <w:jc w:val="center"/>
              <w:rPr>
                <w:rFonts w:ascii="宋体"/>
              </w:rPr>
            </w:pPr>
            <w:r>
              <w:rPr>
                <w:rFonts w:hint="eastAsia" w:ascii="宋体"/>
              </w:rPr>
              <w:t>≥42%</w:t>
            </w:r>
          </w:p>
        </w:tc>
        <w:tc>
          <w:tcPr>
            <w:tcW w:w="737" w:type="dxa"/>
            <w:shd w:val="clear" w:color="auto" w:fill="auto"/>
            <w:vAlign w:val="center"/>
          </w:tcPr>
          <w:p>
            <w:pPr>
              <w:spacing w:line="570" w:lineRule="exact"/>
              <w:jc w:val="center"/>
              <w:rPr>
                <w:rFonts w:ascii="宋体"/>
              </w:rPr>
            </w:pPr>
            <w:r>
              <w:rPr>
                <w:rFonts w:hint="eastAsia" w:ascii="宋体"/>
              </w:rPr>
              <w:t>≥30%</w:t>
            </w:r>
          </w:p>
        </w:tc>
        <w:tc>
          <w:tcPr>
            <w:tcW w:w="737" w:type="dxa"/>
            <w:shd w:val="clear" w:color="auto" w:fill="auto"/>
            <w:vAlign w:val="center"/>
          </w:tcPr>
          <w:p>
            <w:pPr>
              <w:spacing w:line="570" w:lineRule="exact"/>
              <w:jc w:val="center"/>
              <w:rPr>
                <w:rFonts w:ascii="宋体"/>
              </w:rPr>
            </w:pPr>
            <w:r>
              <w:rPr>
                <w:rFonts w:hint="eastAsia" w:ascii="宋体"/>
              </w:rPr>
              <w:t>≥20%</w:t>
            </w:r>
          </w:p>
        </w:tc>
        <w:tc>
          <w:tcPr>
            <w:tcW w:w="737" w:type="dxa"/>
            <w:shd w:val="clear" w:color="auto" w:fill="auto"/>
            <w:vAlign w:val="center"/>
          </w:tcPr>
          <w:p>
            <w:pPr>
              <w:spacing w:line="570" w:lineRule="exact"/>
              <w:jc w:val="center"/>
              <w:rPr>
                <w:rFonts w:ascii="宋体"/>
              </w:rPr>
            </w:pPr>
            <w:r>
              <w:rPr>
                <w:rFonts w:hint="eastAsia" w:ascii="宋体"/>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防止新增过剩、落后产能</w:t>
            </w:r>
          </w:p>
        </w:tc>
        <w:tc>
          <w:tcPr>
            <w:tcW w:w="737" w:type="dxa"/>
            <w:shd w:val="clear" w:color="auto" w:fill="auto"/>
            <w:vAlign w:val="center"/>
          </w:tcPr>
          <w:p>
            <w:pPr>
              <w:spacing w:line="570" w:lineRule="exact"/>
              <w:jc w:val="center"/>
              <w:rPr>
                <w:rFonts w:ascii="宋体"/>
              </w:rPr>
            </w:pPr>
            <w:r>
              <w:rPr>
                <w:rFonts w:hint="eastAsia" w:ascii="宋体"/>
              </w:rPr>
              <w:t>无新增过剩产能企业</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有新增过剩产能企业</w:t>
            </w: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规模以上工业企业全员劳动生产率年均增速</w:t>
            </w:r>
          </w:p>
        </w:tc>
        <w:tc>
          <w:tcPr>
            <w:tcW w:w="737" w:type="dxa"/>
            <w:shd w:val="clear" w:color="auto" w:fill="auto"/>
            <w:vAlign w:val="center"/>
          </w:tcPr>
          <w:p>
            <w:pPr>
              <w:spacing w:line="570" w:lineRule="exact"/>
              <w:jc w:val="center"/>
              <w:rPr>
                <w:rFonts w:ascii="宋体"/>
              </w:rPr>
            </w:pPr>
            <w:r>
              <w:rPr>
                <w:rFonts w:hint="eastAsia" w:ascii="宋体"/>
              </w:rPr>
              <w:t>≥5.5%</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≥4.5%</w:t>
            </w:r>
          </w:p>
        </w:tc>
        <w:tc>
          <w:tcPr>
            <w:tcW w:w="737" w:type="dxa"/>
            <w:shd w:val="clear" w:color="auto" w:fill="auto"/>
            <w:vAlign w:val="center"/>
          </w:tcPr>
          <w:p>
            <w:pPr>
              <w:spacing w:line="570" w:lineRule="exact"/>
              <w:jc w:val="center"/>
              <w:rPr>
                <w:rFonts w:ascii="宋体"/>
              </w:rPr>
            </w:pPr>
            <w:r>
              <w:rPr>
                <w:rFonts w:hint="eastAsia" w:ascii="宋体"/>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技改项目实施数量（项）</w:t>
            </w:r>
          </w:p>
        </w:tc>
        <w:tc>
          <w:tcPr>
            <w:tcW w:w="737" w:type="dxa"/>
            <w:shd w:val="clear" w:color="auto" w:fill="auto"/>
            <w:vAlign w:val="center"/>
          </w:tcPr>
          <w:p>
            <w:pPr>
              <w:spacing w:line="570" w:lineRule="exact"/>
              <w:jc w:val="center"/>
              <w:rPr>
                <w:rFonts w:ascii="宋体"/>
              </w:rPr>
            </w:pPr>
            <w:r>
              <w:rPr>
                <w:rFonts w:hint="eastAsia" w:ascii="宋体"/>
              </w:rPr>
              <w:t>≥100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装备制造业占比情况</w:t>
            </w:r>
          </w:p>
        </w:tc>
        <w:tc>
          <w:tcPr>
            <w:tcW w:w="737" w:type="dxa"/>
            <w:shd w:val="clear" w:color="auto" w:fill="auto"/>
            <w:vAlign w:val="center"/>
          </w:tcPr>
          <w:p>
            <w:pPr>
              <w:spacing w:line="570" w:lineRule="exact"/>
              <w:jc w:val="center"/>
              <w:rPr>
                <w:rFonts w:ascii="宋体"/>
              </w:rPr>
            </w:pPr>
            <w:r>
              <w:rPr>
                <w:rFonts w:hint="eastAsia" w:ascii="宋体"/>
              </w:rPr>
              <w:t>≥23%</w:t>
            </w:r>
          </w:p>
        </w:tc>
        <w:tc>
          <w:tcPr>
            <w:tcW w:w="737" w:type="dxa"/>
            <w:shd w:val="clear" w:color="auto" w:fill="auto"/>
            <w:vAlign w:val="center"/>
          </w:tcPr>
          <w:p>
            <w:pPr>
              <w:spacing w:line="570" w:lineRule="exact"/>
              <w:jc w:val="center"/>
              <w:rPr>
                <w:rFonts w:ascii="宋体"/>
              </w:rPr>
            </w:pPr>
            <w:r>
              <w:rPr>
                <w:rFonts w:hint="eastAsia" w:ascii="宋体"/>
              </w:rPr>
              <w:t>≥20%</w:t>
            </w:r>
          </w:p>
        </w:tc>
        <w:tc>
          <w:tcPr>
            <w:tcW w:w="737" w:type="dxa"/>
            <w:shd w:val="clear" w:color="auto" w:fill="auto"/>
            <w:vAlign w:val="center"/>
          </w:tcPr>
          <w:p>
            <w:pPr>
              <w:spacing w:line="570" w:lineRule="exact"/>
              <w:jc w:val="center"/>
              <w:rPr>
                <w:rFonts w:ascii="宋体"/>
              </w:rPr>
            </w:pPr>
            <w:r>
              <w:rPr>
                <w:rFonts w:hint="eastAsia" w:ascii="宋体"/>
              </w:rPr>
              <w:t>≥18%</w:t>
            </w:r>
          </w:p>
        </w:tc>
        <w:tc>
          <w:tcPr>
            <w:tcW w:w="737" w:type="dxa"/>
            <w:shd w:val="clear" w:color="auto" w:fill="auto"/>
            <w:vAlign w:val="center"/>
          </w:tcPr>
          <w:p>
            <w:pPr>
              <w:spacing w:line="570" w:lineRule="exact"/>
              <w:jc w:val="center"/>
              <w:rPr>
                <w:rFonts w:ascii="宋体"/>
              </w:rPr>
            </w:pPr>
            <w:r>
              <w:rPr>
                <w:rFonts w:hint="eastAsia" w:ascii="宋体"/>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落实《关于鼓励和支持企业研发人员创新旳实施细则》</w:t>
            </w:r>
          </w:p>
        </w:tc>
        <w:tc>
          <w:tcPr>
            <w:tcW w:w="737" w:type="dxa"/>
            <w:shd w:val="clear" w:color="auto" w:fill="auto"/>
            <w:vAlign w:val="center"/>
          </w:tcPr>
          <w:p>
            <w:pPr>
              <w:spacing w:line="570" w:lineRule="exact"/>
              <w:jc w:val="center"/>
              <w:rPr>
                <w:rFonts w:ascii="宋体"/>
              </w:rPr>
            </w:pPr>
            <w:r>
              <w:rPr>
                <w:rFonts w:hint="eastAsia" w:ascii="宋体"/>
              </w:rPr>
              <w:t>开展</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规模以上工业企业R&amp;D经费支出占比情况</w:t>
            </w:r>
          </w:p>
        </w:tc>
        <w:tc>
          <w:tcPr>
            <w:tcW w:w="737" w:type="dxa"/>
            <w:shd w:val="clear" w:color="auto" w:fill="auto"/>
            <w:vAlign w:val="center"/>
          </w:tcPr>
          <w:p>
            <w:pPr>
              <w:spacing w:line="570" w:lineRule="exact"/>
              <w:jc w:val="center"/>
              <w:rPr>
                <w:rFonts w:ascii="宋体"/>
              </w:rPr>
            </w:pPr>
            <w:r>
              <w:rPr>
                <w:rFonts w:hint="eastAsia" w:ascii="宋体"/>
              </w:rPr>
              <w:t>≥0.8%</w:t>
            </w:r>
          </w:p>
        </w:tc>
        <w:tc>
          <w:tcPr>
            <w:tcW w:w="737" w:type="dxa"/>
            <w:shd w:val="clear" w:color="auto" w:fill="auto"/>
            <w:vAlign w:val="center"/>
          </w:tcPr>
          <w:p>
            <w:pPr>
              <w:spacing w:line="570" w:lineRule="exact"/>
              <w:jc w:val="center"/>
              <w:rPr>
                <w:rFonts w:ascii="宋体"/>
              </w:rPr>
            </w:pPr>
            <w:r>
              <w:rPr>
                <w:rFonts w:hint="eastAsia" w:ascii="宋体"/>
              </w:rPr>
              <w:t>≥0.4%</w:t>
            </w:r>
          </w:p>
        </w:tc>
        <w:tc>
          <w:tcPr>
            <w:tcW w:w="737" w:type="dxa"/>
            <w:shd w:val="clear" w:color="auto" w:fill="auto"/>
            <w:vAlign w:val="center"/>
          </w:tcPr>
          <w:p>
            <w:pPr>
              <w:spacing w:line="570" w:lineRule="exact"/>
              <w:jc w:val="center"/>
              <w:rPr>
                <w:rFonts w:ascii="宋体"/>
              </w:rPr>
            </w:pPr>
            <w:r>
              <w:rPr>
                <w:rFonts w:hint="eastAsia" w:ascii="宋体"/>
              </w:rPr>
              <w:t>≥0.1%</w:t>
            </w:r>
          </w:p>
        </w:tc>
        <w:tc>
          <w:tcPr>
            <w:tcW w:w="737" w:type="dxa"/>
            <w:shd w:val="clear" w:color="auto" w:fill="auto"/>
            <w:vAlign w:val="center"/>
          </w:tcPr>
          <w:p>
            <w:pPr>
              <w:spacing w:line="570" w:lineRule="exact"/>
              <w:jc w:val="center"/>
              <w:rPr>
                <w:rFonts w:ascii="宋体"/>
              </w:rPr>
            </w:pPr>
            <w:r>
              <w:rPr>
                <w:rFonts w:hint="eastAsia" w:ascii="宋体"/>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大中型企业建立科技研发机构占比情况</w:t>
            </w:r>
          </w:p>
        </w:tc>
        <w:tc>
          <w:tcPr>
            <w:tcW w:w="737" w:type="dxa"/>
            <w:shd w:val="clear" w:color="auto" w:fill="auto"/>
            <w:vAlign w:val="center"/>
          </w:tcPr>
          <w:p>
            <w:pPr>
              <w:spacing w:line="570" w:lineRule="exact"/>
              <w:jc w:val="center"/>
              <w:rPr>
                <w:rFonts w:ascii="宋体"/>
              </w:rPr>
            </w:pPr>
            <w:r>
              <w:rPr>
                <w:rFonts w:hint="eastAsia" w:ascii="宋体"/>
              </w:rPr>
              <w:t>≥25%</w:t>
            </w:r>
          </w:p>
        </w:tc>
        <w:tc>
          <w:tcPr>
            <w:tcW w:w="737" w:type="dxa"/>
            <w:shd w:val="clear" w:color="auto" w:fill="auto"/>
            <w:vAlign w:val="center"/>
          </w:tcPr>
          <w:p>
            <w:pPr>
              <w:spacing w:line="570" w:lineRule="exact"/>
              <w:jc w:val="center"/>
              <w:rPr>
                <w:rFonts w:ascii="宋体"/>
              </w:rPr>
            </w:pPr>
            <w:r>
              <w:rPr>
                <w:rFonts w:hint="eastAsia" w:ascii="宋体"/>
              </w:rPr>
              <w:t>≥15%</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制造业质量竞争力指数</w:t>
            </w:r>
          </w:p>
        </w:tc>
        <w:tc>
          <w:tcPr>
            <w:tcW w:w="737" w:type="dxa"/>
            <w:shd w:val="clear" w:color="auto" w:fill="auto"/>
            <w:vAlign w:val="center"/>
          </w:tcPr>
          <w:p>
            <w:pPr>
              <w:spacing w:line="570" w:lineRule="exact"/>
              <w:jc w:val="center"/>
              <w:rPr>
                <w:rFonts w:ascii="宋体"/>
              </w:rPr>
            </w:pPr>
            <w:r>
              <w:rPr>
                <w:rFonts w:hint="eastAsia" w:ascii="宋体"/>
              </w:rPr>
              <w:t>≥81</w:t>
            </w:r>
          </w:p>
        </w:tc>
        <w:tc>
          <w:tcPr>
            <w:tcW w:w="737" w:type="dxa"/>
            <w:shd w:val="clear" w:color="auto" w:fill="auto"/>
            <w:vAlign w:val="center"/>
          </w:tcPr>
          <w:p>
            <w:pPr>
              <w:spacing w:line="570" w:lineRule="exact"/>
              <w:jc w:val="center"/>
              <w:rPr>
                <w:rFonts w:ascii="宋体"/>
              </w:rPr>
            </w:pPr>
            <w:r>
              <w:rPr>
                <w:rFonts w:hint="eastAsia" w:ascii="宋体"/>
              </w:rPr>
              <w:t>≥75</w:t>
            </w:r>
          </w:p>
        </w:tc>
        <w:tc>
          <w:tcPr>
            <w:tcW w:w="737" w:type="dxa"/>
            <w:shd w:val="clear" w:color="auto" w:fill="auto"/>
            <w:vAlign w:val="center"/>
          </w:tcPr>
          <w:p>
            <w:pPr>
              <w:spacing w:line="570" w:lineRule="exact"/>
              <w:jc w:val="center"/>
              <w:rPr>
                <w:rFonts w:ascii="宋体"/>
              </w:rPr>
            </w:pPr>
            <w:r>
              <w:rPr>
                <w:rFonts w:hint="eastAsia" w:ascii="宋体"/>
              </w:rPr>
              <w:t>≥70</w:t>
            </w:r>
          </w:p>
        </w:tc>
        <w:tc>
          <w:tcPr>
            <w:tcW w:w="737" w:type="dxa"/>
            <w:shd w:val="clear" w:color="auto" w:fill="auto"/>
            <w:vAlign w:val="center"/>
          </w:tcPr>
          <w:p>
            <w:pPr>
              <w:spacing w:line="570" w:lineRule="exact"/>
              <w:jc w:val="center"/>
              <w:rPr>
                <w:rFonts w:ascii="宋体"/>
              </w:rPr>
            </w:pPr>
            <w:r>
              <w:rPr>
                <w:rFonts w:hint="eastAsia" w:ascii="宋体"/>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主营业务收入超百亿元企业个数</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≥55</w:t>
            </w:r>
          </w:p>
        </w:tc>
        <w:tc>
          <w:tcPr>
            <w:tcW w:w="737" w:type="dxa"/>
            <w:shd w:val="clear" w:color="auto" w:fill="auto"/>
            <w:vAlign w:val="center"/>
          </w:tcPr>
          <w:p>
            <w:pPr>
              <w:spacing w:line="570" w:lineRule="exact"/>
              <w:jc w:val="center"/>
              <w:rPr>
                <w:rFonts w:ascii="宋体"/>
              </w:rPr>
            </w:pPr>
            <w:r>
              <w:rPr>
                <w:rFonts w:hint="eastAsia" w:ascii="宋体"/>
              </w:rPr>
              <w:t>≥50</w:t>
            </w:r>
          </w:p>
        </w:tc>
        <w:tc>
          <w:tcPr>
            <w:tcW w:w="737" w:type="dxa"/>
            <w:shd w:val="clear" w:color="auto" w:fill="auto"/>
            <w:vAlign w:val="center"/>
          </w:tcPr>
          <w:p>
            <w:pPr>
              <w:spacing w:line="570" w:lineRule="exact"/>
              <w:jc w:val="center"/>
              <w:rPr>
                <w:rFonts w:ascii="宋体"/>
              </w:rPr>
            </w:pPr>
            <w:r>
              <w:rPr>
                <w:rFonts w:hint="eastAsia" w:ascii="宋体"/>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大智移云产业及电子信息产业调研及统计</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c>
          <w:tcPr>
            <w:tcW w:w="737" w:type="dxa"/>
            <w:shd w:val="clear" w:color="auto" w:fill="auto"/>
            <w:vAlign w:val="center"/>
          </w:tcPr>
          <w:p>
            <w:pPr>
              <w:spacing w:line="570" w:lineRule="exact"/>
              <w:jc w:val="center"/>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通过委托贷款等方式支持全市重点工业企业技术改造项目</w:t>
            </w:r>
          </w:p>
        </w:tc>
        <w:tc>
          <w:tcPr>
            <w:tcW w:w="737" w:type="dxa"/>
            <w:shd w:val="clear" w:color="auto" w:fill="auto"/>
            <w:vAlign w:val="center"/>
          </w:tcPr>
          <w:p>
            <w:pPr>
              <w:spacing w:line="570" w:lineRule="exact"/>
              <w:jc w:val="center"/>
              <w:rPr>
                <w:rFonts w:ascii="宋体"/>
              </w:rPr>
            </w:pPr>
            <w:r>
              <w:rPr>
                <w:rFonts w:hint="eastAsia" w:ascii="宋体"/>
              </w:rPr>
              <w:t>80-100%</w:t>
            </w:r>
          </w:p>
        </w:tc>
        <w:tc>
          <w:tcPr>
            <w:tcW w:w="737" w:type="dxa"/>
            <w:shd w:val="clear" w:color="auto" w:fill="auto"/>
            <w:vAlign w:val="center"/>
          </w:tcPr>
          <w:p>
            <w:pPr>
              <w:spacing w:line="570" w:lineRule="exact"/>
              <w:jc w:val="center"/>
              <w:rPr>
                <w:rFonts w:ascii="宋体"/>
              </w:rPr>
            </w:pPr>
            <w:r>
              <w:rPr>
                <w:rFonts w:hint="eastAsia" w:ascii="宋体"/>
              </w:rPr>
              <w:t>60-80%</w:t>
            </w:r>
          </w:p>
        </w:tc>
        <w:tc>
          <w:tcPr>
            <w:tcW w:w="737" w:type="dxa"/>
            <w:shd w:val="clear" w:color="auto" w:fill="auto"/>
            <w:vAlign w:val="center"/>
          </w:tcPr>
          <w:p>
            <w:pPr>
              <w:spacing w:line="570" w:lineRule="exact"/>
              <w:jc w:val="center"/>
              <w:rPr>
                <w:rFonts w:ascii="宋体"/>
              </w:rPr>
            </w:pPr>
            <w:r>
              <w:rPr>
                <w:rFonts w:hint="eastAsia" w:ascii="宋体"/>
              </w:rPr>
              <w:t>40-60%</w:t>
            </w:r>
          </w:p>
        </w:tc>
        <w:tc>
          <w:tcPr>
            <w:tcW w:w="737" w:type="dxa"/>
            <w:shd w:val="clear" w:color="auto" w:fill="auto"/>
            <w:vAlign w:val="center"/>
          </w:tcPr>
          <w:p>
            <w:pPr>
              <w:spacing w:line="570" w:lineRule="exact"/>
              <w:jc w:val="center"/>
              <w:rPr>
                <w:rFonts w:ascii="宋体"/>
              </w:rPr>
            </w:pPr>
            <w:r>
              <w:rPr>
                <w:rFonts w:hint="eastAsia" w:ascii="宋体"/>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制造业增加值率提高</w:t>
            </w:r>
          </w:p>
        </w:tc>
        <w:tc>
          <w:tcPr>
            <w:tcW w:w="737" w:type="dxa"/>
            <w:shd w:val="clear" w:color="auto" w:fill="auto"/>
            <w:vAlign w:val="center"/>
          </w:tcPr>
          <w:p>
            <w:pPr>
              <w:spacing w:line="570" w:lineRule="exact"/>
              <w:jc w:val="center"/>
              <w:rPr>
                <w:rFonts w:ascii="宋体"/>
              </w:rPr>
            </w:pPr>
            <w:r>
              <w:rPr>
                <w:rFonts w:hint="eastAsia" w:ascii="宋体"/>
              </w:rPr>
              <w:t>≥1</w:t>
            </w:r>
          </w:p>
        </w:tc>
        <w:tc>
          <w:tcPr>
            <w:tcW w:w="737" w:type="dxa"/>
            <w:shd w:val="clear" w:color="auto" w:fill="auto"/>
            <w:vAlign w:val="center"/>
          </w:tcPr>
          <w:p>
            <w:pPr>
              <w:spacing w:line="570" w:lineRule="exact"/>
              <w:jc w:val="center"/>
              <w:rPr>
                <w:rFonts w:ascii="宋体"/>
              </w:rPr>
            </w:pPr>
            <w:r>
              <w:rPr>
                <w:rFonts w:hint="eastAsia" w:ascii="宋体"/>
              </w:rPr>
              <w:t>≥0.8</w:t>
            </w:r>
          </w:p>
        </w:tc>
        <w:tc>
          <w:tcPr>
            <w:tcW w:w="737" w:type="dxa"/>
            <w:shd w:val="clear" w:color="auto" w:fill="auto"/>
            <w:vAlign w:val="center"/>
          </w:tcPr>
          <w:p>
            <w:pPr>
              <w:spacing w:line="570" w:lineRule="exact"/>
              <w:jc w:val="center"/>
              <w:rPr>
                <w:rFonts w:ascii="宋体"/>
              </w:rPr>
            </w:pPr>
            <w:r>
              <w:rPr>
                <w:rFonts w:hint="eastAsia" w:ascii="宋体"/>
              </w:rPr>
              <w:t>≥0.5</w:t>
            </w:r>
          </w:p>
        </w:tc>
        <w:tc>
          <w:tcPr>
            <w:tcW w:w="737" w:type="dxa"/>
            <w:shd w:val="clear" w:color="auto" w:fill="auto"/>
            <w:vAlign w:val="center"/>
          </w:tcPr>
          <w:p>
            <w:pPr>
              <w:spacing w:line="570" w:lineRule="exact"/>
              <w:jc w:val="center"/>
              <w:rPr>
                <w:rFonts w:ascii="宋体"/>
              </w:rPr>
            </w:pPr>
            <w:r>
              <w:rPr>
                <w:rFonts w:hint="eastAsia" w:ascii="宋体"/>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数字化研发设计工具普及率</w:t>
            </w:r>
          </w:p>
        </w:tc>
        <w:tc>
          <w:tcPr>
            <w:tcW w:w="737" w:type="dxa"/>
            <w:shd w:val="clear" w:color="auto" w:fill="auto"/>
            <w:vAlign w:val="center"/>
          </w:tcPr>
          <w:p>
            <w:pPr>
              <w:spacing w:line="570" w:lineRule="exact"/>
              <w:jc w:val="center"/>
              <w:rPr>
                <w:rFonts w:ascii="宋体"/>
              </w:rPr>
            </w:pPr>
            <w:r>
              <w:rPr>
                <w:rFonts w:hint="eastAsia" w:ascii="宋体"/>
              </w:rPr>
              <w:t>≥55%</w:t>
            </w:r>
          </w:p>
        </w:tc>
        <w:tc>
          <w:tcPr>
            <w:tcW w:w="737" w:type="dxa"/>
            <w:shd w:val="clear" w:color="auto" w:fill="auto"/>
            <w:vAlign w:val="center"/>
          </w:tcPr>
          <w:p>
            <w:pPr>
              <w:spacing w:line="570" w:lineRule="exact"/>
              <w:jc w:val="center"/>
              <w:rPr>
                <w:rFonts w:ascii="宋体"/>
              </w:rPr>
            </w:pPr>
            <w:r>
              <w:rPr>
                <w:rFonts w:hint="eastAsia" w:ascii="宋体"/>
              </w:rPr>
              <w:t>≥50%</w:t>
            </w:r>
          </w:p>
        </w:tc>
        <w:tc>
          <w:tcPr>
            <w:tcW w:w="737" w:type="dxa"/>
            <w:shd w:val="clear" w:color="auto" w:fill="auto"/>
            <w:vAlign w:val="center"/>
          </w:tcPr>
          <w:p>
            <w:pPr>
              <w:spacing w:line="570" w:lineRule="exact"/>
              <w:jc w:val="center"/>
              <w:rPr>
                <w:rFonts w:ascii="宋体"/>
              </w:rPr>
            </w:pPr>
            <w:r>
              <w:rPr>
                <w:rFonts w:hint="eastAsia" w:ascii="宋体"/>
              </w:rPr>
              <w:t>≥45%</w:t>
            </w:r>
          </w:p>
        </w:tc>
        <w:tc>
          <w:tcPr>
            <w:tcW w:w="737" w:type="dxa"/>
            <w:shd w:val="clear" w:color="auto" w:fill="auto"/>
            <w:vAlign w:val="center"/>
          </w:tcPr>
          <w:p>
            <w:pPr>
              <w:spacing w:line="570" w:lineRule="exact"/>
              <w:jc w:val="center"/>
              <w:rPr>
                <w:rFonts w:ascii="宋体"/>
              </w:rPr>
            </w:pPr>
            <w:r>
              <w:rPr>
                <w:rFonts w:hint="eastAsia" w:ascii="宋体"/>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智能工厂（车间）数量（个）</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≥60</w:t>
            </w:r>
          </w:p>
        </w:tc>
        <w:tc>
          <w:tcPr>
            <w:tcW w:w="737" w:type="dxa"/>
            <w:shd w:val="clear" w:color="auto" w:fill="auto"/>
            <w:vAlign w:val="center"/>
          </w:tcPr>
          <w:p>
            <w:pPr>
              <w:spacing w:line="570" w:lineRule="exact"/>
              <w:jc w:val="center"/>
              <w:rPr>
                <w:rFonts w:ascii="宋体"/>
              </w:rPr>
            </w:pPr>
            <w:r>
              <w:rPr>
                <w:rFonts w:hint="eastAsia" w:ascii="宋体"/>
              </w:rPr>
              <w:t>≥40</w:t>
            </w:r>
          </w:p>
        </w:tc>
        <w:tc>
          <w:tcPr>
            <w:tcW w:w="737" w:type="dxa"/>
            <w:shd w:val="clear" w:color="auto" w:fill="auto"/>
            <w:vAlign w:val="center"/>
          </w:tcPr>
          <w:p>
            <w:pPr>
              <w:spacing w:line="570" w:lineRule="exact"/>
              <w:jc w:val="center"/>
              <w:rPr>
                <w:rFonts w:ascii="宋体"/>
              </w:rPr>
            </w:pPr>
            <w:r>
              <w:rPr>
                <w:rFonts w:hint="eastAsia" w:ascii="宋体"/>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引进大智移云企业数</w:t>
            </w:r>
          </w:p>
        </w:tc>
        <w:tc>
          <w:tcPr>
            <w:tcW w:w="737" w:type="dxa"/>
            <w:shd w:val="clear" w:color="auto" w:fill="auto"/>
            <w:vAlign w:val="center"/>
          </w:tcPr>
          <w:p>
            <w:pPr>
              <w:spacing w:line="570" w:lineRule="exact"/>
              <w:jc w:val="center"/>
              <w:rPr>
                <w:rFonts w:ascii="宋体"/>
              </w:rPr>
            </w:pPr>
            <w:r>
              <w:rPr>
                <w:rFonts w:hint="eastAsia" w:ascii="宋体"/>
              </w:rPr>
              <w:t>10</w:t>
            </w:r>
          </w:p>
        </w:tc>
        <w:tc>
          <w:tcPr>
            <w:tcW w:w="737" w:type="dxa"/>
            <w:shd w:val="clear" w:color="auto" w:fill="auto"/>
            <w:vAlign w:val="center"/>
          </w:tcPr>
          <w:p>
            <w:pPr>
              <w:spacing w:line="570" w:lineRule="exact"/>
              <w:jc w:val="center"/>
              <w:rPr>
                <w:rFonts w:ascii="宋体"/>
              </w:rPr>
            </w:pPr>
            <w:r>
              <w:rPr>
                <w:rFonts w:hint="eastAsia" w:ascii="宋体"/>
              </w:rPr>
              <w:t>8</w:t>
            </w:r>
          </w:p>
        </w:tc>
        <w:tc>
          <w:tcPr>
            <w:tcW w:w="737" w:type="dxa"/>
            <w:shd w:val="clear" w:color="auto" w:fill="auto"/>
            <w:vAlign w:val="center"/>
          </w:tcPr>
          <w:p>
            <w:pPr>
              <w:spacing w:line="570" w:lineRule="exact"/>
              <w:jc w:val="center"/>
              <w:rPr>
                <w:rFonts w:ascii="宋体"/>
              </w:rPr>
            </w:pPr>
            <w:r>
              <w:rPr>
                <w:rFonts w:hint="eastAsia" w:ascii="宋体"/>
              </w:rPr>
              <w:t>6</w:t>
            </w:r>
          </w:p>
        </w:tc>
        <w:tc>
          <w:tcPr>
            <w:tcW w:w="737" w:type="dxa"/>
            <w:shd w:val="clear" w:color="auto" w:fill="auto"/>
            <w:vAlign w:val="center"/>
          </w:tcPr>
          <w:p>
            <w:pPr>
              <w:spacing w:line="570" w:lineRule="exact"/>
              <w:jc w:val="center"/>
              <w:rPr>
                <w:rFonts w:ascii="宋体"/>
              </w:rPr>
            </w:pPr>
            <w:r>
              <w:rPr>
                <w:rFonts w:hint="eastAsia" w:ascii="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完成淘汰化解过剩（落后）产能任务率</w:t>
            </w:r>
          </w:p>
        </w:tc>
        <w:tc>
          <w:tcPr>
            <w:tcW w:w="737" w:type="dxa"/>
            <w:shd w:val="clear" w:color="auto" w:fill="auto"/>
            <w:vAlign w:val="center"/>
          </w:tcPr>
          <w:p>
            <w:pPr>
              <w:spacing w:line="570" w:lineRule="exact"/>
              <w:jc w:val="center"/>
              <w:rPr>
                <w:rFonts w:ascii="宋体"/>
              </w:rPr>
            </w:pPr>
            <w:r>
              <w:rPr>
                <w:rFonts w:hint="eastAsia" w:ascii="宋体"/>
              </w:rPr>
              <w:t>≥95%</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2、工业和信息化对外交流与合作</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开展对外经济交流与合作，支持企业“走出去”，指导和推动工业企业参加展洽活动，积极开拓国内、国外市场，促进贸易成交和技术交流，追踪前沿动态。推进京津冀工业和信息化协同发展。</w:t>
            </w:r>
          </w:p>
        </w:tc>
        <w:tc>
          <w:tcPr>
            <w:tcW w:w="2976" w:type="dxa"/>
            <w:vMerge w:val="restart"/>
            <w:shd w:val="clear" w:color="auto" w:fill="auto"/>
            <w:vAlign w:val="center"/>
          </w:tcPr>
          <w:p>
            <w:pPr>
              <w:spacing w:line="570" w:lineRule="exact"/>
              <w:jc w:val="left"/>
              <w:rPr>
                <w:rFonts w:ascii="宋体"/>
              </w:rPr>
            </w:pPr>
            <w:r>
              <w:rPr>
                <w:rFonts w:hint="eastAsia" w:ascii="宋体"/>
              </w:rPr>
              <w:t>促进工业企业开展对外经济交流与合作，提升工业对外开放水平</w:t>
            </w:r>
          </w:p>
        </w:tc>
        <w:tc>
          <w:tcPr>
            <w:tcW w:w="1417" w:type="dxa"/>
            <w:shd w:val="clear" w:color="auto" w:fill="auto"/>
            <w:vAlign w:val="center"/>
          </w:tcPr>
          <w:p>
            <w:pPr>
              <w:spacing w:line="570" w:lineRule="exact"/>
              <w:jc w:val="left"/>
              <w:rPr>
                <w:rFonts w:ascii="宋体"/>
              </w:rPr>
            </w:pPr>
            <w:r>
              <w:rPr>
                <w:rFonts w:hint="eastAsia" w:ascii="宋体"/>
              </w:rPr>
              <w:t>意向成交额增长率</w:t>
            </w:r>
          </w:p>
        </w:tc>
        <w:tc>
          <w:tcPr>
            <w:tcW w:w="737" w:type="dxa"/>
            <w:shd w:val="clear" w:color="auto" w:fill="auto"/>
            <w:vAlign w:val="center"/>
          </w:tcPr>
          <w:p>
            <w:pPr>
              <w:spacing w:line="570" w:lineRule="exact"/>
              <w:jc w:val="center"/>
              <w:rPr>
                <w:rFonts w:ascii="宋体"/>
              </w:rPr>
            </w:pPr>
            <w:r>
              <w:rPr>
                <w:rFonts w:hint="eastAsia" w:ascii="宋体"/>
              </w:rPr>
              <w:t>≥4%</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展洽会次数</w:t>
            </w:r>
          </w:p>
        </w:tc>
        <w:tc>
          <w:tcPr>
            <w:tcW w:w="737" w:type="dxa"/>
            <w:shd w:val="clear" w:color="auto" w:fill="auto"/>
            <w:vAlign w:val="center"/>
          </w:tcPr>
          <w:p>
            <w:pPr>
              <w:spacing w:line="570" w:lineRule="exact"/>
              <w:jc w:val="center"/>
              <w:rPr>
                <w:rFonts w:ascii="宋体"/>
              </w:rPr>
            </w:pPr>
            <w:r>
              <w:rPr>
                <w:rFonts w:hint="eastAsia" w:ascii="宋体"/>
              </w:rPr>
              <w:t>≥10</w:t>
            </w:r>
          </w:p>
        </w:tc>
        <w:tc>
          <w:tcPr>
            <w:tcW w:w="737" w:type="dxa"/>
            <w:shd w:val="clear" w:color="auto" w:fill="auto"/>
            <w:vAlign w:val="center"/>
          </w:tcPr>
          <w:p>
            <w:pPr>
              <w:spacing w:line="570" w:lineRule="exact"/>
              <w:jc w:val="center"/>
              <w:rPr>
                <w:rFonts w:ascii="宋体"/>
              </w:rPr>
            </w:pPr>
            <w:r>
              <w:rPr>
                <w:rFonts w:hint="eastAsia" w:ascii="宋体"/>
              </w:rPr>
              <w:t>≥8</w:t>
            </w:r>
          </w:p>
        </w:tc>
        <w:tc>
          <w:tcPr>
            <w:tcW w:w="737" w:type="dxa"/>
            <w:shd w:val="clear" w:color="auto" w:fill="auto"/>
            <w:vAlign w:val="center"/>
          </w:tcPr>
          <w:p>
            <w:pPr>
              <w:spacing w:line="570" w:lineRule="exact"/>
              <w:jc w:val="center"/>
              <w:rPr>
                <w:rFonts w:ascii="宋体"/>
              </w:rPr>
            </w:pPr>
            <w:r>
              <w:rPr>
                <w:rFonts w:hint="eastAsia" w:ascii="宋体"/>
              </w:rPr>
              <w:t>≥6</w:t>
            </w:r>
          </w:p>
        </w:tc>
        <w:tc>
          <w:tcPr>
            <w:tcW w:w="737" w:type="dxa"/>
            <w:shd w:val="clear" w:color="auto" w:fill="auto"/>
            <w:vAlign w:val="center"/>
          </w:tcPr>
          <w:p>
            <w:pPr>
              <w:spacing w:line="570" w:lineRule="exact"/>
              <w:jc w:val="center"/>
              <w:rPr>
                <w:rFonts w:ascii="宋体"/>
              </w:rPr>
            </w:pPr>
            <w:r>
              <w:rPr>
                <w:rFonts w:hint="eastAsia" w:ascii="宋体"/>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企业参加展洽数量（家）</w:t>
            </w:r>
          </w:p>
        </w:tc>
        <w:tc>
          <w:tcPr>
            <w:tcW w:w="737" w:type="dxa"/>
            <w:shd w:val="clear" w:color="auto" w:fill="auto"/>
            <w:vAlign w:val="center"/>
          </w:tcPr>
          <w:p>
            <w:pPr>
              <w:spacing w:line="570" w:lineRule="exact"/>
              <w:jc w:val="center"/>
              <w:rPr>
                <w:rFonts w:ascii="宋体"/>
              </w:rPr>
            </w:pPr>
            <w:r>
              <w:rPr>
                <w:rFonts w:hint="eastAsia" w:ascii="宋体"/>
              </w:rPr>
              <w:t>≥300</w:t>
            </w:r>
          </w:p>
        </w:tc>
        <w:tc>
          <w:tcPr>
            <w:tcW w:w="737" w:type="dxa"/>
            <w:shd w:val="clear" w:color="auto" w:fill="auto"/>
            <w:vAlign w:val="center"/>
          </w:tcPr>
          <w:p>
            <w:pPr>
              <w:spacing w:line="570" w:lineRule="exact"/>
              <w:jc w:val="center"/>
              <w:rPr>
                <w:rFonts w:ascii="宋体"/>
              </w:rPr>
            </w:pPr>
            <w:r>
              <w:rPr>
                <w:rFonts w:hint="eastAsia" w:ascii="宋体"/>
              </w:rPr>
              <w:t>≥250</w:t>
            </w:r>
          </w:p>
        </w:tc>
        <w:tc>
          <w:tcPr>
            <w:tcW w:w="737" w:type="dxa"/>
            <w:shd w:val="clear" w:color="auto" w:fill="auto"/>
            <w:vAlign w:val="center"/>
          </w:tcPr>
          <w:p>
            <w:pPr>
              <w:spacing w:line="570" w:lineRule="exact"/>
              <w:jc w:val="center"/>
              <w:rPr>
                <w:rFonts w:ascii="宋体"/>
              </w:rPr>
            </w:pPr>
            <w:r>
              <w:rPr>
                <w:rFonts w:hint="eastAsia" w:ascii="宋体"/>
              </w:rPr>
              <w:t>≥200</w:t>
            </w:r>
          </w:p>
        </w:tc>
        <w:tc>
          <w:tcPr>
            <w:tcW w:w="737" w:type="dxa"/>
            <w:shd w:val="clear" w:color="auto" w:fill="auto"/>
            <w:vAlign w:val="center"/>
          </w:tcPr>
          <w:p>
            <w:pPr>
              <w:spacing w:line="570" w:lineRule="exact"/>
              <w:jc w:val="center"/>
              <w:rPr>
                <w:rFonts w:ascii="宋体"/>
              </w:rPr>
            </w:pPr>
            <w:r>
              <w:rPr>
                <w:rFonts w:hint="eastAsia" w:ascii="宋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五、开展医药储备工作</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宋体"/>
              </w:rPr>
            </w:pPr>
            <w:r>
              <w:rPr>
                <w:rFonts w:hint="eastAsia" w:ascii="宋体"/>
              </w:rPr>
              <w:t>负责全市医药储备工作</w:t>
            </w:r>
          </w:p>
        </w:tc>
        <w:tc>
          <w:tcPr>
            <w:tcW w:w="2976" w:type="dxa"/>
            <w:shd w:val="clear" w:color="auto" w:fill="auto"/>
            <w:vAlign w:val="center"/>
          </w:tcPr>
          <w:p>
            <w:pPr>
              <w:spacing w:line="570" w:lineRule="exact"/>
              <w:jc w:val="left"/>
              <w:rPr>
                <w:rFonts w:ascii="宋体"/>
              </w:rPr>
            </w:pPr>
            <w:r>
              <w:rPr>
                <w:rFonts w:hint="eastAsia" w:ascii="宋体"/>
              </w:rPr>
              <w:t>切实完成医药储备任务</w:t>
            </w: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1、协调医药储备</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协调相关医药流通企业落实医药储备任务。</w:t>
            </w:r>
          </w:p>
        </w:tc>
        <w:tc>
          <w:tcPr>
            <w:tcW w:w="2976" w:type="dxa"/>
            <w:vMerge w:val="restart"/>
            <w:shd w:val="clear" w:color="auto" w:fill="auto"/>
            <w:vAlign w:val="center"/>
          </w:tcPr>
          <w:p>
            <w:pPr>
              <w:spacing w:line="570" w:lineRule="exact"/>
              <w:jc w:val="left"/>
              <w:rPr>
                <w:rFonts w:ascii="宋体"/>
              </w:rPr>
            </w:pPr>
            <w:r>
              <w:rPr>
                <w:rFonts w:hint="eastAsia" w:ascii="宋体"/>
              </w:rPr>
              <w:t>落实医药储备任务</w:t>
            </w:r>
          </w:p>
        </w:tc>
        <w:tc>
          <w:tcPr>
            <w:tcW w:w="1417" w:type="dxa"/>
            <w:shd w:val="clear" w:color="auto" w:fill="auto"/>
            <w:vAlign w:val="center"/>
          </w:tcPr>
          <w:p>
            <w:pPr>
              <w:spacing w:line="570" w:lineRule="exact"/>
              <w:jc w:val="left"/>
              <w:rPr>
                <w:rFonts w:ascii="宋体"/>
              </w:rPr>
            </w:pPr>
            <w:r>
              <w:rPr>
                <w:rFonts w:hint="eastAsia" w:ascii="宋体"/>
              </w:rPr>
              <w:t>医药储备任务完成率</w:t>
            </w:r>
          </w:p>
        </w:tc>
        <w:tc>
          <w:tcPr>
            <w:tcW w:w="737" w:type="dxa"/>
            <w:shd w:val="clear" w:color="auto" w:fill="auto"/>
            <w:vAlign w:val="center"/>
          </w:tcPr>
          <w:p>
            <w:pPr>
              <w:spacing w:line="570" w:lineRule="exact"/>
              <w:jc w:val="center"/>
              <w:rPr>
                <w:rFonts w:ascii="宋体"/>
              </w:rPr>
            </w:pPr>
            <w:r>
              <w:rPr>
                <w:rFonts w:hint="eastAsia" w:ascii="宋体"/>
              </w:rPr>
              <w:t>≥70%</w:t>
            </w: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r>
              <w:rPr>
                <w:rFonts w:hint="eastAsia" w:ascii="宋体"/>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完成进度</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≥75%</w:t>
            </w:r>
          </w:p>
        </w:tc>
        <w:tc>
          <w:tcPr>
            <w:tcW w:w="737" w:type="dxa"/>
            <w:shd w:val="clear" w:color="auto" w:fill="auto"/>
            <w:vAlign w:val="center"/>
          </w:tcPr>
          <w:p>
            <w:pPr>
              <w:spacing w:line="570" w:lineRule="exact"/>
              <w:jc w:val="center"/>
              <w:rPr>
                <w:rFonts w:ascii="宋体"/>
              </w:rPr>
            </w:pPr>
            <w:r>
              <w:rPr>
                <w:rFonts w:hint="eastAsia" w:ascii="宋体"/>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完成范围</w:t>
            </w:r>
          </w:p>
        </w:tc>
        <w:tc>
          <w:tcPr>
            <w:tcW w:w="737" w:type="dxa"/>
            <w:shd w:val="clear" w:color="auto" w:fill="auto"/>
            <w:vAlign w:val="center"/>
          </w:tcPr>
          <w:p>
            <w:pPr>
              <w:spacing w:line="570" w:lineRule="exact"/>
              <w:jc w:val="center"/>
              <w:rPr>
                <w:rFonts w:ascii="宋体"/>
              </w:rPr>
            </w:pPr>
            <w:r>
              <w:rPr>
                <w:rFonts w:hint="eastAsia" w:ascii="宋体"/>
              </w:rPr>
              <w:t>≥90%</w:t>
            </w:r>
          </w:p>
        </w:tc>
        <w:tc>
          <w:tcPr>
            <w:tcW w:w="737" w:type="dxa"/>
            <w:shd w:val="clear" w:color="auto" w:fill="auto"/>
            <w:vAlign w:val="center"/>
          </w:tcPr>
          <w:p>
            <w:pPr>
              <w:spacing w:line="570" w:lineRule="exact"/>
              <w:jc w:val="center"/>
              <w:rPr>
                <w:rFonts w:ascii="宋体"/>
              </w:rPr>
            </w:pPr>
            <w:r>
              <w:rPr>
                <w:rFonts w:hint="eastAsia" w:ascii="宋体"/>
              </w:rPr>
              <w:t>≥80%</w:t>
            </w:r>
          </w:p>
        </w:tc>
        <w:tc>
          <w:tcPr>
            <w:tcW w:w="737" w:type="dxa"/>
            <w:shd w:val="clear" w:color="auto" w:fill="auto"/>
            <w:vAlign w:val="center"/>
          </w:tcPr>
          <w:p>
            <w:pPr>
              <w:spacing w:line="570" w:lineRule="exact"/>
              <w:jc w:val="center"/>
              <w:rPr>
                <w:rFonts w:ascii="宋体"/>
              </w:rPr>
            </w:pPr>
            <w:r>
              <w:rPr>
                <w:rFonts w:hint="eastAsia" w:ascii="宋体"/>
              </w:rPr>
              <w:t>≥75%</w:t>
            </w:r>
          </w:p>
        </w:tc>
        <w:tc>
          <w:tcPr>
            <w:tcW w:w="737" w:type="dxa"/>
            <w:shd w:val="clear" w:color="auto" w:fill="auto"/>
            <w:vAlign w:val="center"/>
          </w:tcPr>
          <w:p>
            <w:pPr>
              <w:spacing w:line="570" w:lineRule="exact"/>
              <w:jc w:val="center"/>
              <w:rPr>
                <w:rFonts w:ascii="宋体"/>
              </w:rPr>
            </w:pPr>
            <w:r>
              <w:rPr>
                <w:rFonts w:hint="eastAsia" w:ascii="宋体"/>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六、推进军民融合发展</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宋体"/>
              </w:rPr>
            </w:pPr>
            <w:r>
              <w:rPr>
                <w:rFonts w:hint="eastAsia" w:ascii="宋体"/>
              </w:rPr>
              <w:t>贯彻执行有关国防科技工业的方针政策，对本辖区军工企业事业单位和民口军品配套企业进行监管、服务，负责本辖区军品科研生产计划的督促检查，负责本辖区民用爆破器材企业生产、销售、存贮环节的监督管理工作。</w:t>
            </w:r>
          </w:p>
        </w:tc>
        <w:tc>
          <w:tcPr>
            <w:tcW w:w="2976" w:type="dxa"/>
            <w:shd w:val="clear" w:color="auto" w:fill="auto"/>
            <w:vAlign w:val="center"/>
          </w:tcPr>
          <w:p>
            <w:pPr>
              <w:spacing w:line="570" w:lineRule="exact"/>
              <w:jc w:val="left"/>
              <w:rPr>
                <w:rFonts w:ascii="宋体"/>
              </w:rPr>
            </w:pPr>
            <w:r>
              <w:rPr>
                <w:rFonts w:hint="eastAsia" w:ascii="宋体"/>
              </w:rPr>
              <w:t>提升军民融合发展水平，提高行业监管和服务水平。</w:t>
            </w:r>
          </w:p>
        </w:tc>
        <w:tc>
          <w:tcPr>
            <w:tcW w:w="1417" w:type="dxa"/>
            <w:shd w:val="clear" w:color="auto" w:fill="auto"/>
            <w:vAlign w:val="center"/>
          </w:tcPr>
          <w:p>
            <w:pPr>
              <w:spacing w:line="570" w:lineRule="exact"/>
              <w:jc w:val="left"/>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c>
          <w:tcPr>
            <w:tcW w:w="737" w:type="dxa"/>
            <w:shd w:val="clear" w:color="auto" w:fill="auto"/>
            <w:vAlign w:val="center"/>
          </w:tcPr>
          <w:p>
            <w:pPr>
              <w:spacing w:line="57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1、推进军民融合发展</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宋体"/>
              </w:rPr>
            </w:pPr>
            <w:r>
              <w:rPr>
                <w:rFonts w:hint="eastAsia" w:ascii="宋体"/>
              </w:rPr>
              <w:t>宣传有关国防科技工业的方针政策，加强与军工集团和科研院所的对接交流与合作，组织本辖区企业军品科研生产计划的督促检查，鼓励发展军民融合型企业，加强军民融合产业园区和示范基地建设，对辖区民爆企业生产组织监督检查。</w:t>
            </w:r>
          </w:p>
        </w:tc>
        <w:tc>
          <w:tcPr>
            <w:tcW w:w="2976" w:type="dxa"/>
            <w:vMerge w:val="restart"/>
            <w:shd w:val="clear" w:color="auto" w:fill="auto"/>
            <w:vAlign w:val="center"/>
          </w:tcPr>
          <w:p>
            <w:pPr>
              <w:spacing w:line="570" w:lineRule="exact"/>
              <w:jc w:val="left"/>
              <w:rPr>
                <w:rFonts w:ascii="宋体"/>
              </w:rPr>
            </w:pPr>
            <w:r>
              <w:rPr>
                <w:rFonts w:hint="eastAsia" w:ascii="宋体"/>
              </w:rPr>
              <w:t>提升军民融合发展水平，扩大军民融合企业规模和数量</w:t>
            </w:r>
          </w:p>
        </w:tc>
        <w:tc>
          <w:tcPr>
            <w:tcW w:w="1417" w:type="dxa"/>
            <w:shd w:val="clear" w:color="auto" w:fill="auto"/>
            <w:vAlign w:val="center"/>
          </w:tcPr>
          <w:p>
            <w:pPr>
              <w:spacing w:line="570" w:lineRule="exact"/>
              <w:jc w:val="left"/>
              <w:rPr>
                <w:rFonts w:ascii="宋体"/>
              </w:rPr>
            </w:pPr>
            <w:r>
              <w:rPr>
                <w:rFonts w:hint="eastAsia" w:ascii="宋体"/>
              </w:rPr>
              <w:t>军民融合企业数量</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军民结合服务平台建设</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rPr>
            </w:pPr>
            <w:r>
              <w:rPr>
                <w:rFonts w:hint="eastAsia" w:ascii="宋体"/>
              </w:rPr>
              <w:t>军民融合示范基地数量</w:t>
            </w:r>
          </w:p>
        </w:tc>
        <w:tc>
          <w:tcPr>
            <w:tcW w:w="737" w:type="dxa"/>
            <w:shd w:val="clear" w:color="auto" w:fill="auto"/>
            <w:vAlign w:val="center"/>
          </w:tcPr>
          <w:p>
            <w:pPr>
              <w:spacing w:line="570" w:lineRule="exact"/>
              <w:jc w:val="center"/>
              <w:rPr>
                <w:rFonts w:ascii="宋体"/>
              </w:rPr>
            </w:pPr>
            <w:r>
              <w:rPr>
                <w:rFonts w:hint="eastAsia" w:ascii="宋体"/>
              </w:rPr>
              <w:t>5</w:t>
            </w:r>
          </w:p>
        </w:tc>
        <w:tc>
          <w:tcPr>
            <w:tcW w:w="737" w:type="dxa"/>
            <w:shd w:val="clear" w:color="auto" w:fill="auto"/>
            <w:vAlign w:val="center"/>
          </w:tcPr>
          <w:p>
            <w:pPr>
              <w:spacing w:line="570" w:lineRule="exact"/>
              <w:jc w:val="center"/>
              <w:rPr>
                <w:rFonts w:ascii="宋体"/>
              </w:rPr>
            </w:pPr>
            <w:r>
              <w:rPr>
                <w:rFonts w:hint="eastAsia" w:ascii="宋体"/>
              </w:rPr>
              <w:t>3</w:t>
            </w:r>
          </w:p>
        </w:tc>
        <w:tc>
          <w:tcPr>
            <w:tcW w:w="737" w:type="dxa"/>
            <w:shd w:val="clear" w:color="auto" w:fill="auto"/>
            <w:vAlign w:val="center"/>
          </w:tcPr>
          <w:p>
            <w:pPr>
              <w:spacing w:line="570" w:lineRule="exact"/>
              <w:jc w:val="center"/>
              <w:rPr>
                <w:rFonts w:ascii="宋体"/>
              </w:rPr>
            </w:pPr>
            <w:r>
              <w:rPr>
                <w:rFonts w:hint="eastAsia" w:ascii="宋体"/>
              </w:rPr>
              <w:t>2</w:t>
            </w:r>
          </w:p>
        </w:tc>
        <w:tc>
          <w:tcPr>
            <w:tcW w:w="737" w:type="dxa"/>
            <w:shd w:val="clear" w:color="auto" w:fill="auto"/>
            <w:vAlign w:val="center"/>
          </w:tcPr>
          <w:p>
            <w:pPr>
              <w:spacing w:line="570" w:lineRule="exact"/>
              <w:jc w:val="center"/>
              <w:rPr>
                <w:rFonts w:ascii="宋体"/>
              </w:rPr>
            </w:pPr>
            <w:r>
              <w:rPr>
                <w:rFonts w:hint="eastAsia" w:ascii="宋体"/>
              </w:rPr>
              <w:t>1</w:t>
            </w:r>
          </w:p>
        </w:tc>
      </w:tr>
    </w:tbl>
    <w:p>
      <w:pPr>
        <w:spacing w:line="570" w:lineRule="exact"/>
        <w:jc w:val="left"/>
        <w:outlineLvl w:val="0"/>
        <w:sectPr>
          <w:pgSz w:w="16839" w:h="11907" w:orient="landscape"/>
          <w:pgMar w:top="1020" w:right="1361" w:bottom="1020" w:left="1361" w:header="851" w:footer="992" w:gutter="0"/>
          <w:cols w:space="720" w:num="1"/>
          <w:docGrid w:type="lines" w:linePitch="312" w:charSpace="0"/>
        </w:sect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 xml:space="preserve"> 2018年，我部门无安排政府采购预算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宋体"/>
                <w:sz w:val="24"/>
              </w:rPr>
              <w:t>廊坊市广阳区工业经济运行局</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bl>
    <w:p>
      <w:pPr>
        <w:spacing w:line="570" w:lineRule="exact"/>
        <w:outlineLvl w:val="0"/>
        <w:rPr>
          <w:rFonts w:ascii="仿宋_GB2312" w:eastAsia="仿宋_GB2312" w:cs="宋体"/>
          <w:b/>
          <w:bCs/>
          <w:color w:val="000000"/>
          <w:kern w:val="0"/>
          <w:sz w:val="32"/>
          <w:szCs w:val="32"/>
        </w:rPr>
      </w:pPr>
    </w:p>
    <w:p>
      <w:pPr>
        <w:widowControl/>
        <w:spacing w:line="570" w:lineRule="exac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广阳区工业经济运行局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上年末固定资产金额为30.14万元，我部门本年度无拟购置固定资产。</w:t>
      </w:r>
    </w:p>
    <w:tbl>
      <w:tblPr>
        <w:tblStyle w:val="4"/>
        <w:tblW w:w="11247" w:type="dxa"/>
        <w:jc w:val="center"/>
        <w:tblCellSpacing w:w="0" w:type="dxa"/>
        <w:tblLayout w:type="fixed"/>
        <w:tblCellMar>
          <w:top w:w="0" w:type="dxa"/>
          <w:left w:w="0" w:type="dxa"/>
          <w:bottom w:w="0" w:type="dxa"/>
          <w:right w:w="0" w:type="dxa"/>
        </w:tblCellMar>
      </w:tblPr>
      <w:tblGrid>
        <w:gridCol w:w="4110"/>
        <w:gridCol w:w="2479"/>
        <w:gridCol w:w="4658"/>
      </w:tblGrid>
      <w:tr>
        <w:tblPrEx>
          <w:tblCellMar>
            <w:top w:w="0" w:type="dxa"/>
            <w:left w:w="0" w:type="dxa"/>
            <w:bottom w:w="0" w:type="dxa"/>
            <w:right w:w="0" w:type="dxa"/>
          </w:tblCellMar>
        </w:tblPrEx>
        <w:trPr>
          <w:trHeight w:val="705" w:hRule="atLeast"/>
          <w:tblCellSpacing w:w="0" w:type="dxa"/>
          <w:jc w:val="center"/>
        </w:trPr>
        <w:tc>
          <w:tcPr>
            <w:tcW w:w="11247" w:type="dxa"/>
            <w:gridSpan w:val="3"/>
            <w:noWrap/>
            <w:vAlign w:val="center"/>
          </w:tcPr>
          <w:p>
            <w:pPr>
              <w:widowControl/>
              <w:spacing w:line="570" w:lineRule="exact"/>
              <w:jc w:val="center"/>
              <w:rPr>
                <w:rFonts w:ascii="宋体" w:cs="宋体"/>
                <w:kern w:val="0"/>
                <w:sz w:val="32"/>
                <w:szCs w:val="32"/>
              </w:rPr>
            </w:pPr>
            <w:r>
              <w:rPr>
                <w:rFonts w:ascii="宋体" w:hAnsi="宋体" w:eastAsia="仿宋_GB2312" w:cs="宋体"/>
                <w:kern w:val="0"/>
                <w:sz w:val="28"/>
                <w:szCs w:val="28"/>
              </w:rPr>
              <w:t> </w:t>
            </w:r>
            <w:r>
              <w:rPr>
                <w:rFonts w:hint="eastAsia" w:ascii="宋体" w:cs="宋体"/>
                <w:b/>
                <w:bCs/>
                <w:kern w:val="0"/>
                <w:sz w:val="32"/>
                <w:szCs w:val="32"/>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9" w:type="dxa"/>
            <w:gridSpan w:val="2"/>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编制部门：</w:t>
            </w:r>
            <w:r>
              <w:rPr>
                <w:rFonts w:hint="eastAsia" w:ascii="宋体" w:cs="宋体"/>
                <w:b/>
                <w:bCs/>
                <w:kern w:val="0"/>
                <w:sz w:val="32"/>
                <w:szCs w:val="32"/>
              </w:rPr>
              <w:t>廊坊市广阳区工业经济运行局</w:t>
            </w:r>
          </w:p>
        </w:tc>
        <w:tc>
          <w:tcPr>
            <w:tcW w:w="4658" w:type="dxa"/>
            <w:noWrap/>
            <w:vAlign w:val="center"/>
          </w:tcPr>
          <w:p>
            <w:pPr>
              <w:widowControl/>
              <w:spacing w:line="570" w:lineRule="exact"/>
              <w:rPr>
                <w:rFonts w:ascii="宋体" w:cs="宋体"/>
                <w:kern w:val="0"/>
                <w:sz w:val="32"/>
                <w:szCs w:val="32"/>
              </w:rPr>
            </w:pPr>
            <w:r>
              <w:rPr>
                <w:rFonts w:hint="eastAsia" w:ascii="宋体" w:cs="宋体"/>
                <w:kern w:val="0"/>
                <w:sz w:val="32"/>
                <w:szCs w:val="32"/>
              </w:rPr>
              <w:t>截止时间：201</w:t>
            </w:r>
            <w:r>
              <w:rPr>
                <w:rFonts w:ascii="宋体" w:cs="宋体"/>
                <w:kern w:val="0"/>
                <w:sz w:val="32"/>
                <w:szCs w:val="32"/>
              </w:rPr>
              <w:t>7</w:t>
            </w:r>
            <w:r>
              <w:rPr>
                <w:rFonts w:hint="eastAsia" w:ascii="宋体" w:cs="宋体"/>
                <w:kern w:val="0"/>
                <w:sz w:val="32"/>
                <w:szCs w:val="32"/>
              </w:rPr>
              <w:t>年12月31日</w:t>
            </w:r>
            <w:r>
              <w:rPr>
                <w:rFonts w:ascii="宋体" w:cs="宋体"/>
                <w:kern w:val="0"/>
                <w:sz w:val="32"/>
                <w:szCs w:val="32"/>
              </w:rPr>
              <w:t> </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b/>
                <w:bCs/>
                <w:kern w:val="0"/>
                <w:sz w:val="32"/>
                <w:szCs w:val="32"/>
              </w:rPr>
              <w:t>项</w:t>
            </w:r>
            <w:r>
              <w:rPr>
                <w:rFonts w:ascii="宋体" w:cs="宋体"/>
                <w:b/>
                <w:bCs/>
                <w:kern w:val="0"/>
                <w:sz w:val="32"/>
                <w:szCs w:val="32"/>
              </w:rPr>
              <w:t xml:space="preserve">   </w:t>
            </w:r>
            <w:r>
              <w:rPr>
                <w:rFonts w:hint="eastAsia" w:ascii="宋体" w:cs="宋体"/>
                <w:b/>
                <w:bCs/>
                <w:kern w:val="0"/>
                <w:sz w:val="32"/>
                <w:szCs w:val="32"/>
              </w:rPr>
              <w:t>目</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b/>
                <w:bCs/>
                <w:kern w:val="0"/>
                <w:sz w:val="32"/>
                <w:szCs w:val="32"/>
              </w:rPr>
              <w:t>数量</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b/>
                <w:bCs/>
                <w:kern w:val="0"/>
                <w:sz w:val="32"/>
                <w:szCs w:val="32"/>
              </w:rPr>
              <w:t>价值（金额单位：万元）</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资产总额</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65</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30.14</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1、房屋（平方米）</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0</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0</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ascii="宋体" w:cs="宋体"/>
                <w:kern w:val="0"/>
                <w:sz w:val="32"/>
                <w:szCs w:val="32"/>
              </w:rPr>
              <w:t xml:space="preserve">   </w:t>
            </w:r>
            <w:r>
              <w:rPr>
                <w:rFonts w:hint="eastAsia" w:ascii="宋体" w:cs="宋体"/>
                <w:kern w:val="0"/>
                <w:sz w:val="32"/>
                <w:szCs w:val="32"/>
              </w:rPr>
              <w:t>其中：办公用房（平方米）</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0</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0</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2、车辆（台、辆）</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1</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18</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cs="宋体"/>
                <w:kern w:val="0"/>
                <w:sz w:val="32"/>
                <w:szCs w:val="32"/>
              </w:rPr>
            </w:pPr>
            <w:r>
              <w:rPr>
                <w:rFonts w:hint="eastAsia" w:ascii="宋体" w:cs="宋体"/>
                <w:kern w:val="0"/>
                <w:sz w:val="32"/>
                <w:szCs w:val="32"/>
              </w:rPr>
              <w:t>3、单价在50万元以上的设备</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0</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0</w:t>
            </w:r>
          </w:p>
        </w:tc>
      </w:tr>
      <w:tr>
        <w:tblPrEx>
          <w:tblCellMar>
            <w:top w:w="0" w:type="dxa"/>
            <w:left w:w="0" w:type="dxa"/>
            <w:bottom w:w="0" w:type="dxa"/>
            <w:right w:w="0" w:type="dxa"/>
          </w:tblCellMar>
        </w:tblPrEx>
        <w:trPr>
          <w:trHeight w:val="645" w:hRule="atLeast"/>
          <w:tblCellSpacing w:w="0" w:type="dxa"/>
          <w:jc w:val="center"/>
        </w:trPr>
        <w:tc>
          <w:tcPr>
            <w:tcW w:w="411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4、其他固定资产</w:t>
            </w:r>
          </w:p>
        </w:tc>
        <w:tc>
          <w:tcPr>
            <w:tcW w:w="2479"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64</w:t>
            </w:r>
          </w:p>
        </w:tc>
        <w:tc>
          <w:tcPr>
            <w:tcW w:w="4658"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宋体"/>
                <w:kern w:val="0"/>
                <w:sz w:val="32"/>
                <w:szCs w:val="32"/>
              </w:rPr>
            </w:pPr>
            <w:r>
              <w:rPr>
                <w:rFonts w:hint="eastAsia" w:ascii="宋体" w:cs="宋体"/>
                <w:kern w:val="0"/>
                <w:sz w:val="32"/>
                <w:szCs w:val="32"/>
              </w:rPr>
              <w:t>12.14</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AA79B9"/>
    <w:rsid w:val="004901A6"/>
    <w:rsid w:val="006A78FE"/>
    <w:rsid w:val="00AA79B9"/>
    <w:rsid w:val="00AD099E"/>
    <w:rsid w:val="00C53D2C"/>
    <w:rsid w:val="5F835CAB"/>
    <w:rsid w:val="71E9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p.2"/>
    <w:basedOn w:val="1"/>
    <w:uiPriority w:val="0"/>
    <w:pPr>
      <w:widowControl/>
      <w:autoSpaceDE w:val="0"/>
      <w:autoSpaceDN w:val="0"/>
      <w:adjustRightInd w:val="0"/>
    </w:pPr>
    <w:rPr>
      <w:rFonts w:ascii="Times New Roman" w:hAnsi="Times New Roman" w:cs="Times New Roman"/>
      <w:kern w:val="0"/>
      <w:szCs w:val="21"/>
    </w:rPr>
  </w:style>
  <w:style w:type="paragraph" w:customStyle="1" w:styleId="9">
    <w:name w:val="p.MsoNormal"/>
    <w:basedOn w:val="1"/>
    <w:uiPriority w:val="0"/>
    <w:pPr>
      <w:widowControl/>
      <w:autoSpaceDE w:val="0"/>
      <w:autoSpaceDN w:val="0"/>
      <w:adjustRightInd w:val="0"/>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1322</Words>
  <Characters>7537</Characters>
  <Lines>62</Lines>
  <Paragraphs>17</Paragraphs>
  <TotalTime>0</TotalTime>
  <ScaleCrop>false</ScaleCrop>
  <LinksUpToDate>false</LinksUpToDate>
  <CharactersWithSpaces>8842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2018-02-22T02:55:00Z</dcterms:created>
  <dc:creator>lenovo</dc:creator>
  <cp:lastModifiedBy>Administrator</cp:lastModifiedBy>
  <dcterms:modified xsi:type="dcterms:W3CDTF">2024-01-18T01:52:20Z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9274639D2B5F47F598ECEA41D47C7245</vt:lpwstr>
  </property>
</Properties>
</file>