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廊坊市广阳区统计局201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w:t>
      </w:r>
      <w:r>
        <w:rPr>
          <w:rFonts w:hint="eastAsia" w:ascii="仿宋_GB2312" w:eastAsia="仿宋_GB2312" w:cs="宋体"/>
          <w:color w:val="000000"/>
          <w:kern w:val="0"/>
          <w:sz w:val="32"/>
          <w:szCs w:val="32"/>
          <w:lang w:eastAsia="zh-CN"/>
        </w:rPr>
        <w:t>统计</w:t>
      </w:r>
      <w:r>
        <w:rPr>
          <w:rFonts w:hint="eastAsia" w:ascii="仿宋_GB2312" w:eastAsia="仿宋_GB2312" w:cs="宋体"/>
          <w:color w:val="000000"/>
          <w:kern w:val="0"/>
          <w:sz w:val="32"/>
          <w:szCs w:val="32"/>
        </w:rPr>
        <w:t>局</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pStyle w:val="8"/>
        <w:widowControl/>
        <w:numPr>
          <w:ilvl w:val="0"/>
          <w:numId w:val="1"/>
        </w:numPr>
        <w:tabs>
          <w:tab w:val="left" w:pos="0"/>
        </w:tabs>
        <w:spacing w:line="360" w:lineRule="atLeast"/>
        <w:ind w:left="639" w:leftChars="228" w:hanging="160" w:hangingChars="50"/>
        <w:jc w:val="left"/>
        <w:rPr>
          <w:rFonts w:ascii="仿宋_GB2312" w:eastAsia="仿宋_GB2312" w:cs="宋体"/>
          <w:color w:val="000000"/>
          <w:kern w:val="0"/>
          <w:sz w:val="32"/>
          <w:szCs w:val="32"/>
        </w:rPr>
      </w:pPr>
      <w:r>
        <w:rPr>
          <w:rFonts w:hint="eastAsia" w:ascii="黑体" w:eastAsia="黑体" w:cs="宋体"/>
          <w:bCs/>
          <w:color w:val="000000"/>
          <w:kern w:val="0"/>
          <w:sz w:val="32"/>
          <w:szCs w:val="32"/>
        </w:rPr>
        <w:t>部门职责及机构设置情况</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 xml:space="preserve">    </w:t>
      </w:r>
      <w:r>
        <w:rPr>
          <w:rFonts w:hint="eastAsia" w:ascii="楷体" w:hAnsi="楷体" w:eastAsia="楷体"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 xml:space="preserve">    （一）贯彻执行国家、省建立的国民经济核算体系，统计指标体系和全国统一的基本统计报表制度；完善和统一管理全区各项核算制度；组织、管理、协调各乡（镇、办事处）、各部门统计工作和国民经济核算工作；统一组织、管理全区的统计报表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 xml:space="preserve">    （二）在区政府统一领导下，会同有关部门统一组织领导完成国家、省和市的重大国情国力、省情省力、市情市力、区情区力普查和抽样调查；统一组织协调管理各乡（镇、办事处）、各部门的社会经济调查；审查各乡（镇、办事处）和区政府各部门的统计调查计划、调查方案；组织完成国家、省、市布置的各项调查任务，搜集、整理、提供全区的基本统计资料；对国民经济、科技进步和社会发展等情况进行统计分析、统计预测和统计监督，向区委、区政府及有关部门提供统计信息和咨询建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 xml:space="preserve">    （三）建立健全和管理乡以上国家信息自动化和统计数据库体系；组织协调和统一管理全区数据库网络。</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楷体" w:hAnsi="楷体" w:eastAsia="楷体" w:cs="宋体"/>
          <w:b/>
          <w:bCs/>
          <w:color w:val="000000"/>
          <w:kern w:val="0"/>
          <w:sz w:val="32"/>
          <w:szCs w:val="32"/>
        </w:rPr>
        <w:t>机构设置：</w:t>
      </w:r>
    </w:p>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3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6"/>
        <w:gridCol w:w="2073"/>
        <w:gridCol w:w="1786"/>
        <w:gridCol w:w="4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Cs/>
                <w:kern w:val="0"/>
                <w:sz w:val="32"/>
                <w:szCs w:val="32"/>
              </w:rPr>
            </w:pPr>
            <w:r>
              <w:rPr>
                <w:rFonts w:hint="eastAsia" w:ascii="仿宋_GB2312" w:eastAsia="仿宋_GB2312" w:cs="宋体"/>
                <w:bCs/>
                <w:kern w:val="0"/>
                <w:sz w:val="32"/>
                <w:szCs w:val="32"/>
              </w:rPr>
              <w:t>单位名称</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Cs/>
                <w:kern w:val="0"/>
                <w:sz w:val="32"/>
                <w:szCs w:val="32"/>
              </w:rPr>
            </w:pPr>
            <w:r>
              <w:rPr>
                <w:rFonts w:hint="eastAsia" w:ascii="仿宋_GB2312" w:eastAsia="仿宋_GB2312" w:cs="宋体"/>
                <w:bCs/>
                <w:kern w:val="0"/>
                <w:sz w:val="32"/>
                <w:szCs w:val="32"/>
              </w:rPr>
              <w:t>单位性质</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Cs/>
                <w:kern w:val="0"/>
                <w:sz w:val="32"/>
                <w:szCs w:val="32"/>
              </w:rPr>
            </w:pPr>
            <w:r>
              <w:rPr>
                <w:rFonts w:hint="eastAsia" w:ascii="仿宋_GB2312" w:eastAsia="仿宋_GB2312" w:cs="宋体"/>
                <w:bCs/>
                <w:kern w:val="0"/>
                <w:sz w:val="32"/>
                <w:szCs w:val="32"/>
              </w:rPr>
              <w:t>单位规格</w:t>
            </w:r>
          </w:p>
        </w:tc>
        <w:tc>
          <w:tcPr>
            <w:tcW w:w="426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Cs/>
                <w:kern w:val="0"/>
                <w:sz w:val="32"/>
                <w:szCs w:val="32"/>
              </w:rPr>
            </w:pPr>
            <w:r>
              <w:rPr>
                <w:rFonts w:hint="eastAsia" w:ascii="仿宋_GB2312" w:eastAsia="仿宋_GB2312" w:cs="宋体"/>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2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廊坊市广阳区统计局</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426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统计局</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360" w:lineRule="atLeas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360" w:lineRule="atLeas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年预算收入594.91万元，其中：一般公共预算收入594.91万元，政府性基金收入0万元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事业收入0万元，其他收入0万元。</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ind w:firstLine="640"/>
        <w:rPr>
          <w:rFonts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rPr>
        <w:t>2018</w:t>
      </w:r>
      <w:r>
        <w:rPr>
          <w:rFonts w:ascii="仿宋_GB2312" w:eastAsia="仿宋_GB2312" w:cs="宋体"/>
          <w:color w:val="000000"/>
          <w:kern w:val="0"/>
          <w:sz w:val="32"/>
          <w:szCs w:val="32"/>
        </w:rPr>
        <w:t>年度部门预算中支出预算的总体情况。201</w:t>
      </w:r>
      <w:r>
        <w:rPr>
          <w:rFonts w:hint="eastAsia" w:ascii="仿宋_GB2312" w:eastAsia="仿宋_GB2312" w:cs="宋体"/>
          <w:color w:val="000000"/>
          <w:kern w:val="0"/>
          <w:sz w:val="32"/>
          <w:szCs w:val="32"/>
        </w:rPr>
        <w:t>8</w:t>
      </w:r>
      <w:r>
        <w:rPr>
          <w:rFonts w:ascii="仿宋_GB2312" w:eastAsia="仿宋_GB2312" w:cs="宋体"/>
          <w:color w:val="000000"/>
          <w:kern w:val="0"/>
          <w:sz w:val="32"/>
          <w:szCs w:val="32"/>
        </w:rPr>
        <w:t>年支出预算</w:t>
      </w:r>
      <w:r>
        <w:rPr>
          <w:rFonts w:hint="eastAsia" w:ascii="仿宋_GB2312" w:eastAsia="仿宋_GB2312" w:cs="宋体"/>
          <w:color w:val="000000"/>
          <w:kern w:val="0"/>
          <w:sz w:val="32"/>
          <w:szCs w:val="32"/>
        </w:rPr>
        <w:t>594.91</w:t>
      </w:r>
      <w:r>
        <w:rPr>
          <w:rFonts w:ascii="仿宋_GB2312" w:eastAsia="仿宋_GB2312" w:cs="宋体"/>
          <w:color w:val="000000"/>
          <w:kern w:val="0"/>
          <w:sz w:val="32"/>
          <w:szCs w:val="32"/>
        </w:rPr>
        <w:t>万元，其中基本支出</w:t>
      </w:r>
      <w:r>
        <w:rPr>
          <w:rFonts w:hint="eastAsia" w:ascii="仿宋_GB2312" w:eastAsia="仿宋_GB2312" w:cs="宋体"/>
          <w:color w:val="000000"/>
          <w:kern w:val="0"/>
          <w:sz w:val="32"/>
          <w:szCs w:val="32"/>
        </w:rPr>
        <w:t>527.51</w:t>
      </w:r>
      <w:r>
        <w:rPr>
          <w:rFonts w:ascii="仿宋_GB2312" w:eastAsia="仿宋_GB2312" w:cs="宋体"/>
          <w:color w:val="000000"/>
          <w:kern w:val="0"/>
          <w:sz w:val="32"/>
          <w:szCs w:val="32"/>
        </w:rPr>
        <w:t>万元，包括人员经费484.94</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和日常公用经费42.57</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；项目支出</w:t>
      </w:r>
      <w:r>
        <w:rPr>
          <w:rFonts w:hint="eastAsia" w:ascii="仿宋_GB2312" w:eastAsia="仿宋_GB2312" w:cs="宋体"/>
          <w:color w:val="000000"/>
          <w:kern w:val="0"/>
          <w:sz w:val="32"/>
          <w:szCs w:val="32"/>
        </w:rPr>
        <w:t>67.4</w:t>
      </w:r>
      <w:r>
        <w:rPr>
          <w:rFonts w:ascii="仿宋_GB2312" w:eastAsia="仿宋_GB2312" w:cs="宋体"/>
          <w:color w:val="000000"/>
          <w:kern w:val="0"/>
          <w:sz w:val="32"/>
          <w:szCs w:val="32"/>
        </w:rPr>
        <w:t>万元，包括本级支出</w:t>
      </w:r>
      <w:r>
        <w:rPr>
          <w:rFonts w:hint="eastAsia" w:ascii="仿宋_GB2312" w:eastAsia="仿宋_GB2312" w:cs="宋体"/>
          <w:color w:val="000000"/>
          <w:kern w:val="0"/>
          <w:sz w:val="32"/>
          <w:szCs w:val="32"/>
          <w:lang w:eastAsia="zh-CN"/>
        </w:rPr>
        <w:t>，主要为全国经济普查费</w:t>
      </w:r>
      <w:r>
        <w:rPr>
          <w:rFonts w:hint="eastAsia" w:ascii="仿宋_GB2312" w:eastAsia="仿宋_GB2312" w:cs="宋体"/>
          <w:color w:val="000000"/>
          <w:kern w:val="0"/>
          <w:sz w:val="32"/>
          <w:szCs w:val="32"/>
          <w:lang w:val="en-US" w:eastAsia="zh-CN"/>
        </w:rPr>
        <w:t>24万元，统计执法检查1万元，劳动力调查2万元，文化产业调查2万元，四上企业统计补助38</w:t>
      </w:r>
      <w:r>
        <w:rPr>
          <w:rFonts w:hint="eastAsia" w:ascii="仿宋_GB2312" w:eastAsia="仿宋_GB2312" w:cs="宋体"/>
          <w:color w:val="000000"/>
          <w:kern w:val="0"/>
          <w:sz w:val="32"/>
          <w:szCs w:val="32"/>
        </w:rPr>
        <w:t>.4万元</w:t>
      </w:r>
      <w:r>
        <w:rPr>
          <w:rFonts w:ascii="仿宋_GB2312" w:eastAsia="仿宋_GB2312" w:cs="宋体"/>
          <w:color w:val="000000"/>
          <w:kern w:val="0"/>
          <w:sz w:val="32"/>
          <w:szCs w:val="32"/>
        </w:rPr>
        <w:t>。</w:t>
      </w:r>
    </w:p>
    <w:p>
      <w:pPr>
        <w:widowControl/>
        <w:spacing w:line="360" w:lineRule="atLeas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360" w:lineRule="atLeas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年预算收支安排594.91万元，较201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年预算增加113.4万元，其中：基本支出增加46万元，主要为增加人员经费支出；项目支出增加67.4万元，主要为全国经济普查、统计执法检查、劳动力调查、文化产业调查以及“四上企业”统计补助</w:t>
      </w:r>
      <w:r>
        <w:rPr>
          <w:rFonts w:ascii="仿宋_GB2312" w:eastAsia="仿宋_GB2312" w:cs="宋体"/>
          <w:color w:val="000000"/>
          <w:kern w:val="0"/>
          <w:sz w:val="32"/>
          <w:szCs w:val="32"/>
        </w:rPr>
        <w:t>项目支出</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黑体" w:eastAsia="黑体" w:cs="宋体"/>
          <w:bCs/>
          <w:color w:val="000000"/>
          <w:kern w:val="0"/>
          <w:sz w:val="32"/>
          <w:szCs w:val="32"/>
        </w:rPr>
        <w:t>三、机关运行经费安排情况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年预算安排我部门机关运行经费42.57万元，其中办公经费1.75万元，其他业务费40.82万元。主要用于办公区的日常维修、办公用房水电费、办公用房取暖费、办公用房物业管理费等日常运行支出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360" w:lineRule="atLeast"/>
        <w:jc w:val="left"/>
        <w:rPr>
          <w:rFonts w:ascii="黑体" w:eastAsia="黑体" w:cs="宋体"/>
          <w:bCs/>
          <w:color w:val="000000"/>
          <w:kern w:val="0"/>
          <w:sz w:val="32"/>
          <w:szCs w:val="32"/>
        </w:rPr>
      </w:pPr>
      <w:r>
        <w:rPr>
          <w:rFonts w:hint="eastAsia" w:ascii="黑体" w:eastAsia="黑体" w:cs="宋体"/>
          <w:bCs/>
          <w:color w:val="000000"/>
          <w:kern w:val="0"/>
          <w:sz w:val="32"/>
          <w:szCs w:val="32"/>
        </w:rPr>
        <w:t>四、财政拨款“三公”经费预算情况及增减变化原因</w:t>
      </w:r>
    </w:p>
    <w:p>
      <w:pPr>
        <w:autoSpaceDE w:val="0"/>
        <w:autoSpaceDN w:val="0"/>
        <w:adjustRightInd w:val="0"/>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年，我部门“三公”经费预算安排2.3万元，其中因公出国（境）费0万元；公务用车购置及运维费2.3万元（其中：公务用车购置费为0万元，公务用车运行费为2.3万元)；公务接待费0万元。与201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年比增加2.3万元，主要原因是用于公务用车运行维护。</w:t>
      </w:r>
    </w:p>
    <w:p>
      <w:pPr>
        <w:spacing w:line="500" w:lineRule="exact"/>
        <w:ind w:left="745" w:leftChars="50" w:hanging="640" w:hangingChars="200"/>
        <w:rPr>
          <w:rFonts w:ascii="黑体" w:eastAsia="黑体" w:cs="宋体"/>
          <w:color w:val="000000"/>
          <w:kern w:val="0"/>
          <w:sz w:val="32"/>
          <w:szCs w:val="32"/>
        </w:rPr>
      </w:pPr>
      <w:r>
        <w:rPr>
          <w:rFonts w:hint="eastAsia" w:ascii="黑体" w:eastAsia="黑体" w:cs="宋体"/>
          <w:bCs/>
          <w:color w:val="000000"/>
          <w:kern w:val="0"/>
          <w:sz w:val="32"/>
          <w:szCs w:val="32"/>
        </w:rPr>
        <w:t>五、绩效预算信息</w:t>
      </w:r>
    </w:p>
    <w:p>
      <w:pPr>
        <w:spacing w:line="500" w:lineRule="exact"/>
        <w:ind w:left="525" w:leftChars="250"/>
        <w:rPr>
          <w:rFonts w:ascii="楷体" w:hAnsi="楷体" w:eastAsia="楷体"/>
          <w:sz w:val="28"/>
        </w:rPr>
      </w:pPr>
      <w:r>
        <w:rPr>
          <w:rFonts w:hint="eastAsia" w:ascii="楷体" w:hAnsi="楷体" w:eastAsia="楷体" w:cs="宋体"/>
          <w:b/>
          <w:bCs/>
          <w:color w:val="000000"/>
          <w:kern w:val="0"/>
          <w:sz w:val="32"/>
          <w:szCs w:val="32"/>
        </w:rPr>
        <w:t>总体绩效目标：</w:t>
      </w:r>
    </w:p>
    <w:p>
      <w:pPr>
        <w:autoSpaceDE w:val="0"/>
        <w:autoSpaceDN w:val="0"/>
        <w:adjustRightInd w:val="0"/>
        <w:ind w:left="198"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部门年度发展规划目标</w:t>
      </w:r>
    </w:p>
    <w:p>
      <w:pPr>
        <w:autoSpaceDE w:val="0"/>
        <w:autoSpaceDN w:val="0"/>
        <w:adjustRightInd w:val="0"/>
        <w:ind w:left="198"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一是全力做好各项统计调查工作，做好全国第四次经济普查和人口抽样调查工作，做好各类统计报表工作，确保圆满完成全年目标任务；</w:t>
      </w:r>
    </w:p>
    <w:p>
      <w:pPr>
        <w:autoSpaceDE w:val="0"/>
        <w:autoSpaceDN w:val="0"/>
        <w:adjustRightInd w:val="0"/>
        <w:ind w:left="198"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二是充分发挥统计部门职能作用，坚定信心，迎难而上，强化责任意识，做到应统尽统，确保数据质量。</w:t>
      </w:r>
    </w:p>
    <w:p>
      <w:pPr>
        <w:autoSpaceDE w:val="0"/>
        <w:autoSpaceDN w:val="0"/>
        <w:adjustRightInd w:val="0"/>
        <w:ind w:left="198"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三是加强统计服务，深入基层开展调查研究，增强统计分析的及时性、科学性和针对性，努力为区委、区政府领导决策服务到位。</w:t>
      </w:r>
    </w:p>
    <w:p>
      <w:pPr>
        <w:autoSpaceDE w:val="0"/>
        <w:autoSpaceDN w:val="0"/>
        <w:adjustRightInd w:val="0"/>
        <w:ind w:left="198" w:firstLine="640" w:firstLineChars="200"/>
        <w:jc w:val="left"/>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楷体" w:hAnsi="楷体" w:eastAsia="楷体" w:cs="宋体"/>
          <w:b/>
          <w:bCs/>
          <w:color w:val="000000"/>
          <w:kern w:val="0"/>
          <w:sz w:val="32"/>
          <w:szCs w:val="32"/>
        </w:rPr>
        <w:t>职责分类绩效目标：</w:t>
      </w:r>
      <w:r>
        <w:rPr>
          <w:rFonts w:hint="eastAsia" w:ascii="楷体" w:hAnsi="楷体" w:eastAsia="楷体" w:cs="宋体"/>
          <w:color w:val="000000"/>
          <w:kern w:val="0"/>
          <w:sz w:val="32"/>
          <w:szCs w:val="32"/>
        </w:rPr>
        <w:br w:type="textWrapping"/>
      </w:r>
      <w:r>
        <w:rPr>
          <w:rFonts w:hint="eastAsia" w:ascii="仿宋_GB2312" w:eastAsia="仿宋_GB2312" w:cs="宋体"/>
          <w:color w:val="000000"/>
          <w:kern w:val="0"/>
          <w:sz w:val="32"/>
          <w:szCs w:val="32"/>
        </w:rPr>
        <w:t>部门职责分类绩效目标情况说明</w:t>
      </w:r>
    </w:p>
    <w:p>
      <w:pPr>
        <w:autoSpaceDE w:val="0"/>
        <w:autoSpaceDN w:val="0"/>
        <w:adjustRightInd w:val="0"/>
        <w:ind w:left="198"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组织完成国家部署的国情国力普查及重要调查任务，研究提出重大县情县力普查和抽样调查计划并组织实施，汇总、整理和提供有关县情县力的统计数据。</w:t>
      </w:r>
    </w:p>
    <w:p>
      <w:pPr>
        <w:autoSpaceDE w:val="0"/>
        <w:autoSpaceDN w:val="0"/>
        <w:adjustRightInd w:val="0"/>
        <w:ind w:left="198"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组织开展专项统计调查，了解基层情况和动态提供统计信息和咨询建议。</w:t>
      </w:r>
    </w:p>
    <w:p>
      <w:pPr>
        <w:autoSpaceDE w:val="0"/>
        <w:autoSpaceDN w:val="0"/>
        <w:adjustRightInd w:val="0"/>
        <w:ind w:left="198"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保障全区统计信息自动化系统和统计数据库系统运行安全平稳。保证统计数据的顺利报送。</w:t>
      </w:r>
    </w:p>
    <w:p>
      <w:pPr>
        <w:widowControl/>
        <w:spacing w:line="360" w:lineRule="atLeast"/>
        <w:ind w:left="160" w:leftChars="76"/>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ind w:left="160" w:leftChars="76"/>
        <w:jc w:val="left"/>
        <w:rPr>
          <w:rFonts w:ascii="楷体" w:hAnsi="楷体" w:eastAsia="楷体" w:cs="宋体"/>
          <w:b/>
          <w:color w:val="000000"/>
          <w:kern w:val="0"/>
          <w:sz w:val="32"/>
          <w:szCs w:val="32"/>
        </w:rPr>
      </w:pPr>
      <w:r>
        <w:rPr>
          <w:rFonts w:hint="eastAsia" w:ascii="楷体" w:hAnsi="楷体" w:eastAsia="楷体" w:cs="宋体"/>
          <w:b/>
          <w:color w:val="000000"/>
          <w:kern w:val="0"/>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227廊坊市广阳区统计局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一、国民经济核算</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在全县开展GDP核算、资产负债核算、资金流量核算工作。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完成全县年度数据的测算审核认定工作;完成必要分析，对相关经济决策提供重要依据。</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1、国民经济核算</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贯彻执行国家国民经济核算制度，组织实施全县国民经济核算制度和投入产出调查，核算全县生产总值，整理、测算和提供国民经济核算资料，监督管理全县国民经济核算工作。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1）完成全县年度、季度数据及各市年度数据的测算审核认定工作；2）完成必要分析3）对相关经济决策提供重要依据。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1)综合数据统计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2)综合数据分析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3）提供数据资料</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二、统计调查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29.00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研究制定资料开发应用计划，进行业务培训，组织开展深层次课题研究，发布普查主要数据公报，完成普查工作总结和表彰。</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1、国情国力普查</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24.00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组织完成国家部署的国情国力普查及重要调查任务，研究提出重大县情县力普查和抽样调查计划并组织实施，汇总、整理和提供有关县情县力方面的统计数据。</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按照国家统计局、财政部关于印发《关于统计部门周期性普查和大型调查经费开支问题的暂行规定》，分年度完成普查工作，确保普查的顺利完成。</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1）国情国力普查统计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2)国情国力普查统计分析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3)提供国情国力普查统计数据</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2、专项统计调查</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5.00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根据部门职责及《中华人民共和国统计法》和国家统计局、县政府有关文件要求，组织实施涉及相关行业数据的专项统计调查。</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组织开展专项统计调查工作，了解基层情况和动态提供统计信息和咨询建议。</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1）专项统计调查统计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2）专项统计调查分析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3）专项统计调查数据提供</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3、统计数据采集决策咨询</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管理全县统计数据库网络；指导全县统计信息化系统建设。组织全县统计系统各级各专业实施以企业一套表制度为核心的统计四大工程：建立并管理全县统计信息自动化系统和统计数据库系统。</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保障全县统计信息自动化系统和统计数据库系统运行安全平稳。保证统计数据的顺利报送汇总。</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1）信息化建设</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2）信息化建设数据分析</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3）信息化数据提供</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三、统计政务管理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38.40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保障机关日常运转，健全全县统计法制建设，指导全县统计专业技术队伍建设。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保障统计信息化建设、统计执法、统计人员上岗资格认定、职称考试等全县统计专业技术队伍建设。</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38.40</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全县统计法制建设，严格查处统计违法现象，开展统计基层基础建设，指导全县统计专业技术队伍建设，配合国家统计局组织管理统计从业资格认定和持证上岗工作，协助有关部门组织管理统计专业技术资格。</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 xml:space="preserve">开展统计执法检查和培训工作，防范统计违法现象的发生；拟定全县统计教育培训制度、规划等，统一归口管理指导全县统计教育培训工作； 开展全县统计专业技术人员职称资格考试和评定工作。 </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1）统计法制建设</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2）统计法制宣传</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3）统计执法</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2、综合事务管理</w:t>
            </w:r>
          </w:p>
        </w:tc>
        <w:tc>
          <w:tcPr>
            <w:tcW w:w="1276" w:type="dxa"/>
            <w:vMerge w:val="restart"/>
            <w:shd w:val="clear" w:color="auto" w:fill="auto"/>
            <w:vAlign w:val="center"/>
          </w:tcPr>
          <w:p>
            <w:pPr>
              <w:spacing w:line="300" w:lineRule="exact"/>
              <w:jc w:val="left"/>
              <w:rPr>
                <w:rFonts w:ascii="方正书宋_GBK" w:eastAsia="方正书宋_GBK"/>
              </w:rPr>
            </w:pP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保障机关日常运转，开展纪检监察、计财内审、人事管理、老干部管理、党建、后勤、行政许可事务性管理等工作。</w:t>
            </w:r>
          </w:p>
        </w:tc>
        <w:tc>
          <w:tcPr>
            <w:tcW w:w="2976" w:type="dxa"/>
            <w:vMerge w:val="restart"/>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保障机关正常运转。</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1）综合事务保障率</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2）监察综合事务</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3）提供政务保障</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80.00%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60.00%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50.00%</w:t>
            </w:r>
          </w:p>
        </w:tc>
      </w:tr>
    </w:tbl>
    <w:p>
      <w:pPr>
        <w:widowControl/>
        <w:spacing w:line="360" w:lineRule="atLeast"/>
        <w:jc w:val="left"/>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jc w:val="left"/>
        <w:rPr>
          <w:rFonts w:hint="eastAsia" w:ascii="宋体" w:hAnsi="宋体" w:eastAsia="仿宋_GB2312" w:cs="宋体"/>
          <w:color w:val="000000"/>
          <w:kern w:val="0"/>
          <w:sz w:val="32"/>
          <w:szCs w:val="32"/>
        </w:rPr>
      </w:pPr>
    </w:p>
    <w:p>
      <w:pPr>
        <w:widowControl/>
        <w:spacing w:line="360" w:lineRule="atLeast"/>
        <w:jc w:val="left"/>
        <w:rPr>
          <w:rFonts w:hint="eastAsia" w:ascii="宋体" w:hAnsi="宋体" w:eastAsia="仿宋_GB2312" w:cs="宋体"/>
          <w:color w:val="000000"/>
          <w:kern w:val="0"/>
          <w:sz w:val="32"/>
          <w:szCs w:val="32"/>
        </w:rPr>
      </w:pPr>
    </w:p>
    <w:p>
      <w:pPr>
        <w:widowControl/>
        <w:spacing w:line="360" w:lineRule="atLeast"/>
        <w:jc w:val="left"/>
        <w:rPr>
          <w:rFonts w:hint="eastAsia" w:ascii="宋体" w:hAnsi="宋体" w:eastAsia="仿宋_GB2312" w:cs="宋体"/>
          <w:color w:val="000000"/>
          <w:kern w:val="0"/>
          <w:sz w:val="32"/>
          <w:szCs w:val="32"/>
        </w:rPr>
      </w:pPr>
    </w:p>
    <w:p>
      <w:pPr>
        <w:widowControl/>
        <w:spacing w:line="360" w:lineRule="atLeast"/>
        <w:jc w:val="left"/>
        <w:rPr>
          <w:rFonts w:hint="eastAsia" w:ascii="宋体" w:hAnsi="宋体" w:eastAsia="仿宋_GB2312" w:cs="宋体"/>
          <w:color w:val="000000"/>
          <w:kern w:val="0"/>
          <w:sz w:val="32"/>
          <w:szCs w:val="32"/>
        </w:rPr>
      </w:pPr>
    </w:p>
    <w:p>
      <w:pPr>
        <w:widowControl/>
        <w:spacing w:line="360" w:lineRule="atLeast"/>
        <w:jc w:val="left"/>
        <w:rPr>
          <w:rFonts w:hint="eastAsia" w:ascii="宋体" w:hAnsi="宋体" w:eastAsia="仿宋_GB2312" w:cs="宋体"/>
          <w:color w:val="000000"/>
          <w:kern w:val="0"/>
          <w:sz w:val="32"/>
          <w:szCs w:val="32"/>
        </w:rPr>
      </w:pPr>
    </w:p>
    <w:p>
      <w:pPr>
        <w:numPr>
          <w:ilvl w:val="0"/>
          <w:numId w:val="2"/>
        </w:numPr>
        <w:outlineLvl w:val="0"/>
        <w:rPr>
          <w:rFonts w:hint="eastAsia" w:ascii="仿宋_GB2312" w:eastAsia="仿宋_GB2312" w:cs="宋体"/>
          <w:color w:val="000000"/>
          <w:kern w:val="0"/>
          <w:sz w:val="32"/>
          <w:szCs w:val="32"/>
        </w:rPr>
      </w:pPr>
      <w:r>
        <w:rPr>
          <w:rFonts w:hint="eastAsia" w:ascii="黑体" w:eastAsia="黑体" w:cs="宋体"/>
          <w:bCs/>
          <w:color w:val="000000"/>
          <w:kern w:val="0"/>
          <w:sz w:val="32"/>
          <w:szCs w:val="32"/>
        </w:rPr>
        <w:t>政府采购预算情况</w:t>
      </w:r>
    </w:p>
    <w:p>
      <w:pPr>
        <w:numPr>
          <w:ilvl w:val="0"/>
          <w:numId w:val="0"/>
        </w:numPr>
        <w:outlineLvl w:val="0"/>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年，我部门无安排政府采购预算。</w:t>
      </w:r>
    </w:p>
    <w:tbl>
      <w:tblPr>
        <w:tblStyle w:val="4"/>
        <w:tblpPr w:leftFromText="180" w:rightFromText="180" w:vertAnchor="text" w:horzAnchor="page" w:tblpX="1260" w:tblpY="624"/>
        <w:tblOverlap w:val="never"/>
        <w:tblW w:w="1450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1067"/>
        <w:gridCol w:w="879"/>
        <w:gridCol w:w="1398"/>
        <w:gridCol w:w="879"/>
        <w:gridCol w:w="879"/>
        <w:gridCol w:w="902"/>
        <w:gridCol w:w="899"/>
        <w:gridCol w:w="899"/>
        <w:gridCol w:w="899"/>
        <w:gridCol w:w="818"/>
        <w:gridCol w:w="881"/>
        <w:gridCol w:w="881"/>
        <w:gridCol w:w="8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839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_GB2312" w:eastAsia="方正小标宋_GBK" w:cs="Times New Roman"/>
                <w:sz w:val="28"/>
                <w:szCs w:val="28"/>
                <w:lang w:eastAsia="zh-CN"/>
              </w:rPr>
            </w:pPr>
            <w:r>
              <w:rPr>
                <w:rFonts w:hint="eastAsia" w:ascii="方正小标宋_GBK" w:eastAsia="方正小标宋_GBK"/>
                <w:sz w:val="24"/>
                <w:lang w:val="en-US" w:eastAsia="zh-CN"/>
              </w:rPr>
              <w:t>227</w:t>
            </w:r>
            <w:r>
              <w:rPr>
                <w:rFonts w:hint="eastAsia" w:ascii="方正小标宋_GBK" w:eastAsia="方正小标宋_GBK"/>
                <w:sz w:val="24"/>
              </w:rPr>
              <w:t>廊坊市广阳区</w:t>
            </w:r>
            <w:r>
              <w:rPr>
                <w:rFonts w:hint="eastAsia" w:ascii="方正小标宋_GBK" w:eastAsia="方正小标宋_GBK"/>
                <w:sz w:val="24"/>
                <w:lang w:eastAsia="zh-CN"/>
              </w:rPr>
              <w:t>统计局</w:t>
            </w:r>
          </w:p>
        </w:tc>
        <w:tc>
          <w:tcPr>
            <w:tcW w:w="610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3459" w:type="dxa"/>
            <w:gridSpan w:val="2"/>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79"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采购物品名称</w:t>
            </w:r>
          </w:p>
        </w:tc>
        <w:tc>
          <w:tcPr>
            <w:tcW w:w="1398"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79"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  单位</w:t>
            </w:r>
          </w:p>
        </w:tc>
        <w:tc>
          <w:tcPr>
            <w:tcW w:w="879"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w:t>
            </w:r>
          </w:p>
        </w:tc>
        <w:tc>
          <w:tcPr>
            <w:tcW w:w="902"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单价</w:t>
            </w:r>
          </w:p>
        </w:tc>
        <w:tc>
          <w:tcPr>
            <w:tcW w:w="6106" w:type="dxa"/>
            <w:gridSpan w:val="7"/>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392"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项目名称</w:t>
            </w:r>
          </w:p>
        </w:tc>
        <w:tc>
          <w:tcPr>
            <w:tcW w:w="1067"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预算资金</w:t>
            </w:r>
          </w:p>
        </w:tc>
        <w:tc>
          <w:tcPr>
            <w:tcW w:w="879" w:type="dxa"/>
            <w:vMerge w:val="continue"/>
            <w:shd w:val="clear" w:color="auto" w:fill="auto"/>
            <w:vAlign w:val="center"/>
          </w:tcPr>
          <w:p/>
        </w:tc>
        <w:tc>
          <w:tcPr>
            <w:tcW w:w="1398" w:type="dxa"/>
            <w:vMerge w:val="continue"/>
            <w:shd w:val="clear" w:color="auto" w:fill="auto"/>
            <w:vAlign w:val="center"/>
          </w:tcPr>
          <w:p/>
        </w:tc>
        <w:tc>
          <w:tcPr>
            <w:tcW w:w="879" w:type="dxa"/>
            <w:vMerge w:val="continue"/>
            <w:shd w:val="clear" w:color="auto" w:fill="auto"/>
            <w:vAlign w:val="center"/>
          </w:tcPr>
          <w:p/>
        </w:tc>
        <w:tc>
          <w:tcPr>
            <w:tcW w:w="879" w:type="dxa"/>
            <w:vMerge w:val="continue"/>
            <w:shd w:val="clear" w:color="auto" w:fill="auto"/>
            <w:vAlign w:val="center"/>
          </w:tcPr>
          <w:p/>
        </w:tc>
        <w:tc>
          <w:tcPr>
            <w:tcW w:w="902" w:type="dxa"/>
            <w:vMerge w:val="continue"/>
            <w:shd w:val="clear" w:color="auto" w:fill="auto"/>
            <w:vAlign w:val="center"/>
          </w:tcPr>
          <w:p/>
        </w:tc>
        <w:tc>
          <w:tcPr>
            <w:tcW w:w="899"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总计</w:t>
            </w:r>
          </w:p>
        </w:tc>
        <w:tc>
          <w:tcPr>
            <w:tcW w:w="4378" w:type="dxa"/>
            <w:gridSpan w:val="5"/>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当年部门预算安排资金</w:t>
            </w:r>
          </w:p>
        </w:tc>
        <w:tc>
          <w:tcPr>
            <w:tcW w:w="829"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trPr>
        <w:tc>
          <w:tcPr>
            <w:tcW w:w="2392" w:type="dxa"/>
            <w:vMerge w:val="continue"/>
            <w:shd w:val="clear" w:color="auto" w:fill="auto"/>
            <w:vAlign w:val="center"/>
          </w:tcPr>
          <w:p/>
        </w:tc>
        <w:tc>
          <w:tcPr>
            <w:tcW w:w="1067" w:type="dxa"/>
            <w:vMerge w:val="continue"/>
            <w:shd w:val="clear" w:color="auto" w:fill="auto"/>
            <w:vAlign w:val="center"/>
          </w:tcPr>
          <w:p/>
        </w:tc>
        <w:tc>
          <w:tcPr>
            <w:tcW w:w="879" w:type="dxa"/>
            <w:vMerge w:val="continue"/>
            <w:shd w:val="clear" w:color="auto" w:fill="auto"/>
            <w:vAlign w:val="center"/>
          </w:tcPr>
          <w:p/>
        </w:tc>
        <w:tc>
          <w:tcPr>
            <w:tcW w:w="1398" w:type="dxa"/>
            <w:vMerge w:val="continue"/>
            <w:shd w:val="clear" w:color="auto" w:fill="auto"/>
            <w:vAlign w:val="center"/>
          </w:tcPr>
          <w:p/>
        </w:tc>
        <w:tc>
          <w:tcPr>
            <w:tcW w:w="879" w:type="dxa"/>
            <w:vMerge w:val="continue"/>
            <w:shd w:val="clear" w:color="auto" w:fill="auto"/>
            <w:vAlign w:val="center"/>
          </w:tcPr>
          <w:p/>
        </w:tc>
        <w:tc>
          <w:tcPr>
            <w:tcW w:w="879" w:type="dxa"/>
            <w:vMerge w:val="continue"/>
            <w:shd w:val="clear" w:color="auto" w:fill="auto"/>
            <w:vAlign w:val="center"/>
          </w:tcPr>
          <w:p/>
        </w:tc>
        <w:tc>
          <w:tcPr>
            <w:tcW w:w="902" w:type="dxa"/>
            <w:vMerge w:val="continue"/>
            <w:shd w:val="clear" w:color="auto" w:fill="auto"/>
            <w:vAlign w:val="center"/>
          </w:tcPr>
          <w:p/>
        </w:tc>
        <w:tc>
          <w:tcPr>
            <w:tcW w:w="899" w:type="dxa"/>
            <w:vMerge w:val="continue"/>
            <w:shd w:val="clear" w:color="auto" w:fill="auto"/>
            <w:vAlign w:val="center"/>
          </w:tcPr>
          <w:p/>
        </w:tc>
        <w:tc>
          <w:tcPr>
            <w:tcW w:w="899"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合计</w:t>
            </w:r>
          </w:p>
        </w:tc>
        <w:tc>
          <w:tcPr>
            <w:tcW w:w="899"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一般公共预算拨款</w:t>
            </w:r>
          </w:p>
        </w:tc>
        <w:tc>
          <w:tcPr>
            <w:tcW w:w="818"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基金预算拨款</w:t>
            </w:r>
          </w:p>
        </w:tc>
        <w:tc>
          <w:tcPr>
            <w:tcW w:w="881"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财政专户核拨</w:t>
            </w:r>
          </w:p>
        </w:tc>
        <w:tc>
          <w:tcPr>
            <w:tcW w:w="881"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其他来源收入</w:t>
            </w:r>
          </w:p>
        </w:tc>
        <w:tc>
          <w:tcPr>
            <w:tcW w:w="829"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392"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合　计</w:t>
            </w:r>
          </w:p>
        </w:tc>
        <w:tc>
          <w:tcPr>
            <w:tcW w:w="1067" w:type="dxa"/>
            <w:shd w:val="clear" w:color="auto" w:fill="auto"/>
            <w:vAlign w:val="center"/>
          </w:tcPr>
          <w:p>
            <w:pPr>
              <w:spacing w:line="300" w:lineRule="exact"/>
              <w:jc w:val="right"/>
              <w:rPr>
                <w:rFonts w:hint="eastAsia" w:ascii="仿宋_GB2312" w:eastAsia="仿宋_GB2312" w:cs="Times New Roman"/>
                <w:b/>
                <w:sz w:val="32"/>
                <w:szCs w:val="32"/>
              </w:rPr>
            </w:pPr>
          </w:p>
        </w:tc>
        <w:tc>
          <w:tcPr>
            <w:tcW w:w="879" w:type="dxa"/>
            <w:shd w:val="clear" w:color="auto" w:fill="auto"/>
            <w:vAlign w:val="center"/>
          </w:tcPr>
          <w:p>
            <w:pPr>
              <w:spacing w:line="300" w:lineRule="exact"/>
              <w:jc w:val="left"/>
              <w:rPr>
                <w:rFonts w:hint="eastAsia" w:ascii="仿宋_GB2312" w:eastAsia="仿宋_GB2312" w:cs="Times New Roman"/>
                <w:b/>
                <w:sz w:val="32"/>
                <w:szCs w:val="32"/>
              </w:rPr>
            </w:pPr>
          </w:p>
        </w:tc>
        <w:tc>
          <w:tcPr>
            <w:tcW w:w="1398" w:type="dxa"/>
            <w:shd w:val="clear" w:color="auto" w:fill="auto"/>
            <w:vAlign w:val="center"/>
          </w:tcPr>
          <w:p>
            <w:pPr>
              <w:spacing w:line="300" w:lineRule="exact"/>
              <w:jc w:val="left"/>
              <w:rPr>
                <w:rFonts w:hint="eastAsia" w:ascii="仿宋_GB2312" w:eastAsia="仿宋_GB2312" w:cs="Times New Roman"/>
                <w:b/>
                <w:sz w:val="32"/>
                <w:szCs w:val="32"/>
              </w:rPr>
            </w:pPr>
          </w:p>
        </w:tc>
        <w:tc>
          <w:tcPr>
            <w:tcW w:w="879" w:type="dxa"/>
            <w:shd w:val="clear" w:color="auto" w:fill="auto"/>
            <w:vAlign w:val="center"/>
          </w:tcPr>
          <w:p>
            <w:pPr>
              <w:spacing w:line="300" w:lineRule="exact"/>
              <w:jc w:val="left"/>
              <w:rPr>
                <w:rFonts w:hint="eastAsia" w:ascii="仿宋_GB2312" w:eastAsia="仿宋_GB2312" w:cs="Times New Roman"/>
                <w:b/>
                <w:sz w:val="32"/>
                <w:szCs w:val="32"/>
              </w:rPr>
            </w:pPr>
          </w:p>
        </w:tc>
        <w:tc>
          <w:tcPr>
            <w:tcW w:w="879" w:type="dxa"/>
            <w:shd w:val="clear" w:color="auto" w:fill="auto"/>
            <w:vAlign w:val="center"/>
          </w:tcPr>
          <w:p>
            <w:pPr>
              <w:spacing w:line="300" w:lineRule="exact"/>
              <w:jc w:val="right"/>
              <w:rPr>
                <w:rFonts w:hint="eastAsia" w:ascii="仿宋_GB2312" w:eastAsia="仿宋_GB2312" w:cs="Times New Roman"/>
                <w:b/>
                <w:sz w:val="32"/>
                <w:szCs w:val="32"/>
              </w:rPr>
            </w:pPr>
          </w:p>
        </w:tc>
        <w:tc>
          <w:tcPr>
            <w:tcW w:w="902" w:type="dxa"/>
            <w:shd w:val="clear" w:color="auto" w:fill="auto"/>
            <w:vAlign w:val="center"/>
          </w:tcPr>
          <w:p>
            <w:pPr>
              <w:spacing w:line="300" w:lineRule="exact"/>
              <w:jc w:val="right"/>
              <w:rPr>
                <w:rFonts w:hint="eastAsia" w:ascii="仿宋_GB2312" w:eastAsia="仿宋_GB2312" w:cs="Times New Roman"/>
                <w:b/>
                <w:sz w:val="32"/>
                <w:szCs w:val="32"/>
              </w:rPr>
            </w:pPr>
          </w:p>
        </w:tc>
        <w:tc>
          <w:tcPr>
            <w:tcW w:w="899" w:type="dxa"/>
            <w:shd w:val="clear" w:color="auto" w:fill="auto"/>
            <w:vAlign w:val="center"/>
          </w:tcPr>
          <w:p>
            <w:pPr>
              <w:spacing w:line="300" w:lineRule="exact"/>
              <w:jc w:val="right"/>
              <w:rPr>
                <w:rFonts w:hint="eastAsia" w:ascii="仿宋_GB2312" w:eastAsia="仿宋_GB2312" w:cs="Times New Roman"/>
                <w:b/>
                <w:sz w:val="32"/>
                <w:szCs w:val="32"/>
              </w:rPr>
            </w:pPr>
          </w:p>
        </w:tc>
        <w:tc>
          <w:tcPr>
            <w:tcW w:w="899" w:type="dxa"/>
            <w:shd w:val="clear" w:color="auto" w:fill="auto"/>
            <w:vAlign w:val="center"/>
          </w:tcPr>
          <w:p>
            <w:pPr>
              <w:spacing w:line="300" w:lineRule="exact"/>
              <w:jc w:val="right"/>
              <w:rPr>
                <w:rFonts w:hint="eastAsia" w:ascii="仿宋_GB2312" w:eastAsia="仿宋_GB2312" w:cs="Times New Roman"/>
                <w:b/>
                <w:sz w:val="32"/>
                <w:szCs w:val="32"/>
              </w:rPr>
            </w:pPr>
          </w:p>
        </w:tc>
        <w:tc>
          <w:tcPr>
            <w:tcW w:w="899" w:type="dxa"/>
            <w:shd w:val="clear" w:color="auto" w:fill="auto"/>
            <w:vAlign w:val="center"/>
          </w:tcPr>
          <w:p>
            <w:pPr>
              <w:spacing w:line="300" w:lineRule="exact"/>
              <w:jc w:val="right"/>
              <w:rPr>
                <w:rFonts w:hint="eastAsia" w:ascii="仿宋_GB2312" w:eastAsia="仿宋_GB2312" w:cs="Times New Roman"/>
                <w:b/>
                <w:sz w:val="32"/>
                <w:szCs w:val="32"/>
              </w:rPr>
            </w:pPr>
          </w:p>
        </w:tc>
        <w:tc>
          <w:tcPr>
            <w:tcW w:w="818" w:type="dxa"/>
            <w:shd w:val="clear" w:color="auto" w:fill="auto"/>
            <w:vAlign w:val="center"/>
          </w:tcPr>
          <w:p>
            <w:pPr>
              <w:spacing w:line="300" w:lineRule="exact"/>
              <w:jc w:val="right"/>
              <w:rPr>
                <w:rFonts w:hint="eastAsia" w:ascii="仿宋_GB2312" w:eastAsia="仿宋_GB2312" w:cs="Times New Roman"/>
                <w:b/>
                <w:sz w:val="32"/>
                <w:szCs w:val="32"/>
              </w:rPr>
            </w:pPr>
          </w:p>
        </w:tc>
        <w:tc>
          <w:tcPr>
            <w:tcW w:w="881" w:type="dxa"/>
            <w:shd w:val="clear" w:color="auto" w:fill="auto"/>
            <w:vAlign w:val="center"/>
          </w:tcPr>
          <w:p>
            <w:pPr>
              <w:spacing w:line="300" w:lineRule="exact"/>
              <w:jc w:val="right"/>
              <w:rPr>
                <w:rFonts w:hint="eastAsia" w:ascii="仿宋_GB2312" w:eastAsia="仿宋_GB2312" w:cs="Times New Roman"/>
                <w:b/>
                <w:sz w:val="32"/>
                <w:szCs w:val="32"/>
              </w:rPr>
            </w:pPr>
          </w:p>
        </w:tc>
        <w:tc>
          <w:tcPr>
            <w:tcW w:w="881" w:type="dxa"/>
            <w:shd w:val="clear" w:color="auto" w:fill="auto"/>
            <w:vAlign w:val="center"/>
          </w:tcPr>
          <w:p>
            <w:pPr>
              <w:spacing w:line="300" w:lineRule="exact"/>
              <w:jc w:val="right"/>
              <w:rPr>
                <w:rFonts w:hint="eastAsia" w:ascii="仿宋_GB2312" w:eastAsia="仿宋_GB2312" w:cs="Times New Roman"/>
                <w:b/>
                <w:sz w:val="32"/>
                <w:szCs w:val="32"/>
              </w:rPr>
            </w:pPr>
          </w:p>
        </w:tc>
        <w:tc>
          <w:tcPr>
            <w:tcW w:w="829" w:type="dxa"/>
            <w:shd w:val="clear" w:color="auto" w:fill="auto"/>
            <w:vAlign w:val="center"/>
          </w:tcPr>
          <w:p>
            <w:pPr>
              <w:spacing w:line="300" w:lineRule="exact"/>
              <w:jc w:val="right"/>
              <w:rPr>
                <w:rFonts w:hint="eastAsia"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392" w:type="dxa"/>
            <w:shd w:val="clear" w:color="auto" w:fill="auto"/>
            <w:vAlign w:val="center"/>
          </w:tcPr>
          <w:p>
            <w:pPr>
              <w:spacing w:line="300" w:lineRule="exact"/>
              <w:jc w:val="center"/>
              <w:rPr>
                <w:rFonts w:hint="eastAsia" w:ascii="仿宋_GB2312" w:eastAsia="仿宋_GB2312" w:cs="Times New Roman"/>
                <w:b/>
                <w:sz w:val="32"/>
                <w:szCs w:val="32"/>
              </w:rPr>
            </w:pPr>
          </w:p>
        </w:tc>
        <w:tc>
          <w:tcPr>
            <w:tcW w:w="1067" w:type="dxa"/>
            <w:shd w:val="clear" w:color="auto" w:fill="auto"/>
            <w:vAlign w:val="center"/>
          </w:tcPr>
          <w:p>
            <w:pPr>
              <w:spacing w:line="300" w:lineRule="exact"/>
              <w:jc w:val="right"/>
              <w:rPr>
                <w:rFonts w:hint="eastAsia" w:ascii="仿宋_GB2312" w:eastAsia="仿宋_GB2312" w:cs="Times New Roman"/>
                <w:b/>
                <w:sz w:val="32"/>
                <w:szCs w:val="32"/>
              </w:rPr>
            </w:pPr>
          </w:p>
        </w:tc>
        <w:tc>
          <w:tcPr>
            <w:tcW w:w="879" w:type="dxa"/>
            <w:shd w:val="clear" w:color="auto" w:fill="auto"/>
            <w:vAlign w:val="center"/>
          </w:tcPr>
          <w:p>
            <w:pPr>
              <w:spacing w:line="300" w:lineRule="exact"/>
              <w:jc w:val="left"/>
              <w:rPr>
                <w:rFonts w:hint="eastAsia" w:ascii="仿宋_GB2312" w:eastAsia="仿宋_GB2312" w:cs="Times New Roman"/>
                <w:b/>
                <w:sz w:val="32"/>
                <w:szCs w:val="32"/>
              </w:rPr>
            </w:pPr>
          </w:p>
        </w:tc>
        <w:tc>
          <w:tcPr>
            <w:tcW w:w="1398" w:type="dxa"/>
            <w:shd w:val="clear" w:color="auto" w:fill="auto"/>
            <w:vAlign w:val="center"/>
          </w:tcPr>
          <w:p>
            <w:pPr>
              <w:spacing w:line="300" w:lineRule="exact"/>
              <w:jc w:val="left"/>
              <w:rPr>
                <w:rFonts w:hint="eastAsia" w:ascii="仿宋_GB2312" w:eastAsia="仿宋_GB2312" w:cs="Times New Roman"/>
                <w:b/>
                <w:sz w:val="32"/>
                <w:szCs w:val="32"/>
              </w:rPr>
            </w:pPr>
          </w:p>
        </w:tc>
        <w:tc>
          <w:tcPr>
            <w:tcW w:w="879" w:type="dxa"/>
            <w:shd w:val="clear" w:color="auto" w:fill="auto"/>
            <w:vAlign w:val="center"/>
          </w:tcPr>
          <w:p>
            <w:pPr>
              <w:spacing w:line="300" w:lineRule="exact"/>
              <w:jc w:val="left"/>
              <w:rPr>
                <w:rFonts w:hint="eastAsia" w:ascii="仿宋_GB2312" w:eastAsia="仿宋_GB2312" w:cs="Times New Roman"/>
                <w:b/>
                <w:sz w:val="32"/>
                <w:szCs w:val="32"/>
              </w:rPr>
            </w:pPr>
          </w:p>
        </w:tc>
        <w:tc>
          <w:tcPr>
            <w:tcW w:w="879" w:type="dxa"/>
            <w:shd w:val="clear" w:color="auto" w:fill="auto"/>
            <w:vAlign w:val="center"/>
          </w:tcPr>
          <w:p>
            <w:pPr>
              <w:spacing w:line="300" w:lineRule="exact"/>
              <w:jc w:val="right"/>
              <w:rPr>
                <w:rFonts w:hint="eastAsia" w:ascii="仿宋_GB2312" w:eastAsia="仿宋_GB2312" w:cs="Times New Roman"/>
                <w:b/>
                <w:sz w:val="32"/>
                <w:szCs w:val="32"/>
              </w:rPr>
            </w:pPr>
          </w:p>
        </w:tc>
        <w:tc>
          <w:tcPr>
            <w:tcW w:w="902" w:type="dxa"/>
            <w:shd w:val="clear" w:color="auto" w:fill="auto"/>
            <w:vAlign w:val="center"/>
          </w:tcPr>
          <w:p>
            <w:pPr>
              <w:spacing w:line="300" w:lineRule="exact"/>
              <w:jc w:val="right"/>
              <w:rPr>
                <w:rFonts w:hint="eastAsia" w:ascii="仿宋_GB2312" w:eastAsia="仿宋_GB2312" w:cs="Times New Roman"/>
                <w:b/>
                <w:sz w:val="32"/>
                <w:szCs w:val="32"/>
              </w:rPr>
            </w:pPr>
          </w:p>
        </w:tc>
        <w:tc>
          <w:tcPr>
            <w:tcW w:w="899" w:type="dxa"/>
            <w:shd w:val="clear" w:color="auto" w:fill="auto"/>
            <w:vAlign w:val="center"/>
          </w:tcPr>
          <w:p>
            <w:pPr>
              <w:spacing w:line="300" w:lineRule="exact"/>
              <w:jc w:val="right"/>
              <w:rPr>
                <w:rFonts w:hint="eastAsia" w:ascii="仿宋_GB2312" w:eastAsia="仿宋_GB2312" w:cs="Times New Roman"/>
                <w:b/>
                <w:sz w:val="32"/>
                <w:szCs w:val="32"/>
              </w:rPr>
            </w:pPr>
          </w:p>
        </w:tc>
        <w:tc>
          <w:tcPr>
            <w:tcW w:w="899" w:type="dxa"/>
            <w:shd w:val="clear" w:color="auto" w:fill="auto"/>
            <w:vAlign w:val="center"/>
          </w:tcPr>
          <w:p>
            <w:pPr>
              <w:spacing w:line="300" w:lineRule="exact"/>
              <w:jc w:val="right"/>
              <w:rPr>
                <w:rFonts w:hint="eastAsia" w:ascii="仿宋_GB2312" w:eastAsia="仿宋_GB2312" w:cs="Times New Roman"/>
                <w:b/>
                <w:sz w:val="32"/>
                <w:szCs w:val="32"/>
              </w:rPr>
            </w:pPr>
          </w:p>
        </w:tc>
        <w:tc>
          <w:tcPr>
            <w:tcW w:w="899" w:type="dxa"/>
            <w:shd w:val="clear" w:color="auto" w:fill="auto"/>
            <w:vAlign w:val="center"/>
          </w:tcPr>
          <w:p>
            <w:pPr>
              <w:spacing w:line="300" w:lineRule="exact"/>
              <w:jc w:val="right"/>
              <w:rPr>
                <w:rFonts w:hint="eastAsia" w:ascii="仿宋_GB2312" w:eastAsia="仿宋_GB2312" w:cs="Times New Roman"/>
                <w:b/>
                <w:sz w:val="32"/>
                <w:szCs w:val="32"/>
              </w:rPr>
            </w:pPr>
          </w:p>
        </w:tc>
        <w:tc>
          <w:tcPr>
            <w:tcW w:w="818" w:type="dxa"/>
            <w:shd w:val="clear" w:color="auto" w:fill="auto"/>
            <w:vAlign w:val="center"/>
          </w:tcPr>
          <w:p>
            <w:pPr>
              <w:spacing w:line="300" w:lineRule="exact"/>
              <w:jc w:val="right"/>
              <w:rPr>
                <w:rFonts w:hint="eastAsia" w:ascii="仿宋_GB2312" w:eastAsia="仿宋_GB2312" w:cs="Times New Roman"/>
                <w:b/>
                <w:sz w:val="32"/>
                <w:szCs w:val="32"/>
              </w:rPr>
            </w:pPr>
          </w:p>
        </w:tc>
        <w:tc>
          <w:tcPr>
            <w:tcW w:w="881" w:type="dxa"/>
            <w:shd w:val="clear" w:color="auto" w:fill="auto"/>
            <w:vAlign w:val="center"/>
          </w:tcPr>
          <w:p>
            <w:pPr>
              <w:spacing w:line="300" w:lineRule="exact"/>
              <w:jc w:val="right"/>
              <w:rPr>
                <w:rFonts w:hint="eastAsia" w:ascii="仿宋_GB2312" w:eastAsia="仿宋_GB2312" w:cs="Times New Roman"/>
                <w:b/>
                <w:sz w:val="32"/>
                <w:szCs w:val="32"/>
              </w:rPr>
            </w:pPr>
          </w:p>
        </w:tc>
        <w:tc>
          <w:tcPr>
            <w:tcW w:w="881" w:type="dxa"/>
            <w:shd w:val="clear" w:color="auto" w:fill="auto"/>
            <w:vAlign w:val="center"/>
          </w:tcPr>
          <w:p>
            <w:pPr>
              <w:spacing w:line="300" w:lineRule="exact"/>
              <w:jc w:val="right"/>
              <w:rPr>
                <w:rFonts w:hint="eastAsia" w:ascii="仿宋_GB2312" w:eastAsia="仿宋_GB2312" w:cs="Times New Roman"/>
                <w:b/>
                <w:sz w:val="32"/>
                <w:szCs w:val="32"/>
              </w:rPr>
            </w:pPr>
          </w:p>
        </w:tc>
        <w:tc>
          <w:tcPr>
            <w:tcW w:w="829" w:type="dxa"/>
            <w:shd w:val="clear" w:color="auto" w:fill="auto"/>
            <w:vAlign w:val="center"/>
          </w:tcPr>
          <w:p>
            <w:pPr>
              <w:spacing w:line="300" w:lineRule="exact"/>
              <w:jc w:val="right"/>
              <w:rPr>
                <w:rFonts w:hint="eastAsia"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392" w:type="dxa"/>
            <w:shd w:val="clear" w:color="auto" w:fill="auto"/>
            <w:vAlign w:val="center"/>
          </w:tcPr>
          <w:p>
            <w:pPr>
              <w:spacing w:line="300" w:lineRule="exact"/>
              <w:jc w:val="left"/>
              <w:rPr>
                <w:rFonts w:hint="eastAsia" w:ascii="仿宋_GB2312" w:eastAsia="仿宋_GB2312" w:cs="Times New Roman"/>
                <w:sz w:val="32"/>
                <w:szCs w:val="32"/>
              </w:rPr>
            </w:pPr>
          </w:p>
        </w:tc>
        <w:tc>
          <w:tcPr>
            <w:tcW w:w="1067" w:type="dxa"/>
            <w:shd w:val="clear" w:color="auto" w:fill="auto"/>
            <w:vAlign w:val="center"/>
          </w:tcPr>
          <w:p>
            <w:pPr>
              <w:spacing w:line="300" w:lineRule="exact"/>
              <w:jc w:val="right"/>
              <w:rPr>
                <w:rFonts w:hint="eastAsia" w:ascii="仿宋_GB2312" w:eastAsia="仿宋_GB2312" w:cs="Times New Roman"/>
                <w:sz w:val="32"/>
                <w:szCs w:val="32"/>
              </w:rPr>
            </w:pPr>
          </w:p>
        </w:tc>
        <w:tc>
          <w:tcPr>
            <w:tcW w:w="879" w:type="dxa"/>
            <w:shd w:val="clear" w:color="auto" w:fill="auto"/>
            <w:vAlign w:val="center"/>
          </w:tcPr>
          <w:p>
            <w:pPr>
              <w:spacing w:line="300" w:lineRule="exact"/>
              <w:jc w:val="left"/>
              <w:rPr>
                <w:rFonts w:hint="eastAsia" w:ascii="仿宋_GB2312" w:eastAsia="仿宋_GB2312" w:cs="Times New Roman"/>
                <w:sz w:val="32"/>
                <w:szCs w:val="32"/>
              </w:rPr>
            </w:pPr>
          </w:p>
        </w:tc>
        <w:tc>
          <w:tcPr>
            <w:tcW w:w="1398" w:type="dxa"/>
            <w:shd w:val="clear" w:color="auto" w:fill="auto"/>
            <w:vAlign w:val="center"/>
          </w:tcPr>
          <w:p>
            <w:pPr>
              <w:spacing w:line="300" w:lineRule="exact"/>
              <w:jc w:val="left"/>
              <w:rPr>
                <w:rFonts w:hint="eastAsia" w:ascii="仿宋_GB2312" w:eastAsia="仿宋_GB2312" w:cs="Times New Roman"/>
                <w:sz w:val="32"/>
                <w:szCs w:val="32"/>
              </w:rPr>
            </w:pPr>
          </w:p>
        </w:tc>
        <w:tc>
          <w:tcPr>
            <w:tcW w:w="879" w:type="dxa"/>
            <w:shd w:val="clear" w:color="auto" w:fill="auto"/>
            <w:vAlign w:val="center"/>
          </w:tcPr>
          <w:p>
            <w:pPr>
              <w:spacing w:line="300" w:lineRule="exact"/>
              <w:jc w:val="left"/>
              <w:rPr>
                <w:rFonts w:hint="eastAsia" w:ascii="仿宋_GB2312" w:eastAsia="仿宋_GB2312" w:cs="Times New Roman"/>
                <w:sz w:val="32"/>
                <w:szCs w:val="32"/>
              </w:rPr>
            </w:pPr>
          </w:p>
        </w:tc>
        <w:tc>
          <w:tcPr>
            <w:tcW w:w="879" w:type="dxa"/>
            <w:shd w:val="clear" w:color="auto" w:fill="auto"/>
            <w:vAlign w:val="center"/>
          </w:tcPr>
          <w:p>
            <w:pPr>
              <w:spacing w:line="300" w:lineRule="exact"/>
              <w:jc w:val="right"/>
              <w:rPr>
                <w:rFonts w:hint="eastAsia" w:ascii="仿宋_GB2312" w:eastAsia="仿宋_GB2312" w:cs="Times New Roman"/>
                <w:sz w:val="32"/>
                <w:szCs w:val="32"/>
              </w:rPr>
            </w:pPr>
          </w:p>
        </w:tc>
        <w:tc>
          <w:tcPr>
            <w:tcW w:w="902" w:type="dxa"/>
            <w:shd w:val="clear" w:color="auto" w:fill="auto"/>
            <w:vAlign w:val="center"/>
          </w:tcPr>
          <w:p>
            <w:pPr>
              <w:spacing w:line="300" w:lineRule="exact"/>
              <w:jc w:val="right"/>
              <w:rPr>
                <w:rFonts w:hint="eastAsia" w:ascii="仿宋_GB2312" w:eastAsia="仿宋_GB2312" w:cs="Times New Roman"/>
                <w:sz w:val="32"/>
                <w:szCs w:val="32"/>
              </w:rPr>
            </w:pPr>
          </w:p>
        </w:tc>
        <w:tc>
          <w:tcPr>
            <w:tcW w:w="899" w:type="dxa"/>
            <w:shd w:val="clear" w:color="auto" w:fill="auto"/>
            <w:vAlign w:val="center"/>
          </w:tcPr>
          <w:p>
            <w:pPr>
              <w:spacing w:line="300" w:lineRule="exact"/>
              <w:jc w:val="right"/>
              <w:rPr>
                <w:rFonts w:hint="eastAsia" w:ascii="仿宋_GB2312" w:eastAsia="仿宋_GB2312" w:cs="Times New Roman"/>
                <w:sz w:val="32"/>
                <w:szCs w:val="32"/>
              </w:rPr>
            </w:pPr>
          </w:p>
        </w:tc>
        <w:tc>
          <w:tcPr>
            <w:tcW w:w="899" w:type="dxa"/>
            <w:shd w:val="clear" w:color="auto" w:fill="auto"/>
            <w:vAlign w:val="center"/>
          </w:tcPr>
          <w:p>
            <w:pPr>
              <w:spacing w:line="300" w:lineRule="exact"/>
              <w:jc w:val="right"/>
              <w:rPr>
                <w:rFonts w:hint="eastAsia" w:ascii="仿宋_GB2312" w:eastAsia="仿宋_GB2312" w:cs="Times New Roman"/>
                <w:sz w:val="32"/>
                <w:szCs w:val="32"/>
              </w:rPr>
            </w:pPr>
          </w:p>
        </w:tc>
        <w:tc>
          <w:tcPr>
            <w:tcW w:w="899" w:type="dxa"/>
            <w:shd w:val="clear" w:color="auto" w:fill="auto"/>
            <w:vAlign w:val="center"/>
          </w:tcPr>
          <w:p>
            <w:pPr>
              <w:spacing w:line="300" w:lineRule="exact"/>
              <w:jc w:val="right"/>
              <w:rPr>
                <w:rFonts w:hint="eastAsia" w:ascii="仿宋_GB2312" w:eastAsia="仿宋_GB2312" w:cs="Times New Roman"/>
                <w:sz w:val="32"/>
                <w:szCs w:val="32"/>
              </w:rPr>
            </w:pPr>
          </w:p>
        </w:tc>
        <w:tc>
          <w:tcPr>
            <w:tcW w:w="818" w:type="dxa"/>
            <w:shd w:val="clear" w:color="auto" w:fill="auto"/>
            <w:vAlign w:val="center"/>
          </w:tcPr>
          <w:p>
            <w:pPr>
              <w:spacing w:line="300" w:lineRule="exact"/>
              <w:jc w:val="right"/>
              <w:rPr>
                <w:rFonts w:hint="eastAsia" w:ascii="仿宋_GB2312" w:eastAsia="仿宋_GB2312" w:cs="Times New Roman"/>
                <w:sz w:val="32"/>
                <w:szCs w:val="32"/>
              </w:rPr>
            </w:pPr>
          </w:p>
        </w:tc>
        <w:tc>
          <w:tcPr>
            <w:tcW w:w="881" w:type="dxa"/>
            <w:shd w:val="clear" w:color="auto" w:fill="auto"/>
            <w:vAlign w:val="center"/>
          </w:tcPr>
          <w:p>
            <w:pPr>
              <w:spacing w:line="300" w:lineRule="exact"/>
              <w:jc w:val="right"/>
              <w:rPr>
                <w:rFonts w:hint="eastAsia" w:ascii="仿宋_GB2312" w:eastAsia="仿宋_GB2312" w:cs="Times New Roman"/>
                <w:sz w:val="32"/>
                <w:szCs w:val="32"/>
              </w:rPr>
            </w:pPr>
          </w:p>
        </w:tc>
        <w:tc>
          <w:tcPr>
            <w:tcW w:w="881" w:type="dxa"/>
            <w:shd w:val="clear" w:color="auto" w:fill="auto"/>
            <w:vAlign w:val="center"/>
          </w:tcPr>
          <w:p>
            <w:pPr>
              <w:spacing w:line="300" w:lineRule="exact"/>
              <w:jc w:val="right"/>
              <w:rPr>
                <w:rFonts w:hint="eastAsia" w:ascii="仿宋_GB2312" w:eastAsia="仿宋_GB2312" w:cs="Times New Roman"/>
                <w:sz w:val="32"/>
                <w:szCs w:val="32"/>
              </w:rPr>
            </w:pPr>
          </w:p>
        </w:tc>
        <w:tc>
          <w:tcPr>
            <w:tcW w:w="829" w:type="dxa"/>
            <w:shd w:val="clear" w:color="auto" w:fill="auto"/>
            <w:vAlign w:val="center"/>
          </w:tcPr>
          <w:p>
            <w:pPr>
              <w:spacing w:line="300" w:lineRule="exact"/>
              <w:jc w:val="right"/>
              <w:rPr>
                <w:rFonts w:hint="eastAsia" w:ascii="仿宋_GB2312"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2392" w:type="dxa"/>
            <w:shd w:val="clear" w:color="auto" w:fill="auto"/>
            <w:vAlign w:val="center"/>
          </w:tcPr>
          <w:p>
            <w:pPr>
              <w:spacing w:line="300" w:lineRule="exact"/>
              <w:jc w:val="left"/>
              <w:rPr>
                <w:rFonts w:hint="eastAsia" w:ascii="仿宋_GB2312" w:eastAsia="仿宋_GB2312" w:cs="Times New Roman"/>
                <w:sz w:val="32"/>
                <w:szCs w:val="32"/>
              </w:rPr>
            </w:pPr>
          </w:p>
        </w:tc>
        <w:tc>
          <w:tcPr>
            <w:tcW w:w="1067" w:type="dxa"/>
            <w:shd w:val="clear" w:color="auto" w:fill="auto"/>
            <w:vAlign w:val="center"/>
          </w:tcPr>
          <w:p>
            <w:pPr>
              <w:spacing w:line="300" w:lineRule="exact"/>
              <w:jc w:val="right"/>
              <w:rPr>
                <w:rFonts w:hint="eastAsia" w:ascii="仿宋_GB2312" w:eastAsia="仿宋_GB2312" w:cs="Times New Roman"/>
                <w:sz w:val="32"/>
                <w:szCs w:val="32"/>
              </w:rPr>
            </w:pPr>
          </w:p>
        </w:tc>
        <w:tc>
          <w:tcPr>
            <w:tcW w:w="879" w:type="dxa"/>
            <w:shd w:val="clear" w:color="auto" w:fill="auto"/>
            <w:vAlign w:val="center"/>
          </w:tcPr>
          <w:p>
            <w:pPr>
              <w:spacing w:line="300" w:lineRule="exact"/>
              <w:jc w:val="left"/>
              <w:rPr>
                <w:rFonts w:hint="eastAsia" w:ascii="仿宋_GB2312" w:eastAsia="仿宋_GB2312" w:cs="Times New Roman"/>
                <w:sz w:val="32"/>
                <w:szCs w:val="32"/>
              </w:rPr>
            </w:pPr>
          </w:p>
        </w:tc>
        <w:tc>
          <w:tcPr>
            <w:tcW w:w="1398" w:type="dxa"/>
            <w:shd w:val="clear" w:color="auto" w:fill="auto"/>
            <w:vAlign w:val="center"/>
          </w:tcPr>
          <w:p>
            <w:pPr>
              <w:spacing w:line="300" w:lineRule="exact"/>
              <w:jc w:val="left"/>
              <w:rPr>
                <w:rFonts w:hint="eastAsia" w:ascii="仿宋_GB2312" w:eastAsia="仿宋_GB2312" w:cs="Times New Roman"/>
                <w:sz w:val="32"/>
                <w:szCs w:val="32"/>
              </w:rPr>
            </w:pPr>
          </w:p>
        </w:tc>
        <w:tc>
          <w:tcPr>
            <w:tcW w:w="879" w:type="dxa"/>
            <w:shd w:val="clear" w:color="auto" w:fill="auto"/>
            <w:vAlign w:val="center"/>
          </w:tcPr>
          <w:p>
            <w:pPr>
              <w:spacing w:line="300" w:lineRule="exact"/>
              <w:jc w:val="left"/>
              <w:rPr>
                <w:rFonts w:hint="eastAsia" w:ascii="仿宋_GB2312" w:eastAsia="仿宋_GB2312" w:cs="Times New Roman"/>
                <w:sz w:val="32"/>
                <w:szCs w:val="32"/>
              </w:rPr>
            </w:pPr>
          </w:p>
        </w:tc>
        <w:tc>
          <w:tcPr>
            <w:tcW w:w="879" w:type="dxa"/>
            <w:shd w:val="clear" w:color="auto" w:fill="auto"/>
            <w:vAlign w:val="center"/>
          </w:tcPr>
          <w:p>
            <w:pPr>
              <w:spacing w:line="300" w:lineRule="exact"/>
              <w:jc w:val="right"/>
              <w:rPr>
                <w:rFonts w:hint="eastAsia" w:ascii="仿宋_GB2312" w:eastAsia="仿宋_GB2312" w:cs="Times New Roman"/>
                <w:sz w:val="32"/>
                <w:szCs w:val="32"/>
              </w:rPr>
            </w:pPr>
          </w:p>
        </w:tc>
        <w:tc>
          <w:tcPr>
            <w:tcW w:w="902" w:type="dxa"/>
            <w:shd w:val="clear" w:color="auto" w:fill="auto"/>
            <w:vAlign w:val="center"/>
          </w:tcPr>
          <w:p>
            <w:pPr>
              <w:spacing w:line="300" w:lineRule="exact"/>
              <w:jc w:val="right"/>
              <w:rPr>
                <w:rFonts w:hint="eastAsia" w:ascii="仿宋_GB2312" w:eastAsia="仿宋_GB2312" w:cs="Times New Roman"/>
                <w:sz w:val="32"/>
                <w:szCs w:val="32"/>
              </w:rPr>
            </w:pPr>
          </w:p>
        </w:tc>
        <w:tc>
          <w:tcPr>
            <w:tcW w:w="899" w:type="dxa"/>
            <w:shd w:val="clear" w:color="auto" w:fill="auto"/>
            <w:vAlign w:val="center"/>
          </w:tcPr>
          <w:p>
            <w:pPr>
              <w:spacing w:line="300" w:lineRule="exact"/>
              <w:jc w:val="right"/>
              <w:rPr>
                <w:rFonts w:hint="eastAsia" w:ascii="仿宋_GB2312" w:eastAsia="仿宋_GB2312" w:cs="Times New Roman"/>
                <w:sz w:val="32"/>
                <w:szCs w:val="32"/>
              </w:rPr>
            </w:pPr>
          </w:p>
        </w:tc>
        <w:tc>
          <w:tcPr>
            <w:tcW w:w="899" w:type="dxa"/>
            <w:shd w:val="clear" w:color="auto" w:fill="auto"/>
            <w:vAlign w:val="center"/>
          </w:tcPr>
          <w:p>
            <w:pPr>
              <w:spacing w:line="300" w:lineRule="exact"/>
              <w:jc w:val="right"/>
              <w:rPr>
                <w:rFonts w:hint="eastAsia" w:ascii="仿宋_GB2312" w:eastAsia="仿宋_GB2312" w:cs="Times New Roman"/>
                <w:sz w:val="32"/>
                <w:szCs w:val="32"/>
              </w:rPr>
            </w:pPr>
          </w:p>
        </w:tc>
        <w:tc>
          <w:tcPr>
            <w:tcW w:w="899" w:type="dxa"/>
            <w:shd w:val="clear" w:color="auto" w:fill="auto"/>
            <w:vAlign w:val="center"/>
          </w:tcPr>
          <w:p>
            <w:pPr>
              <w:spacing w:line="300" w:lineRule="exact"/>
              <w:jc w:val="right"/>
              <w:rPr>
                <w:rFonts w:hint="eastAsia" w:ascii="仿宋_GB2312" w:eastAsia="仿宋_GB2312" w:cs="Times New Roman"/>
                <w:sz w:val="32"/>
                <w:szCs w:val="32"/>
              </w:rPr>
            </w:pPr>
          </w:p>
        </w:tc>
        <w:tc>
          <w:tcPr>
            <w:tcW w:w="818" w:type="dxa"/>
            <w:shd w:val="clear" w:color="auto" w:fill="auto"/>
            <w:vAlign w:val="center"/>
          </w:tcPr>
          <w:p>
            <w:pPr>
              <w:spacing w:line="300" w:lineRule="exact"/>
              <w:jc w:val="right"/>
              <w:rPr>
                <w:rFonts w:hint="eastAsia" w:ascii="仿宋_GB2312" w:eastAsia="仿宋_GB2312" w:cs="Times New Roman"/>
                <w:sz w:val="32"/>
                <w:szCs w:val="32"/>
              </w:rPr>
            </w:pPr>
          </w:p>
        </w:tc>
        <w:tc>
          <w:tcPr>
            <w:tcW w:w="881" w:type="dxa"/>
            <w:shd w:val="clear" w:color="auto" w:fill="auto"/>
            <w:vAlign w:val="center"/>
          </w:tcPr>
          <w:p>
            <w:pPr>
              <w:spacing w:line="300" w:lineRule="exact"/>
              <w:jc w:val="right"/>
              <w:rPr>
                <w:rFonts w:hint="eastAsia" w:ascii="仿宋_GB2312" w:eastAsia="仿宋_GB2312" w:cs="Times New Roman"/>
                <w:sz w:val="32"/>
                <w:szCs w:val="32"/>
              </w:rPr>
            </w:pPr>
          </w:p>
        </w:tc>
        <w:tc>
          <w:tcPr>
            <w:tcW w:w="881" w:type="dxa"/>
            <w:shd w:val="clear" w:color="auto" w:fill="auto"/>
            <w:vAlign w:val="center"/>
          </w:tcPr>
          <w:p>
            <w:pPr>
              <w:spacing w:line="300" w:lineRule="exact"/>
              <w:jc w:val="right"/>
              <w:rPr>
                <w:rFonts w:hint="eastAsia" w:ascii="仿宋_GB2312" w:eastAsia="仿宋_GB2312" w:cs="Times New Roman"/>
                <w:sz w:val="32"/>
                <w:szCs w:val="32"/>
              </w:rPr>
            </w:pPr>
          </w:p>
        </w:tc>
        <w:tc>
          <w:tcPr>
            <w:tcW w:w="829" w:type="dxa"/>
            <w:shd w:val="clear" w:color="auto" w:fill="auto"/>
            <w:vAlign w:val="center"/>
          </w:tcPr>
          <w:p>
            <w:pPr>
              <w:spacing w:line="300" w:lineRule="exact"/>
              <w:jc w:val="right"/>
              <w:rPr>
                <w:rFonts w:hint="eastAsia" w:ascii="仿宋_GB2312" w:eastAsia="仿宋_GB2312" w:cs="Times New Roman"/>
                <w:sz w:val="32"/>
                <w:szCs w:val="32"/>
              </w:rPr>
            </w:pPr>
          </w:p>
        </w:tc>
      </w:tr>
    </w:tbl>
    <w:p>
      <w:pPr>
        <w:numPr>
          <w:ilvl w:val="0"/>
          <w:numId w:val="0"/>
        </w:numPr>
        <w:outlineLvl w:val="0"/>
        <w:rPr>
          <w:rFonts w:hint="eastAsia" w:ascii="仿宋_GB2312" w:eastAsia="仿宋_GB2312" w:cs="宋体"/>
          <w:color w:val="000000"/>
          <w:kern w:val="0"/>
          <w:sz w:val="32"/>
          <w:szCs w:val="32"/>
        </w:rPr>
      </w:pPr>
    </w:p>
    <w:p>
      <w:pPr>
        <w:widowControl/>
        <w:spacing w:line="360" w:lineRule="atLeast"/>
        <w:ind w:left="320" w:hanging="320" w:hangingChars="100"/>
        <w:jc w:val="left"/>
        <w:rPr>
          <w:rFonts w:hint="eastAsia" w:ascii="黑体" w:eastAsia="黑体" w:cs="宋体"/>
          <w:bCs/>
          <w:color w:val="000000"/>
          <w:kern w:val="0"/>
          <w:sz w:val="32"/>
          <w:szCs w:val="32"/>
        </w:rPr>
      </w:pPr>
    </w:p>
    <w:p>
      <w:pPr>
        <w:widowControl/>
        <w:spacing w:line="360" w:lineRule="atLeast"/>
        <w:ind w:left="320" w:hanging="320" w:hangingChars="100"/>
        <w:jc w:val="left"/>
        <w:rPr>
          <w:rFonts w:hint="eastAsia" w:ascii="黑体" w:eastAsia="黑体" w:cs="宋体"/>
          <w:bCs/>
          <w:color w:val="000000"/>
          <w:kern w:val="0"/>
          <w:sz w:val="32"/>
          <w:szCs w:val="32"/>
        </w:rPr>
      </w:pPr>
    </w:p>
    <w:p>
      <w:pPr>
        <w:widowControl/>
        <w:spacing w:line="360" w:lineRule="atLeast"/>
        <w:ind w:left="320" w:hanging="320" w:hangingChars="100"/>
        <w:jc w:val="left"/>
        <w:rPr>
          <w:rFonts w:hint="eastAsia" w:ascii="黑体" w:eastAsia="黑体" w:cs="宋体"/>
          <w:bCs/>
          <w:color w:val="000000"/>
          <w:kern w:val="0"/>
          <w:sz w:val="32"/>
          <w:szCs w:val="32"/>
        </w:rPr>
      </w:pPr>
    </w:p>
    <w:p>
      <w:pPr>
        <w:widowControl/>
        <w:spacing w:line="360" w:lineRule="atLeast"/>
        <w:ind w:left="320" w:hanging="320" w:hangingChars="100"/>
        <w:jc w:val="left"/>
        <w:rPr>
          <w:rFonts w:hint="eastAsia" w:ascii="黑体" w:eastAsia="黑体" w:cs="宋体"/>
          <w:bCs/>
          <w:color w:val="000000"/>
          <w:kern w:val="0"/>
          <w:sz w:val="32"/>
          <w:szCs w:val="32"/>
        </w:rPr>
      </w:pPr>
    </w:p>
    <w:p>
      <w:pPr>
        <w:widowControl/>
        <w:spacing w:line="360" w:lineRule="atLeast"/>
        <w:ind w:left="320" w:hanging="320" w:hangingChars="100"/>
        <w:jc w:val="left"/>
        <w:rPr>
          <w:rFonts w:ascii="仿宋_GB2312" w:eastAsia="仿宋_GB2312" w:cs="宋体"/>
          <w:color w:val="000000"/>
          <w:kern w:val="0"/>
          <w:sz w:val="32"/>
          <w:szCs w:val="32"/>
        </w:rPr>
      </w:pPr>
      <w:r>
        <w:rPr>
          <w:rFonts w:hint="eastAsia" w:ascii="黑体" w:eastAsia="黑体" w:cs="宋体"/>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广阳区统计局</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上年末固定资产金额为85.446万元，我部门本年度无拟购置固定资产，详见下表。</w:t>
      </w:r>
    </w:p>
    <w:tbl>
      <w:tblPr>
        <w:tblStyle w:val="4"/>
        <w:tblW w:w="10400" w:type="dxa"/>
        <w:jc w:val="center"/>
        <w:tblCellSpacing w:w="0" w:type="dxa"/>
        <w:tblLayout w:type="fixed"/>
        <w:tblCellMar>
          <w:top w:w="0" w:type="dxa"/>
          <w:left w:w="0" w:type="dxa"/>
          <w:bottom w:w="0" w:type="dxa"/>
          <w:right w:w="0" w:type="dxa"/>
        </w:tblCellMar>
      </w:tblPr>
      <w:tblGrid>
        <w:gridCol w:w="4025"/>
        <w:gridCol w:w="2585"/>
        <w:gridCol w:w="3790"/>
      </w:tblGrid>
      <w:tr>
        <w:tblPrEx>
          <w:tblCellMar>
            <w:top w:w="0" w:type="dxa"/>
            <w:left w:w="0" w:type="dxa"/>
            <w:bottom w:w="0" w:type="dxa"/>
            <w:right w:w="0" w:type="dxa"/>
          </w:tblCellMar>
        </w:tblPrEx>
        <w:trPr>
          <w:trHeight w:val="705" w:hRule="atLeast"/>
          <w:tblCellSpacing w:w="0" w:type="dxa"/>
          <w:jc w:val="center"/>
        </w:trPr>
        <w:tc>
          <w:tcPr>
            <w:tcW w:w="10400" w:type="dxa"/>
            <w:gridSpan w:val="3"/>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10" w:type="dxa"/>
            <w:gridSpan w:val="2"/>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编制部门：227</w:t>
            </w:r>
            <w:r>
              <w:rPr>
                <w:rFonts w:hint="eastAsia" w:ascii="仿宋_GB2312" w:eastAsia="仿宋_GB2312" w:cs="宋体"/>
                <w:b/>
                <w:bCs/>
                <w:kern w:val="0"/>
                <w:sz w:val="28"/>
                <w:szCs w:val="28"/>
              </w:rPr>
              <w:t>廊坊市广阳区统计局</w:t>
            </w:r>
          </w:p>
        </w:tc>
        <w:tc>
          <w:tcPr>
            <w:tcW w:w="3790" w:type="dxa"/>
            <w:vAlign w:val="center"/>
          </w:tcPr>
          <w:p>
            <w:pPr>
              <w:widowControl/>
              <w:jc w:val="center"/>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85.446</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19.88</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65.566</w:t>
            </w:r>
          </w:p>
        </w:tc>
      </w:tr>
    </w:tbl>
    <w:p>
      <w:pPr>
        <w:pStyle w:val="7"/>
        <w:rPr>
          <w:rFonts w:hint="eastAsia" w:ascii="黑体" w:eastAsia="黑体" w:cs="宋体"/>
          <w:bCs/>
          <w:sz w:val="32"/>
          <w:szCs w:val="32"/>
        </w:rPr>
      </w:pPr>
    </w:p>
    <w:p>
      <w:pPr>
        <w:pStyle w:val="7"/>
        <w:rPr>
          <w:rFonts w:hint="eastAsia" w:ascii="黑体" w:eastAsia="黑体" w:cs="宋体"/>
          <w:bCs/>
          <w:sz w:val="32"/>
          <w:szCs w:val="32"/>
        </w:rPr>
      </w:pPr>
    </w:p>
    <w:p>
      <w:pPr>
        <w:pStyle w:val="7"/>
        <w:rPr>
          <w:rFonts w:ascii="仿宋_GB2312" w:eastAsia="仿宋_GB2312"/>
          <w:b/>
          <w:bCs/>
          <w:sz w:val="32"/>
          <w:szCs w:val="32"/>
        </w:rPr>
      </w:pPr>
      <w:r>
        <w:rPr>
          <w:rFonts w:hint="eastAsia" w:ascii="黑体" w:eastAsia="黑体" w:cs="宋体"/>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ind w:left="640" w:hanging="640" w:hangingChars="200"/>
        <w:jc w:val="left"/>
        <w:rPr>
          <w:rFonts w:ascii="宋体" w:hAnsi="宋体" w:eastAsia="仿宋_GB2312" w:cs="宋体"/>
          <w:color w:val="000000"/>
          <w:kern w:val="0"/>
          <w:sz w:val="32"/>
          <w:szCs w:val="32"/>
        </w:rPr>
      </w:pPr>
      <w:r>
        <w:rPr>
          <w:rFonts w:hint="eastAsia" w:ascii="黑体" w:eastAsia="黑体" w:cs="宋体"/>
          <w:bCs/>
          <w:color w:val="000000"/>
          <w:kern w:val="0"/>
          <w:sz w:val="32"/>
          <w:szCs w:val="32"/>
        </w:rPr>
        <w:t>九、其</w:t>
      </w:r>
      <w:r>
        <w:rPr>
          <w:rFonts w:hint="eastAsia" w:ascii="黑体" w:eastAsia="黑体" w:cs="宋体"/>
          <w:bCs/>
          <w:color w:val="000000"/>
          <w:kern w:val="0"/>
          <w:sz w:val="32"/>
          <w:szCs w:val="32"/>
          <w:lang w:eastAsia="zh-CN"/>
        </w:rPr>
        <w:t>他</w:t>
      </w:r>
      <w:r>
        <w:rPr>
          <w:rFonts w:hint="eastAsia" w:ascii="黑体" w:eastAsia="黑体" w:cs="宋体"/>
          <w:bCs/>
          <w:color w:val="000000"/>
          <w:kern w:val="0"/>
          <w:sz w:val="32"/>
          <w:szCs w:val="32"/>
        </w:rPr>
        <w:t>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B5205A"/>
    <w:multiLevelType w:val="singleLevel"/>
    <w:tmpl w:val="A0B5205A"/>
    <w:lvl w:ilvl="0" w:tentative="0">
      <w:start w:val="6"/>
      <w:numFmt w:val="chineseCounting"/>
      <w:suff w:val="nothing"/>
      <w:lvlText w:val="%1、"/>
      <w:lvlJc w:val="left"/>
      <w:rPr>
        <w:rFonts w:hint="eastAsia"/>
      </w:rPr>
    </w:lvl>
  </w:abstractNum>
  <w:abstractNum w:abstractNumId="1">
    <w:nsid w:val="AFBA1474"/>
    <w:multiLevelType w:val="multilevel"/>
    <w:tmpl w:val="AFBA1474"/>
    <w:lvl w:ilvl="0" w:tentative="0">
      <w:start w:val="1"/>
      <w:numFmt w:val="chineseCountingThousand"/>
      <w:lvlText w:val="%1、"/>
      <w:lvlJc w:val="left"/>
      <w:pPr>
        <w:tabs>
          <w:tab w:val="left" w:pos="1073"/>
        </w:tabs>
        <w:ind w:left="1073" w:hanging="647"/>
      </w:pPr>
      <w:rPr>
        <w:rFonts w:hint="default" w:ascii="黑体" w:hAnsi="黑体" w:eastAsia="黑体"/>
      </w:rPr>
    </w:lvl>
    <w:lvl w:ilvl="1" w:tentative="0">
      <w:start w:val="1"/>
      <w:numFmt w:val="lowerLetter"/>
      <w:lvlText w:val="%2)"/>
      <w:lvlJc w:val="left"/>
      <w:pPr>
        <w:tabs>
          <w:tab w:val="left" w:pos="1266"/>
        </w:tabs>
        <w:ind w:left="1266" w:hanging="420"/>
      </w:pPr>
    </w:lvl>
    <w:lvl w:ilvl="2" w:tentative="0">
      <w:start w:val="1"/>
      <w:numFmt w:val="lowerRoman"/>
      <w:lvlText w:val="%3."/>
      <w:lvlJc w:val="right"/>
      <w:pPr>
        <w:tabs>
          <w:tab w:val="left" w:pos="1686"/>
        </w:tabs>
        <w:ind w:left="1686" w:hanging="420"/>
      </w:pPr>
    </w:lvl>
    <w:lvl w:ilvl="3" w:tentative="0">
      <w:start w:val="1"/>
      <w:numFmt w:val="decimal"/>
      <w:lvlText w:val="%4."/>
      <w:lvlJc w:val="left"/>
      <w:pPr>
        <w:tabs>
          <w:tab w:val="left" w:pos="2106"/>
        </w:tabs>
        <w:ind w:left="2106" w:hanging="420"/>
      </w:pPr>
    </w:lvl>
    <w:lvl w:ilvl="4" w:tentative="0">
      <w:start w:val="1"/>
      <w:numFmt w:val="lowerLetter"/>
      <w:lvlText w:val="%5)"/>
      <w:lvlJc w:val="left"/>
      <w:pPr>
        <w:tabs>
          <w:tab w:val="left" w:pos="2526"/>
        </w:tabs>
        <w:ind w:left="2526" w:hanging="420"/>
      </w:pPr>
    </w:lvl>
    <w:lvl w:ilvl="5" w:tentative="0">
      <w:start w:val="1"/>
      <w:numFmt w:val="lowerRoman"/>
      <w:lvlText w:val="%6."/>
      <w:lvlJc w:val="right"/>
      <w:pPr>
        <w:tabs>
          <w:tab w:val="left" w:pos="2946"/>
        </w:tabs>
        <w:ind w:left="2946" w:hanging="420"/>
      </w:pPr>
    </w:lvl>
    <w:lvl w:ilvl="6" w:tentative="0">
      <w:start w:val="1"/>
      <w:numFmt w:val="decimal"/>
      <w:lvlText w:val="%7."/>
      <w:lvlJc w:val="left"/>
      <w:pPr>
        <w:tabs>
          <w:tab w:val="left" w:pos="3366"/>
        </w:tabs>
        <w:ind w:left="3366" w:hanging="420"/>
      </w:pPr>
    </w:lvl>
    <w:lvl w:ilvl="7" w:tentative="0">
      <w:start w:val="1"/>
      <w:numFmt w:val="lowerLetter"/>
      <w:lvlText w:val="%8)"/>
      <w:lvlJc w:val="left"/>
      <w:pPr>
        <w:tabs>
          <w:tab w:val="left" w:pos="3786"/>
        </w:tabs>
        <w:ind w:left="3786" w:hanging="420"/>
      </w:pPr>
    </w:lvl>
    <w:lvl w:ilvl="8" w:tentative="0">
      <w:start w:val="1"/>
      <w:numFmt w:val="lowerRoman"/>
      <w:lvlText w:val="%9."/>
      <w:lvlJc w:val="right"/>
      <w:pPr>
        <w:tabs>
          <w:tab w:val="left" w:pos="4206"/>
        </w:tabs>
        <w:ind w:left="420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F72BEA"/>
    <w:rsid w:val="00130391"/>
    <w:rsid w:val="002461DB"/>
    <w:rsid w:val="005346CF"/>
    <w:rsid w:val="005508A6"/>
    <w:rsid w:val="007C471D"/>
    <w:rsid w:val="00840886"/>
    <w:rsid w:val="0085744F"/>
    <w:rsid w:val="00984B26"/>
    <w:rsid w:val="009E7F66"/>
    <w:rsid w:val="00A23693"/>
    <w:rsid w:val="00D21D6A"/>
    <w:rsid w:val="00D228AF"/>
    <w:rsid w:val="00E116ED"/>
    <w:rsid w:val="00F72BEA"/>
    <w:rsid w:val="1FF27FFD"/>
    <w:rsid w:val="3F4E09D1"/>
    <w:rsid w:val="44E15712"/>
    <w:rsid w:val="7F780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677</Words>
  <Characters>3863</Characters>
  <Lines>32</Lines>
  <Paragraphs>9</Paragraphs>
  <TotalTime>0</TotalTime>
  <ScaleCrop>false</ScaleCrop>
  <LinksUpToDate>false</LinksUpToDate>
  <CharactersWithSpaces>4531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2018-02-23T03:56:00Z</dcterms:created>
  <dc:creator>lenovo</dc:creator>
  <cp:lastModifiedBy>Administrator</cp:lastModifiedBy>
  <dcterms:modified xsi:type="dcterms:W3CDTF">2024-01-18T01:48:59Z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4193FB834FC245288FBA92029E6B49B4</vt:lpwstr>
  </property>
</Properties>
</file>