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 廊坊市广阳区统计局2017年部门预算</w:t>
      </w:r>
      <w:r>
        <w:rPr>
          <w:rFonts w:ascii="方正小标宋简体" w:eastAsia="方正小标宋简体" w:cs="宋体"/>
          <w:b/>
          <w:bCs/>
          <w:color w:val="000000"/>
          <w:kern w:val="0"/>
          <w:sz w:val="44"/>
          <w:szCs w:val="44"/>
        </w:rPr>
        <w:t>信息</w:t>
      </w:r>
      <w:r>
        <w:rPr>
          <w:rFonts w:hint="eastAsia" w:ascii="方正小标宋简体" w:eastAsia="方正小标宋简体" w:cs="宋体"/>
          <w:b/>
          <w:bCs/>
          <w:color w:val="000000"/>
          <w:kern w:val="0"/>
          <w:sz w:val="44"/>
          <w:szCs w:val="44"/>
        </w:rPr>
        <w:t>公开</w:t>
      </w:r>
    </w:p>
    <w:p>
      <w:pPr>
        <w:widowControl/>
        <w:spacing w:line="360" w:lineRule="atLeast"/>
        <w:jc w:val="center"/>
        <w:rPr>
          <w:rFonts w:ascii="方正小标宋简体" w:eastAsia="方正小标宋简体" w:cs="宋体"/>
          <w:color w:val="000000"/>
          <w:kern w:val="0"/>
          <w:sz w:val="44"/>
          <w:szCs w:val="44"/>
        </w:rPr>
      </w:pP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廊坊市广阳区统计局</w:t>
      </w:r>
      <w:r>
        <w:rPr>
          <w:rFonts w:hint="eastAsia" w:ascii="仿宋_GB2312" w:eastAsia="仿宋_GB2312"/>
          <w:sz w:val="32"/>
          <w:szCs w:val="32"/>
        </w:rPr>
        <w:t xml:space="preserve">2017年部门预算公开如下：  </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贯彻执行国家、省建立的国民经济核算体系，统计指标体系和全国统一的基本统计报表制度；完善和统一管理全区各项核算制度；组织、管理、协调各乡（镇、办事处）、各部门统计工作和国民经济核算工作；统一组织、管理全区的统计报表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在区政府统一领导下，会同有关部门统一组织领导完成国家、省和市的重大国情国力、省情省力、市情市力、区情区力普查和抽样调查；统一组织协调管理各乡（镇、办事处）、各部门的社会经济调查；审查各乡（镇、办事处）和区政府各部门的统计调查计划、调查方案；组织完成国家、省、市布置的各项调查任务，搜集、整理、提供全区的基本统计资料；对国民经济、科技进步和社会发展等情况进行统计分析、统计预测和统计监督，向区委、区政府及有关部门提供统计信息和咨询建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（三）建立健全和管理乡以上国家信息自动化和统计数据库体系；组织协调和统一管理全区数据库网络。</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部门机构设置情况</w:t>
      </w:r>
    </w:p>
    <w:tbl>
      <w:tblPr>
        <w:tblStyle w:val="4"/>
        <w:tblW w:w="954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30"/>
        <w:gridCol w:w="1619"/>
        <w:gridCol w:w="1417"/>
        <w:gridCol w:w="21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61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1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3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廊坊市广阳区统计局</w:t>
            </w:r>
          </w:p>
        </w:tc>
        <w:tc>
          <w:tcPr>
            <w:tcW w:w="161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17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2017年预算收入481.51万元，其中：一般公共预算收入481.51万元，政府性基金收入0万元。</w:t>
      </w:r>
    </w:p>
    <w:p>
      <w:pPr>
        <w:widowControl/>
        <w:spacing w:line="360" w:lineRule="atLeast"/>
        <w:jc w:val="left"/>
        <w:rPr>
          <w:rFonts w:ascii="仿宋_GB2312" w:eastAsia="仿宋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2017年支出预算481.51万元，其中基本支出481.51万元，包括人员经费和日常公用经费，项目支出0万元。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2017年预算收支安排481.51万元，较2016年预算增加35.06万元，其中：基本支出增加70.06万元，主要为增加人员经费支出；项目支出减少35万元，主要为财力紧张预算未安排。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2017年预算安排我部门机关运行经费1.75万元，其中办公经费1.75万元。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总体绩效目标：</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1、全力做好各项统计调查工作，做好1%人口抽样调查工作，做好2017年统计报表工作，确保圆满完成全年目标任务；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2、充分发挥统计部门职能作用，坚定信心，迎难而上，强化责任意识，做到应统尽统，确保统计数据质量；</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3、加强统计服务，深入基层开展调查研究，增强统计分析的及时性、科学性和针对性，努力为区委、区政府领导决策服务到位。</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按照国家统计局、财政部关于印发《关于统计部门周期性普查和大型调查经费开支问题的暂行规定》，分年度完成普查工作，确保普查的顺利完成。组织完成国家部署的国情国力普查及重要调查任务，研究提出重大县情县力普查和抽样调查计划并组织实施，汇总、整理和提供有关县情县力方面的统计数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2、根据部门职责及《中华人民共和国统计法》和国家统计局、县政府有关文件要求，组织实施涉及相关行业数据的专项统计调查。组织开展专项统计调查工作，了解基层情况和动态提供统计信息和咨询建议。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3、保障全区统计信息自动化系统和统计数据库系统运行安全平稳。保证统计数据的顺利报送汇总。</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90"/>
        <w:gridCol w:w="883"/>
        <w:gridCol w:w="1987"/>
        <w:gridCol w:w="2123"/>
        <w:gridCol w:w="967"/>
        <w:gridCol w:w="575"/>
        <w:gridCol w:w="575"/>
        <w:gridCol w:w="575"/>
        <w:gridCol w:w="5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227廊坊市广阳区统计局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0" w:type="auto"/>
            <w:vMerge w:val="continue"/>
            <w:tcBorders>
              <w:top w:val="outset" w:color="auto" w:sz="6" w:space="0"/>
              <w:left w:val="outset" w:color="auto" w:sz="6" w:space="0"/>
              <w:bottom w:val="outset" w:color="auto" w:sz="6" w:space="0"/>
              <w:right w:val="outset" w:color="auto" w:sz="6" w:space="0"/>
            </w:tcBorders>
            <w:vAlign w:val="center"/>
          </w:tcPr>
          <w:p>
            <w:pPr>
              <w:rPr>
                <w:sz w:val="28"/>
                <w:szCs w:val="28"/>
              </w:rPr>
            </w:p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国民经济核算</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在全县开展GDP核算、资产负债核算、资金流量核算工作。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完成全县年度数据的测算审核认定工作;完成必要分析，对相关经济决策提供重要依据。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国民经济核算</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贯彻执行国家国民经济核算制度，组织实施全县国民经济核算制度和投入产出调查，核算全县生产总值，整理、测算和提供国民经济核算资料，监督管理全县国民经济核算工作。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完成全县年度、季度数据及各市年度数据的测算审核认定工作；完成必要分析，对相关经济决策提供重要依据。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综合数据统计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统计调查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组织国情国力普查和工业、农业、社会、教育、节能、卫生等涉及相关行业的专项统计调查监测，收集、整理统计数据，提供咨询建议。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研究制定资料开发应用计划，进行业务培训，组织开展深层次课题研究，发布普查主要数据公报，完成普查工作总结和表彰。</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国情国力普查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组织完成国家部署的国情国力普查及重要调查任务，研究提出重大县情县力普查和抽样调查计划并组织实施，汇总、整理和提供有关县情县力方面的统计数据。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按照国家统计局、财政部关于印发《关于统计部门周期性普查和大型调查经费开支问题的暂行规定》，分年度完成普查工作，确保普查的顺利完成。</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国情国力普查</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专项统计调查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根据部门职责及《中华人民共和国统计法》和国家统计局、县政府有关文件要求，组织实施涉及相关行业数据的专项统计调查。</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组织开展专项统计调查工作，了解基层情况和动态提供统计信息和咨询建议。</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专项统计调查</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统计数据采集决策咨询</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保障全县统计信息自动化系统和统计数据库系统运行安全平稳。保证统计数据的顺利报送汇总。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信息化建设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统计政务管理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保障机关日常运转，健全全县统计法制建设，指导全县统计专业技术队伍建设。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保障统计信息化建设、统计执法、统计人员上岗资格认定、职称考试等全县统计专业技术队伍建设。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开展统计执法检查和培训工作，防范统计违法现象的发生；拟定全县统计教育培训制度、规划等，统一归口管理指导全县统计教育培训工作； 开展全县统计专业技术人员职称资格考试和评定工作。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统计法制建设</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保障机关日常运转，开展纪检监察、计财内审、人事管理、老干部管理、党建、后勤、行政许可事务性管理等工作。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hint="eastAsia" w:ascii="仿宋_GB2312" w:eastAsia="仿宋_GB2312" w:cs="Times New Roman"/>
          <w:sz w:val="28"/>
          <w:szCs w:val="28"/>
        </w:rPr>
      </w:pPr>
    </w:p>
    <w:p>
      <w:pPr>
        <w:jc w:val="center"/>
        <w:outlineLvl w:val="0"/>
        <w:rPr>
          <w:rFonts w:hint="eastAsia" w:ascii="仿宋_GB2312" w:eastAsia="仿宋_GB2312" w:cs="Times New Roman"/>
          <w:sz w:val="28"/>
          <w:szCs w:val="28"/>
        </w:rPr>
      </w:pPr>
    </w:p>
    <w:p>
      <w:pPr>
        <w:jc w:val="center"/>
        <w:outlineLvl w:val="0"/>
        <w:rPr>
          <w:rFonts w:hint="eastAsia" w:ascii="仿宋_GB2312" w:eastAsia="仿宋_GB2312" w:cs="Times New Roman"/>
          <w:sz w:val="28"/>
          <w:szCs w:val="28"/>
        </w:rPr>
      </w:pP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b/>
                <w:bCs/>
                <w:color w:val="000000"/>
                <w:kern w:val="0"/>
                <w:sz w:val="28"/>
                <w:szCs w:val="28"/>
              </w:rPr>
              <w:t>廊坊市广阳区统计局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我部门（含所属单位）上年末固定资产金额为78.04万元，我部门本年度无拟购置固定资产，详见下表。</w:t>
      </w:r>
    </w:p>
    <w:tbl>
      <w:tblPr>
        <w:tblStyle w:val="4"/>
        <w:tblpPr w:leftFromText="180" w:rightFromText="180" w:vertAnchor="text" w:tblpXSpec="center" w:tblpY="1"/>
        <w:tblOverlap w:val="never"/>
        <w:tblW w:w="10742" w:type="dxa"/>
        <w:tblCellSpacing w:w="0" w:type="dxa"/>
        <w:tblInd w:w="0" w:type="dxa"/>
        <w:tblLayout w:type="autofit"/>
        <w:tblCellMar>
          <w:top w:w="0" w:type="dxa"/>
          <w:left w:w="0" w:type="dxa"/>
          <w:bottom w:w="0" w:type="dxa"/>
          <w:right w:w="0" w:type="dxa"/>
        </w:tblCellMar>
      </w:tblPr>
      <w:tblGrid>
        <w:gridCol w:w="4060"/>
        <w:gridCol w:w="2620"/>
        <w:gridCol w:w="4122"/>
      </w:tblGrid>
      <w:tr>
        <w:tblPrEx>
          <w:tblCellMar>
            <w:top w:w="0" w:type="dxa"/>
            <w:left w:w="0" w:type="dxa"/>
            <w:bottom w:w="0" w:type="dxa"/>
            <w:right w:w="0" w:type="dxa"/>
          </w:tblCellMar>
        </w:tblPrEx>
        <w:trPr>
          <w:trHeight w:val="705" w:hRule="atLeast"/>
          <w:tblCellSpacing w:w="0" w:type="dxa"/>
        </w:trPr>
        <w:tc>
          <w:tcPr>
            <w:tcW w:w="10742" w:type="dxa"/>
            <w:gridSpan w:val="3"/>
            <w:noWrap/>
            <w:vAlign w:val="center"/>
          </w:tcPr>
          <w:p>
            <w:pPr>
              <w:widowControl/>
              <w:rPr>
                <w:rFonts w:hint="eastAsia" w:ascii="仿宋_GB2312" w:eastAsia="仿宋_GB2312" w:cs="宋体"/>
                <w:b/>
                <w:bCs/>
                <w:kern w:val="0"/>
                <w:sz w:val="28"/>
                <w:szCs w:val="28"/>
              </w:rPr>
            </w:pPr>
            <w:r>
              <w:rPr>
                <w:rFonts w:hint="eastAsia" w:ascii="仿宋_GB2312" w:eastAsia="仿宋_GB2312" w:cs="宋体"/>
                <w:b/>
                <w:bCs/>
                <w:kern w:val="0"/>
                <w:sz w:val="28"/>
                <w:szCs w:val="28"/>
              </w:rPr>
              <w:t xml:space="preserve">               </w:t>
            </w:r>
          </w:p>
          <w:p>
            <w:pPr>
              <w:widowControl/>
              <w:rPr>
                <w:rFonts w:hint="eastAsia" w:ascii="仿宋_GB2312" w:eastAsia="仿宋_GB2312" w:cs="宋体"/>
                <w:b/>
                <w:bCs/>
                <w:kern w:val="0"/>
                <w:sz w:val="28"/>
                <w:szCs w:val="28"/>
              </w:rPr>
            </w:pPr>
          </w:p>
          <w:p>
            <w:pPr>
              <w:widowControl/>
              <w:rPr>
                <w:rFonts w:ascii="仿宋_GB2312" w:eastAsia="仿宋_GB2312" w:cs="宋体"/>
                <w:kern w:val="0"/>
                <w:sz w:val="28"/>
                <w:szCs w:val="28"/>
              </w:rPr>
            </w:pPr>
            <w:r>
              <w:rPr>
                <w:rFonts w:hint="eastAsia" w:ascii="仿宋_GB2312" w:eastAsia="仿宋_GB2312" w:cs="宋体"/>
                <w:b/>
                <w:bCs/>
                <w:kern w:val="0"/>
                <w:sz w:val="28"/>
                <w:szCs w:val="28"/>
              </w:rPr>
              <w:t xml:space="preserve">              廊坊市广阳区预算部门固定资产占用情况表</w:t>
            </w:r>
          </w:p>
        </w:tc>
      </w:tr>
      <w:tr>
        <w:tblPrEx>
          <w:tblCellMar>
            <w:top w:w="0" w:type="dxa"/>
            <w:left w:w="0" w:type="dxa"/>
            <w:bottom w:w="0" w:type="dxa"/>
            <w:right w:w="0" w:type="dxa"/>
          </w:tblCellMar>
        </w:tblPrEx>
        <w:trPr>
          <w:trHeight w:val="510" w:hRule="atLeast"/>
          <w:tblCellSpacing w:w="0" w:type="dxa"/>
        </w:trPr>
        <w:tc>
          <w:tcPr>
            <w:tcW w:w="6640"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廊坊市广阳区统计局</w:t>
            </w:r>
          </w:p>
        </w:tc>
        <w:tc>
          <w:tcPr>
            <w:tcW w:w="4102"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4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4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78.04</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4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4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4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33.66</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4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trPr>
        <w:tc>
          <w:tcPr>
            <w:tcW w:w="4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6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410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44.38</w:t>
            </w:r>
          </w:p>
        </w:tc>
      </w:tr>
    </w:tbl>
    <w:p>
      <w:pPr>
        <w:pStyle w:val="7"/>
        <w:rPr>
          <w:rFonts w:hint="eastAsia" w:ascii="黑体" w:eastAsia="黑体" w:cs="宋体"/>
          <w:sz w:val="32"/>
          <w:szCs w:val="32"/>
        </w:rPr>
      </w:pPr>
      <w:r>
        <w:rPr>
          <w:rFonts w:ascii="黑体" w:eastAsia="黑体" w:cs="宋体"/>
          <w:b/>
          <w:bCs/>
          <w:sz w:val="32"/>
          <w:szCs w:val="32"/>
        </w:rPr>
        <w:br w:type="textWrapping" w:clear="all"/>
      </w:r>
      <w:r>
        <w:rPr>
          <w:rFonts w:hint="eastAsia" w:ascii="黑体" w:eastAsia="黑体" w:cs="宋体"/>
          <w:b/>
          <w:bCs/>
          <w:sz w:val="32"/>
          <w:szCs w:val="32"/>
        </w:rPr>
        <w:t>八、名词解释</w:t>
      </w:r>
    </w:p>
    <w:p>
      <w:pPr>
        <w:pStyle w:val="7"/>
        <w:rPr>
          <w:rFonts w:ascii="仿宋_GB2312" w:eastAsia="仿宋_GB2312"/>
          <w:b/>
          <w:bCs/>
          <w:sz w:val="32"/>
          <w:szCs w:val="32"/>
        </w:rPr>
      </w:pPr>
      <w:r>
        <w:rPr>
          <w:rFonts w:hint="eastAsia" w:ascii="仿宋_GB2312" w:eastAsia="仿宋_GB2312"/>
          <w:b/>
          <w:bCs/>
          <w:sz w:val="32"/>
          <w:szCs w:val="32"/>
        </w:rPr>
        <w:t xml:space="preserve">    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73446F"/>
    <w:rsid w:val="006B3C99"/>
    <w:rsid w:val="0073446F"/>
    <w:rsid w:val="008E5A2E"/>
    <w:rsid w:val="312F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596</Words>
  <Characters>3400</Characters>
  <Lines>28</Lines>
  <Paragraphs>7</Paragraphs>
  <TotalTime>9</TotalTime>
  <ScaleCrop>false</ScaleCrop>
  <LinksUpToDate>false</LinksUpToDate>
  <CharactersWithSpaces>3989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2024-01-18T02:08:37Z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CB97D6FF04AE4760A4D240A9106971C3</vt:lpwstr>
  </property>
</Properties>
</file>