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color w:val="000000"/>
          <w:kern w:val="0"/>
          <w:sz w:val="44"/>
          <w:szCs w:val="44"/>
        </w:rPr>
        <w:t>廊坊市广阳区审计局2017年部门预算</w:t>
      </w:r>
      <w:r>
        <w:rPr>
          <w:rFonts w:ascii="方正小标宋简体" w:eastAsia="方正小标宋简体" w:cs="宋体"/>
          <w:color w:val="000000"/>
          <w:kern w:val="0"/>
          <w:sz w:val="44"/>
          <w:szCs w:val="44"/>
        </w:rPr>
        <w:t>信息</w:t>
      </w:r>
      <w:r>
        <w:rPr>
          <w:rFonts w:hint="eastAsia" w:ascii="方正小标宋简体" w:eastAsia="方正小标宋简体" w:cs="宋体"/>
          <w:color w:val="000000"/>
          <w:kern w:val="0"/>
          <w:sz w:val="44"/>
          <w:szCs w:val="44"/>
        </w:rPr>
        <w:t>公开</w:t>
      </w:r>
      <w:r>
        <w:rPr>
          <w:rFonts w:hint="eastAsia" w:ascii="方正小标宋简体" w:eastAsia="方正小标宋简体" w:cs="宋体"/>
          <w:color w:val="000000"/>
          <w:kern w:val="0"/>
          <w:sz w:val="44"/>
          <w:szCs w:val="44"/>
        </w:rPr>
        <w:br w:type="textWrapping"/>
      </w:r>
      <w:r>
        <w:rPr>
          <w:rFonts w:hint="eastAsia" w:ascii="宋体" w:cs="宋体"/>
          <w:color w:val="000000"/>
          <w:kern w:val="0"/>
          <w:sz w:val="18"/>
          <w:szCs w:val="18"/>
        </w:rPr>
        <w:t> </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w:t>
      </w:r>
      <w:r>
        <w:rPr>
          <w:rFonts w:hint="eastAsia" w:ascii="仿宋_GB2312" w:eastAsia="仿宋_GB2312" w:cs="宋体"/>
          <w:color w:val="000000"/>
          <w:kern w:val="0"/>
          <w:sz w:val="32"/>
          <w:szCs w:val="32"/>
          <w:lang w:eastAsia="zh-CN"/>
        </w:rPr>
        <w:t>中华人民共和国</w:t>
      </w:r>
      <w:bookmarkStart w:id="0" w:name="_GoBack"/>
      <w:bookmarkEnd w:id="0"/>
      <w:r>
        <w:rPr>
          <w:rFonts w:hint="eastAsia" w:ascii="仿宋_GB2312" w:eastAsia="仿宋_GB2312" w:cs="宋体"/>
          <w:color w:val="000000"/>
          <w:kern w:val="0"/>
          <w:sz w:val="32"/>
          <w:szCs w:val="32"/>
        </w:rPr>
        <w:t xml:space="preserve">预算法》、《地方预决算公开操作规程》和《河北省省级预算公开办法》规定，现将廊坊市广阳区审计局2017年部门预算公开如下：  </w:t>
      </w:r>
    </w:p>
    <w:p>
      <w:pPr>
        <w:widowControl/>
        <w:spacing w:line="360" w:lineRule="atLeast"/>
        <w:ind w:firstLine="640" w:firstLineChars="200"/>
        <w:jc w:val="left"/>
        <w:rPr>
          <w:rFonts w:ascii="仿宋" w:eastAsia="仿宋" w:cs="宋体"/>
          <w:color w:val="000000"/>
          <w:kern w:val="0"/>
          <w:sz w:val="28"/>
          <w:szCs w:val="28"/>
        </w:rPr>
      </w:pPr>
      <w:r>
        <w:rPr>
          <w:rFonts w:hint="eastAsia" w:ascii="黑体" w:eastAsia="黑体" w:cs="宋体"/>
          <w:color w:val="000000"/>
          <w:kern w:val="0"/>
          <w:sz w:val="32"/>
          <w:szCs w:val="32"/>
        </w:rPr>
        <w:t>一、部门职责及机构设置情况</w:t>
      </w:r>
      <w:r>
        <w:rPr>
          <w:rFonts w:hint="eastAsia" w:ascii="黑体" w:eastAsia="黑体" w:cs="宋体"/>
          <w:color w:val="000000"/>
          <w:kern w:val="0"/>
          <w:sz w:val="32"/>
          <w:szCs w:val="32"/>
        </w:rPr>
        <w:br w:type="textWrapping"/>
      </w:r>
      <w:r>
        <w:rPr>
          <w:rFonts w:hint="eastAsia" w:ascii="宋体" w:cs="宋体"/>
          <w:b/>
          <w:bCs/>
          <w:color w:val="000000"/>
          <w:kern w:val="0"/>
          <w:sz w:val="27"/>
        </w:rPr>
        <w:t>  </w:t>
      </w:r>
      <w:r>
        <w:rPr>
          <w:rFonts w:hint="eastAsia" w:ascii="楷体" w:eastAsia="楷体" w:cs="宋体"/>
          <w:b/>
          <w:bCs/>
          <w:color w:val="000000"/>
          <w:kern w:val="0"/>
          <w:sz w:val="32"/>
          <w:szCs w:val="32"/>
        </w:rPr>
        <w:t>部门职责：</w:t>
      </w:r>
      <w:r>
        <w:rPr>
          <w:rFonts w:hint="eastAsia" w:ascii="楷体" w:eastAsia="楷体" w:cs="宋体"/>
          <w:b/>
          <w:bCs/>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广阳区审计局是区政府依法行使审计监督权的行政机关。主要职责是：编制全区年度审计工作计划，确定年度工作重点；制定审计规章制度并监督执行情况。向区政府报告和向区政府有关部门通报审计情况，提出制定和完善有关政策法规、工作措施的建议。依据《中华人民共和国审计法》及《中华人民共和国审计法实施条例》规定，直接进行下列审计：</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1、区本级财政预算执行情况和其他财政收支。</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2、区直各部门、事业单位及下属单位的财务收支。</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3、乡（镇）人民政府预算执行情况和决算。</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4、区政府部门和乡（镇）人民政府预算外财政收支。</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5、区属地方金融、保险机构及分支机构的资产、负债和损益状况；上级审计机关安排的国有金融机构，非银行金融机构资产、负债和损益状况。</w:t>
      </w:r>
      <w:r>
        <w:rPr>
          <w:rFonts w:hint="eastAsia" w:ascii="仿宋_GB2312" w:eastAsia="仿宋_GB2312" w:cs="宋体"/>
          <w:color w:val="000000"/>
          <w:kern w:val="0"/>
          <w:sz w:val="32"/>
          <w:szCs w:val="32"/>
        </w:rPr>
        <w:br w:type="textWrapping"/>
      </w:r>
      <w:r>
        <w:rPr>
          <w:rFonts w:hint="eastAsia" w:ascii="宋体" w:cs="宋体"/>
          <w:color w:val="000000"/>
          <w:kern w:val="0"/>
          <w:sz w:val="27"/>
          <w:szCs w:val="27"/>
        </w:rPr>
        <w:t>  </w:t>
      </w:r>
      <w:r>
        <w:rPr>
          <w:rFonts w:hint="eastAsia" w:ascii="仿宋_GB2312" w:eastAsia="仿宋_GB2312" w:cs="宋体"/>
          <w:color w:val="000000"/>
          <w:kern w:val="0"/>
          <w:sz w:val="32"/>
          <w:szCs w:val="32"/>
        </w:rPr>
        <w:t xml:space="preserve"> 6、区政府管理的和受区政府委托由社会团体管理的社会保障基金、环境保护资金、社会捐赠资金及其它有关基金、资金的财务收支。</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7、上级审计机关授权的国际组织和外国政府援助、贷款项目的财务收支。</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8、区属境外企业、合资合作企业的资产、负债和损益状况。</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9、区属国有企业、国有控股企业的资产、负债和损益状况。</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10、对政府投资和以政府投资为主的建设项目的预算或概算执行情况和决算。</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11、其它法律法规规定的审计事项。</w:t>
      </w:r>
      <w:r>
        <w:rPr>
          <w:rFonts w:hint="eastAsia" w:ascii="仿宋_GB2312" w:eastAsia="仿宋_GB2312" w:cs="宋体"/>
          <w:color w:val="000000"/>
          <w:kern w:val="0"/>
          <w:sz w:val="32"/>
          <w:szCs w:val="32"/>
        </w:rPr>
        <w:br w:type="textWrapping"/>
      </w:r>
      <w:r>
        <w:rPr>
          <w:rFonts w:hint="eastAsia" w:ascii="宋体" w:hAnsi="宋体" w:eastAsia="楷体" w:cs="宋体"/>
          <w:b/>
          <w:bCs/>
          <w:color w:val="000000"/>
          <w:kern w:val="0"/>
          <w:sz w:val="32"/>
          <w:szCs w:val="32"/>
        </w:rPr>
        <w:t>  </w:t>
      </w:r>
      <w:r>
        <w:rPr>
          <w:rFonts w:hint="eastAsia" w:ascii="楷体" w:eastAsia="楷体" w:cs="宋体"/>
          <w:b/>
          <w:bCs/>
          <w:color w:val="000000"/>
          <w:kern w:val="0"/>
          <w:sz w:val="32"/>
          <w:szCs w:val="32"/>
        </w:rPr>
        <w:t>机构设置：</w:t>
      </w:r>
      <w:r>
        <w:rPr>
          <w:rFonts w:hint="eastAsia" w:ascii="楷体" w:eastAsia="楷体" w:cs="宋体"/>
          <w:b/>
          <w:bCs/>
          <w:color w:val="000000"/>
          <w:kern w:val="0"/>
          <w:sz w:val="32"/>
          <w:szCs w:val="32"/>
        </w:rPr>
        <w:br w:type="textWrapping"/>
      </w:r>
      <w:r>
        <w:rPr>
          <w:rFonts w:hint="eastAsia" w:ascii="宋体" w:cs="宋体"/>
          <w:color w:val="000000"/>
          <w:kern w:val="0"/>
          <w:sz w:val="27"/>
          <w:szCs w:val="27"/>
        </w:rPr>
        <w:t>  </w:t>
      </w:r>
      <w:r>
        <w:rPr>
          <w:rFonts w:hint="eastAsia" w:ascii="仿宋" w:eastAsia="仿宋" w:cs="宋体"/>
          <w:color w:val="000000"/>
          <w:kern w:val="0"/>
          <w:sz w:val="28"/>
          <w:szCs w:val="28"/>
        </w:rPr>
        <w:t>部门机构设置情况</w:t>
      </w:r>
    </w:p>
    <w:p>
      <w:pPr>
        <w:widowControl/>
        <w:spacing w:line="360" w:lineRule="atLeast"/>
        <w:ind w:firstLine="360" w:firstLineChars="200"/>
        <w:jc w:val="left"/>
        <w:rPr>
          <w:rFonts w:ascii="宋体" w:cs="宋体"/>
          <w:color w:val="000000"/>
          <w:kern w:val="0"/>
          <w:sz w:val="18"/>
          <w:szCs w:val="18"/>
        </w:rPr>
      </w:pPr>
    </w:p>
    <w:tbl>
      <w:tblPr>
        <w:tblStyle w:val="4"/>
        <w:tblW w:w="946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96"/>
        <w:gridCol w:w="1331"/>
        <w:gridCol w:w="1418"/>
        <w:gridCol w:w="2420"/>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4" w:hRule="atLeast"/>
          <w:tblHeader/>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szCs w:val="27"/>
              </w:rPr>
              <w:t>单位名称</w:t>
            </w:r>
          </w:p>
        </w:tc>
        <w:tc>
          <w:tcPr>
            <w:tcW w:w="1331"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szCs w:val="27"/>
              </w:rPr>
              <w:t>单位性质</w:t>
            </w:r>
          </w:p>
        </w:tc>
        <w:tc>
          <w:tcPr>
            <w:tcW w:w="1418"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szCs w:val="27"/>
              </w:rPr>
              <w:t>单位规格</w:t>
            </w:r>
          </w:p>
        </w:tc>
        <w:tc>
          <w:tcPr>
            <w:tcW w:w="242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szCs w:val="27"/>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28"/>
                <w:szCs w:val="28"/>
              </w:rPr>
            </w:pPr>
            <w:r>
              <w:rPr>
                <w:rFonts w:hint="eastAsia" w:ascii="仿宋" w:eastAsia="仿宋" w:cs="宋体"/>
                <w:kern w:val="0"/>
                <w:sz w:val="28"/>
                <w:szCs w:val="28"/>
              </w:rPr>
              <w:t>廊坊市广阳区审计局</w:t>
            </w:r>
          </w:p>
        </w:tc>
        <w:tc>
          <w:tcPr>
            <w:tcW w:w="1331"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28"/>
                <w:szCs w:val="28"/>
              </w:rPr>
            </w:pPr>
            <w:r>
              <w:rPr>
                <w:rFonts w:hint="eastAsia" w:ascii="仿宋" w:eastAsia="仿宋" w:cs="宋体"/>
                <w:kern w:val="0"/>
                <w:sz w:val="28"/>
                <w:szCs w:val="28"/>
              </w:rPr>
              <w:t>行政单位</w:t>
            </w:r>
          </w:p>
        </w:tc>
        <w:tc>
          <w:tcPr>
            <w:tcW w:w="1418"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28"/>
                <w:szCs w:val="28"/>
              </w:rPr>
            </w:pPr>
            <w:r>
              <w:rPr>
                <w:rFonts w:hint="eastAsia" w:ascii="仿宋" w:eastAsia="仿宋" w:cs="宋体"/>
                <w:kern w:val="0"/>
                <w:sz w:val="28"/>
                <w:szCs w:val="28"/>
              </w:rPr>
              <w:t>正科级</w:t>
            </w:r>
          </w:p>
        </w:tc>
        <w:tc>
          <w:tcPr>
            <w:tcW w:w="2420"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 w:eastAsia="仿宋" w:cs="宋体"/>
                <w:kern w:val="0"/>
                <w:sz w:val="28"/>
                <w:szCs w:val="28"/>
              </w:rPr>
            </w:pPr>
            <w:r>
              <w:rPr>
                <w:rFonts w:hint="eastAsia" w:ascii="仿宋" w:eastAsia="仿宋" w:cs="宋体"/>
                <w:kern w:val="0"/>
                <w:sz w:val="28"/>
                <w:szCs w:val="28"/>
              </w:rPr>
              <w:t>财政拨款</w:t>
            </w:r>
          </w:p>
        </w:tc>
      </w:tr>
    </w:tbl>
    <w:p>
      <w:pPr>
        <w:widowControl/>
        <w:spacing w:line="360" w:lineRule="atLeast"/>
        <w:jc w:val="left"/>
        <w:rPr>
          <w:rFonts w:ascii="仿宋_GB2312" w:eastAsia="仿宋_GB2312" w:cs="宋体"/>
          <w:color w:val="000000"/>
          <w:kern w:val="0"/>
          <w:sz w:val="32"/>
          <w:szCs w:val="32"/>
        </w:rPr>
      </w:pPr>
      <w:r>
        <w:rPr>
          <w:rFonts w:hint="eastAsia" w:ascii="宋体" w:cs="宋体"/>
          <w:color w:val="000000"/>
          <w:kern w:val="0"/>
          <w:sz w:val="27"/>
          <w:szCs w:val="27"/>
        </w:rPr>
        <w:t> </w:t>
      </w:r>
      <w:r>
        <w:rPr>
          <w:rFonts w:hint="eastAsia" w:ascii="黑体" w:eastAsia="黑体" w:cs="宋体"/>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cs="宋体"/>
          <w:b/>
          <w:bCs/>
          <w:color w:val="000000"/>
          <w:kern w:val="0"/>
          <w:sz w:val="27"/>
        </w:rPr>
        <w:t> </w:t>
      </w:r>
      <w:r>
        <w:rPr>
          <w:rFonts w:hint="eastAsia" w:ascii="宋体" w:hAnsi="宋体" w:eastAsia="楷体" w:cs="宋体"/>
          <w:b/>
          <w:bCs/>
          <w:color w:val="000000"/>
          <w:kern w:val="0"/>
          <w:sz w:val="32"/>
          <w:szCs w:val="32"/>
        </w:rPr>
        <w:t> </w:t>
      </w:r>
      <w:r>
        <w:rPr>
          <w:rFonts w:hint="eastAsia" w:ascii="楷体" w:eastAsia="楷体" w:cs="宋体"/>
          <w:b/>
          <w:bCs/>
          <w:color w:val="000000"/>
          <w:kern w:val="0"/>
          <w:sz w:val="32"/>
          <w:szCs w:val="32"/>
        </w:rPr>
        <w:t>1、收入说明</w:t>
      </w:r>
      <w:r>
        <w:rPr>
          <w:rFonts w:hint="eastAsia" w:ascii="楷体" w:eastAsia="楷体" w:cs="宋体"/>
          <w:color w:val="000000"/>
          <w:kern w:val="0"/>
          <w:sz w:val="32"/>
          <w:szCs w:val="32"/>
        </w:rPr>
        <w:br w:type="textWrapping"/>
      </w:r>
      <w:r>
        <w:rPr>
          <w:rFonts w:hint="eastAsia" w:ascii="宋体" w:cs="宋体"/>
          <w:color w:val="000000"/>
          <w:kern w:val="0"/>
          <w:sz w:val="27"/>
          <w:szCs w:val="27"/>
        </w:rPr>
        <w:t> </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2017年预算收入279.8万元，其中：一般公共预算收入279.8万元，政府性基金收入0万元。</w:t>
      </w:r>
    </w:p>
    <w:p>
      <w:pPr>
        <w:widowControl/>
        <w:spacing w:line="360" w:lineRule="atLeast"/>
        <w:jc w:val="left"/>
        <w:rPr>
          <w:rFonts w:ascii="仿宋_GB2312" w:eastAsia="仿宋_GB2312" w:cs="宋体"/>
          <w:color w:val="000000"/>
          <w:kern w:val="0"/>
          <w:sz w:val="32"/>
          <w:szCs w:val="32"/>
        </w:rPr>
      </w:pPr>
      <w:r>
        <w:rPr>
          <w:rFonts w:hint="eastAsia" w:ascii="宋体" w:cs="宋体"/>
          <w:b/>
          <w:bCs/>
          <w:color w:val="000000"/>
          <w:kern w:val="0"/>
          <w:sz w:val="27"/>
        </w:rPr>
        <w:t> </w:t>
      </w:r>
      <w:r>
        <w:rPr>
          <w:rFonts w:hint="eastAsia" w:ascii="宋体" w:hAnsi="宋体" w:eastAsia="楷体" w:cs="宋体"/>
          <w:b/>
          <w:bCs/>
          <w:color w:val="000000"/>
          <w:kern w:val="0"/>
          <w:sz w:val="32"/>
          <w:szCs w:val="32"/>
        </w:rPr>
        <w:t> </w:t>
      </w:r>
      <w:r>
        <w:rPr>
          <w:rFonts w:hint="eastAsia" w:ascii="楷体" w:eastAsia="楷体" w:cs="宋体"/>
          <w:b/>
          <w:bCs/>
          <w:color w:val="000000"/>
          <w:kern w:val="0"/>
          <w:sz w:val="32"/>
          <w:szCs w:val="32"/>
        </w:rPr>
        <w:t>2、支出说明</w:t>
      </w:r>
      <w:r>
        <w:rPr>
          <w:rFonts w:hint="eastAsia" w:ascii="楷体" w:eastAsia="楷体" w:cs="宋体"/>
          <w:color w:val="000000"/>
          <w:kern w:val="0"/>
          <w:sz w:val="32"/>
          <w:szCs w:val="32"/>
        </w:rPr>
        <w:br w:type="textWrapping"/>
      </w:r>
      <w:r>
        <w:rPr>
          <w:rFonts w:hint="eastAsia" w:ascii="宋体" w:cs="宋体"/>
          <w:color w:val="000000"/>
          <w:kern w:val="0"/>
          <w:sz w:val="27"/>
          <w:szCs w:val="27"/>
        </w:rPr>
        <w:t> </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2017年支出预算279.8万元，其中基本支出279.8万元，包括人员经费和日常公用经费，项目支出0万元。</w:t>
      </w:r>
    </w:p>
    <w:p>
      <w:pPr>
        <w:widowControl/>
        <w:spacing w:line="360" w:lineRule="atLeast"/>
        <w:jc w:val="left"/>
        <w:rPr>
          <w:rFonts w:ascii="宋体" w:cs="宋体"/>
          <w:color w:val="000000"/>
          <w:kern w:val="0"/>
          <w:sz w:val="27"/>
          <w:szCs w:val="27"/>
        </w:rPr>
      </w:pPr>
      <w:r>
        <w:rPr>
          <w:rFonts w:hint="eastAsia" w:ascii="宋体" w:cs="宋体"/>
          <w:b/>
          <w:bCs/>
          <w:color w:val="000000"/>
          <w:kern w:val="0"/>
          <w:sz w:val="27"/>
        </w:rPr>
        <w:t> </w:t>
      </w:r>
      <w:r>
        <w:rPr>
          <w:rFonts w:hint="eastAsia" w:ascii="宋体" w:hAnsi="宋体" w:eastAsia="楷体" w:cs="宋体"/>
          <w:b/>
          <w:bCs/>
          <w:color w:val="000000"/>
          <w:kern w:val="0"/>
          <w:sz w:val="32"/>
          <w:szCs w:val="32"/>
        </w:rPr>
        <w:t> </w:t>
      </w:r>
      <w:r>
        <w:rPr>
          <w:rFonts w:hint="eastAsia" w:ascii="楷体" w:eastAsia="楷体" w:cs="宋体"/>
          <w:b/>
          <w:bCs/>
          <w:color w:val="000000"/>
          <w:kern w:val="0"/>
          <w:sz w:val="32"/>
          <w:szCs w:val="32"/>
        </w:rPr>
        <w:t>3、比上年增减情况</w:t>
      </w:r>
      <w:r>
        <w:rPr>
          <w:rFonts w:hint="eastAsia" w:ascii="楷体" w:eastAsia="楷体" w:cs="宋体"/>
          <w:color w:val="000000"/>
          <w:kern w:val="0"/>
          <w:sz w:val="32"/>
          <w:szCs w:val="32"/>
        </w:rPr>
        <w:br w:type="textWrapping"/>
      </w:r>
      <w:r>
        <w:rPr>
          <w:rFonts w:hint="eastAsia" w:ascii="宋体" w:cs="宋体"/>
          <w:color w:val="000000"/>
          <w:kern w:val="0"/>
          <w:sz w:val="27"/>
          <w:szCs w:val="27"/>
        </w:rPr>
        <w:t>  </w:t>
      </w:r>
      <w:r>
        <w:rPr>
          <w:rFonts w:hint="eastAsia" w:ascii="仿宋_GB2312" w:eastAsia="仿宋_GB2312" w:cs="宋体"/>
          <w:color w:val="000000"/>
          <w:kern w:val="0"/>
          <w:sz w:val="32"/>
          <w:szCs w:val="32"/>
        </w:rPr>
        <w:t xml:space="preserve"> 2017年预算收支安排279.8万元，较2016年预算增加1.73万元，其中：基本支出增加10.73万元，主要为增加人员经费支出；项目支出减少9万元，主要为财力紧张预算未安排。</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黑体" w:eastAsia="黑体" w:cs="宋体"/>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cs="宋体"/>
          <w:color w:val="000000"/>
          <w:kern w:val="0"/>
          <w:sz w:val="27"/>
          <w:szCs w:val="27"/>
        </w:rPr>
        <w:t>  </w:t>
      </w:r>
      <w:r>
        <w:rPr>
          <w:rFonts w:hint="eastAsia" w:ascii="仿宋_GB2312" w:eastAsia="仿宋_GB2312" w:cs="宋体"/>
          <w:color w:val="000000"/>
          <w:kern w:val="0"/>
          <w:sz w:val="32"/>
          <w:szCs w:val="32"/>
        </w:rPr>
        <w:t>2017年预算安排我部门机关运行经费14.6万元，其中办公经费0.92万元，其他业务费13.68万元。</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黑体" w:eastAsia="黑体" w:cs="宋体"/>
          <w:color w:val="000000"/>
          <w:kern w:val="0"/>
          <w:sz w:val="32"/>
          <w:szCs w:val="32"/>
        </w:rPr>
        <w:t>四、财政拨款“三公”经费预算情况及增减变化原因</w:t>
      </w:r>
      <w:r>
        <w:rPr>
          <w:rFonts w:hint="eastAsia" w:ascii="黑体" w:eastAsia="黑体" w:cs="宋体"/>
          <w:color w:val="000000"/>
          <w:kern w:val="0"/>
          <w:sz w:val="32"/>
          <w:szCs w:val="32"/>
        </w:rPr>
        <w:br w:type="textWrapping"/>
      </w:r>
      <w:r>
        <w:rPr>
          <w:rFonts w:hint="eastAsia" w:ascii="宋体" w:cs="宋体"/>
          <w:color w:val="000000"/>
          <w:kern w:val="0"/>
          <w:sz w:val="27"/>
          <w:szCs w:val="27"/>
        </w:rPr>
        <w:t>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p>
    <w:p>
      <w:pPr>
        <w:widowControl/>
        <w:spacing w:line="360" w:lineRule="atLeast"/>
        <w:ind w:firstLine="482" w:firstLineChars="150"/>
        <w:jc w:val="left"/>
        <w:rPr>
          <w:rFonts w:ascii="仿宋" w:eastAsia="仿宋" w:cs="宋体"/>
          <w:color w:val="000000"/>
          <w:kern w:val="0"/>
          <w:sz w:val="28"/>
          <w:szCs w:val="28"/>
        </w:rPr>
      </w:pPr>
      <w:r>
        <w:rPr>
          <w:rFonts w:hint="eastAsia" w:ascii="黑体" w:eastAsia="黑体" w:cs="宋体"/>
          <w:b/>
          <w:bCs/>
          <w:color w:val="000000"/>
          <w:kern w:val="0"/>
          <w:sz w:val="32"/>
          <w:szCs w:val="32"/>
        </w:rPr>
        <w:t>五、绩效预算信息</w:t>
      </w:r>
      <w:r>
        <w:rPr>
          <w:rFonts w:hint="eastAsia" w:ascii="黑体" w:eastAsia="黑体" w:cs="宋体"/>
          <w:color w:val="000000"/>
          <w:kern w:val="0"/>
          <w:sz w:val="32"/>
          <w:szCs w:val="32"/>
        </w:rPr>
        <w:br w:type="textWrapping"/>
      </w:r>
      <w:r>
        <w:rPr>
          <w:rFonts w:hint="eastAsia" w:ascii="宋体" w:cs="宋体"/>
          <w:b/>
          <w:bCs/>
          <w:color w:val="000000"/>
          <w:kern w:val="0"/>
          <w:sz w:val="27"/>
        </w:rPr>
        <w:t> </w:t>
      </w:r>
      <w:r>
        <w:rPr>
          <w:rFonts w:hint="eastAsia" w:ascii="宋体" w:hAnsi="宋体" w:eastAsia="楷体" w:cs="宋体"/>
          <w:b/>
          <w:bCs/>
          <w:color w:val="000000"/>
          <w:kern w:val="0"/>
          <w:sz w:val="32"/>
          <w:szCs w:val="32"/>
        </w:rPr>
        <w:t> </w:t>
      </w:r>
      <w:r>
        <w:rPr>
          <w:rFonts w:hint="eastAsia" w:ascii="楷体" w:eastAsia="楷体" w:cs="宋体"/>
          <w:b/>
          <w:bCs/>
          <w:color w:val="000000"/>
          <w:kern w:val="0"/>
          <w:sz w:val="32"/>
          <w:szCs w:val="32"/>
        </w:rPr>
        <w:t>总体绩效目标：</w:t>
      </w:r>
      <w:r>
        <w:rPr>
          <w:rFonts w:hint="eastAsia" w:ascii="楷体" w:eastAsia="楷体" w:cs="宋体"/>
          <w:color w:val="000000"/>
          <w:kern w:val="0"/>
          <w:sz w:val="32"/>
          <w:szCs w:val="32"/>
        </w:rPr>
        <w:br w:type="textWrapping"/>
      </w:r>
      <w:r>
        <w:rPr>
          <w:rFonts w:hint="eastAsia" w:ascii="宋体" w:cs="宋体"/>
          <w:color w:val="000000"/>
          <w:kern w:val="0"/>
          <w:sz w:val="27"/>
          <w:szCs w:val="27"/>
        </w:rPr>
        <w:t> </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审计工作的总体思路是：深入学习贯彻十八届四中全会精神，认真开展“解放思想、抢抓机遇、奋发作为、协同发展”大讨论活动，服务全区经济发展大局，进一步创新工作思路，提高审计质量。按照局党组提出的“保质量、抓重点、出精品”的工作思路，以“认真、刻苦、求真、务实”的标准，变被动思维为主动思维，变滞后思维为超前思维，在审计工作中做到查证线索有广度，问题揭示有深度，反映问题有高度，处理问题有力度，为推进依法行政，加强和改善宏观调控，切实发挥审计机关维护经济发展的“免疫系统”功能。</w:t>
      </w:r>
      <w:r>
        <w:rPr>
          <w:rFonts w:hint="eastAsia" w:ascii="仿宋_GB2312" w:eastAsia="仿宋_GB2312" w:cs="宋体"/>
          <w:color w:val="000000"/>
          <w:kern w:val="0"/>
          <w:sz w:val="32"/>
          <w:szCs w:val="32"/>
        </w:rPr>
        <w:br w:type="textWrapping"/>
      </w:r>
      <w:r>
        <w:rPr>
          <w:rFonts w:hint="eastAsia" w:ascii="宋体" w:cs="宋体"/>
          <w:color w:val="000000"/>
          <w:kern w:val="0"/>
          <w:sz w:val="27"/>
          <w:szCs w:val="27"/>
        </w:rPr>
        <w:t>  </w:t>
      </w:r>
      <w:r>
        <w:rPr>
          <w:rFonts w:hint="eastAsia" w:ascii="宋体" w:hAnsi="宋体" w:eastAsia="楷体" w:cs="宋体"/>
          <w:color w:val="000000"/>
          <w:kern w:val="0"/>
          <w:sz w:val="32"/>
          <w:szCs w:val="32"/>
        </w:rPr>
        <w:t>  </w:t>
      </w:r>
      <w:r>
        <w:rPr>
          <w:rFonts w:hint="eastAsia" w:ascii="楷体" w:eastAsia="楷体" w:cs="宋体"/>
          <w:b/>
          <w:bCs/>
          <w:color w:val="000000"/>
          <w:kern w:val="0"/>
          <w:sz w:val="32"/>
          <w:szCs w:val="32"/>
        </w:rPr>
        <w:t>职责分类绩效目标：</w:t>
      </w:r>
      <w:r>
        <w:rPr>
          <w:rFonts w:hint="eastAsia" w:ascii="楷体" w:eastAsia="楷体" w:cs="宋体"/>
          <w:color w:val="000000"/>
          <w:kern w:val="0"/>
          <w:sz w:val="32"/>
          <w:szCs w:val="32"/>
        </w:rPr>
        <w:br w:type="textWrapping"/>
      </w:r>
      <w:r>
        <w:rPr>
          <w:rFonts w:hint="eastAsia" w:ascii="宋体" w:cs="宋体"/>
          <w:color w:val="000000"/>
          <w:kern w:val="0"/>
          <w:sz w:val="27"/>
          <w:szCs w:val="27"/>
        </w:rPr>
        <w:t>  </w:t>
      </w:r>
      <w:r>
        <w:rPr>
          <w:rFonts w:hint="eastAsia" w:ascii="仿宋_GB2312" w:eastAsia="仿宋_GB2312" w:cs="宋体"/>
          <w:color w:val="000000"/>
          <w:kern w:val="0"/>
          <w:sz w:val="32"/>
          <w:szCs w:val="32"/>
        </w:rPr>
        <w:t xml:space="preserve"> 主管全区审计工作。通过对公共资金、国有资产、国有资源、领导干部经济责任履行情况进行审计，实现审计监督全覆盖，促进国家治理现代化和国民经济健康发展。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通过对公共资金、国有资产、国有资源、领导干部经济责任履行情况进行审计，实现审计监督全覆盖，促进国家治理现代化和国民经济健康发展。对经济领域中带有全局性、普遍性、倾向性的特定事项进行系统调查了解并向区政府报告情况和结果。通过专项审计调查，综合分析，向有关部门反映情况，揭露问题、提出解决问题的建议，为政府决策提供依据，为国家宏观调控服务。进行内部审计管理和审计法制管理。通过建立健全法规，加大内部审计管理制度提高审计质量和审计机关法制管理水平。指导内部审计业务，提供内部审计成果；协调内部审计和国家审计间工作等。</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系统综合业务管理和机关综合事务管理。充分发挥参谋助手作用和综合协调作用，推进审计事业科学协调发展。组织开展信息化建设、教育培训、审计理论研究，抓好新闻宣传和文化建设、政务信息公开。信息保障安全有效，信息化建设稳步推进；加强宣传引导；提高人员业务水平；促进审计文化建设，推动审计事业发展。</w:t>
      </w:r>
      <w:r>
        <w:rPr>
          <w:rFonts w:hint="eastAsia" w:ascii="仿宋_GB2312" w:eastAsia="仿宋_GB2312" w:cs="宋体"/>
          <w:color w:val="000000"/>
          <w:kern w:val="0"/>
          <w:sz w:val="32"/>
          <w:szCs w:val="32"/>
        </w:rPr>
        <w:br w:type="textWrapping"/>
      </w:r>
      <w:r>
        <w:rPr>
          <w:rFonts w:hint="eastAsia" w:ascii="仿宋" w:eastAsia="仿宋" w:cs="宋体"/>
          <w:color w:val="000000"/>
          <w:kern w:val="0"/>
          <w:sz w:val="28"/>
          <w:szCs w:val="28"/>
        </w:rPr>
        <w:t>部门职责-工作活动绩效目标</w:t>
      </w: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69"/>
        <w:gridCol w:w="870"/>
        <w:gridCol w:w="1958"/>
        <w:gridCol w:w="1968"/>
        <w:gridCol w:w="957"/>
        <w:gridCol w:w="632"/>
        <w:gridCol w:w="632"/>
        <w:gridCol w:w="632"/>
        <w:gridCol w:w="6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rPr>
              <w:t>231廊坊市广阳区审计局</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宋体" w:cs="宋体"/>
                <w:b/>
                <w:bCs/>
                <w:kern w:val="0"/>
                <w:sz w:val="24"/>
                <w:szCs w:val="24"/>
              </w:rPr>
            </w:pPr>
            <w:r>
              <w:rPr>
                <w:rFonts w:ascii="宋体" w:cs="宋体"/>
                <w:b/>
                <w:bCs/>
                <w:kern w:val="0"/>
                <w:sz w:val="27"/>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7"/>
              </w:rPr>
              <w:t>审计业务</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eastAsia="仿宋" w:cs="宋体"/>
                <w:kern w:val="0"/>
                <w:sz w:val="28"/>
                <w:szCs w:val="28"/>
              </w:rPr>
            </w:pPr>
            <w:r>
              <w:rPr>
                <w:rFonts w:hint="eastAsia" w:ascii="仿宋" w:eastAsia="仿宋" w:cs="宋体"/>
                <w:kern w:val="0"/>
                <w:sz w:val="28"/>
                <w:szCs w:val="28"/>
              </w:rPr>
              <w:t>主管广阳区审计工作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eastAsia="仿宋" w:cs="宋体"/>
                <w:kern w:val="0"/>
                <w:sz w:val="28"/>
                <w:szCs w:val="28"/>
              </w:rPr>
            </w:pPr>
            <w:r>
              <w:rPr>
                <w:rFonts w:hint="eastAsia" w:ascii="仿宋" w:eastAsia="仿宋" w:cs="宋体"/>
                <w:kern w:val="0"/>
                <w:sz w:val="28"/>
                <w:szCs w:val="28"/>
              </w:rPr>
              <w:t>主管全区审计工作。通过对公共资金、国有资产、国有资源、领导干部经济责任履行情况进行审计，实现审计监督全覆盖，促进国家治理现代化和国民经济健康发展。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 w:cs="宋体"/>
                <w:kern w:val="0"/>
                <w:sz w:val="28"/>
                <w:szCs w:val="28"/>
              </w:rPr>
            </w:pPr>
            <w:r>
              <w:rPr>
                <w:rFonts w:ascii="宋体" w:hAnsi="宋体" w:eastAsia="仿宋"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 w:cs="宋体"/>
                <w:kern w:val="0"/>
                <w:sz w:val="28"/>
                <w:szCs w:val="28"/>
              </w:rPr>
            </w:pPr>
            <w:r>
              <w:rPr>
                <w:rFonts w:ascii="宋体" w:hAnsi="宋体" w:eastAsia="仿宋"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 w:cs="宋体"/>
                <w:kern w:val="0"/>
                <w:sz w:val="28"/>
                <w:szCs w:val="28"/>
              </w:rPr>
            </w:pPr>
            <w:r>
              <w:rPr>
                <w:rFonts w:ascii="宋体" w:hAnsi="宋体" w:eastAsia="仿宋"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 w:cs="宋体"/>
                <w:kern w:val="0"/>
                <w:sz w:val="28"/>
                <w:szCs w:val="28"/>
              </w:rPr>
            </w:pPr>
            <w:r>
              <w:rPr>
                <w:rFonts w:ascii="宋体" w:hAnsi="宋体" w:eastAsia="仿宋" w:cs="宋体"/>
                <w:kern w:val="0"/>
                <w:sz w:val="28"/>
                <w:szCs w:val="28"/>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7"/>
              </w:rPr>
              <w:t>审计业务</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审计本级财政部门组织本级预算执行情况，审计下级人民政府的预算执行和决算情况，审计其他财政收支情况，审计其他取得财政资金的单位和项目接受、运用财政资金的真实、合法和效益情况,实施领导干部经济责任审计等审计。</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通过对公共资金、国有资产、国有资源、领导干部经济责任履行情况进行审计，实现审计监督全覆盖，促进国家治理现代化和国民经济健康发展。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审计决定落实率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审计计划完成率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7"/>
              </w:rPr>
              <w:t>专项审计调查</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对经济领域中带有全局性、普遍性、倾向性的特定事项进行系统调查了解并向区政府报告情况和结果。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通过专项审计调查，综合分析，向有关部门反映情况，揭露问题、提出解决问题的建议，为政府决策提供依据，为国家宏观调控服务。</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专项审计完成率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7"/>
              </w:rPr>
              <w:t>审计管理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进行内部审计管理和审计法制管理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进行内部审计管理和审计法制管理。通过建立健全法规，加大内部审计管理制度提高审计质量和审计机关法制管理水平。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7"/>
              </w:rPr>
              <w:t>内部审计管理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制定内部审计措施并组织落实；制定内部审计业务规章、制度、管理办法等并开展监督检查；指导内部审计业务，受理内部审计业务咨询；提供内部审计成果；协调内部审计和国家审计间工作等。</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受理内审业务咨询，提高内部审计质量；协调内部审计和国家审计间工作，保障内部审计工作的顺利进行；控制费用标准严格。</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内审业务办结率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60%以下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7"/>
              </w:rPr>
              <w:t>审计政务管理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包括系统综合业务管理和机关综合事务管理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包括系统综合业务管理和机关综合事务管理。充分发挥参谋助手作用和综合协调作用，推进审计事业科学协调发展。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b/>
                <w:bCs/>
                <w:kern w:val="0"/>
                <w:sz w:val="27"/>
              </w:rPr>
              <w:t>综合业务管理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4"/>
                <w:szCs w:val="24"/>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组织开展信息化建设、教育培训、审计理论研究，抓好新闻宣传和文化建设、政务信息公开，开展审计服务和业务咨询。</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信息保障安全有效，信息化建设稳步推进；加强宣传引导；提高人员业务水平；促进审计文化研究，推动审计事业发展。</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综合业务保障率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75%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60%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cs="宋体"/>
                <w:kern w:val="0"/>
                <w:sz w:val="24"/>
                <w:szCs w:val="24"/>
              </w:rPr>
            </w:pPr>
            <w:r>
              <w:rPr>
                <w:rFonts w:ascii="宋体" w:cs="宋体"/>
                <w:kern w:val="0"/>
                <w:sz w:val="27"/>
                <w:szCs w:val="27"/>
              </w:rPr>
              <w:t>60%以下</w:t>
            </w:r>
          </w:p>
        </w:tc>
      </w:tr>
    </w:tbl>
    <w:p>
      <w:pPr>
        <w:widowControl/>
        <w:spacing w:line="360" w:lineRule="atLeast"/>
        <w:jc w:val="left"/>
        <w:rPr>
          <w:rFonts w:ascii="宋体" w:cs="宋体"/>
          <w:color w:val="000000"/>
          <w:kern w:val="0"/>
          <w:sz w:val="18"/>
          <w:szCs w:val="18"/>
        </w:rPr>
      </w:pPr>
      <w:r>
        <w:rPr>
          <w:rFonts w:hint="eastAsia" w:ascii="宋体" w:cs="宋体"/>
          <w:color w:val="000000"/>
          <w:kern w:val="0"/>
          <w:sz w:val="18"/>
          <w:szCs w:val="18"/>
        </w:rPr>
        <w:t> </w:t>
      </w:r>
    </w:p>
    <w:p>
      <w:pPr>
        <w:widowControl/>
        <w:spacing w:line="360" w:lineRule="atLeast"/>
        <w:jc w:val="left"/>
        <w:rPr>
          <w:rFonts w:ascii="宋体" w:cs="宋体"/>
          <w:color w:val="000000"/>
          <w:kern w:val="0"/>
          <w:sz w:val="27"/>
          <w:szCs w:val="27"/>
        </w:rPr>
      </w:pPr>
      <w:r>
        <w:rPr>
          <w:rFonts w:hint="eastAsia" w:ascii="宋体" w:cs="宋体"/>
          <w:color w:val="000000"/>
          <w:kern w:val="0"/>
          <w:sz w:val="27"/>
          <w:szCs w:val="27"/>
        </w:rPr>
        <w:t> </w:t>
      </w:r>
    </w:p>
    <w:p>
      <w:pPr>
        <w:widowControl/>
        <w:spacing w:line="360" w:lineRule="atLeast"/>
        <w:jc w:val="left"/>
        <w:rPr>
          <w:rFonts w:ascii="宋体" w:cs="宋体"/>
          <w:color w:val="000000"/>
          <w:kern w:val="0"/>
          <w:sz w:val="27"/>
          <w:szCs w:val="27"/>
        </w:rPr>
      </w:pPr>
    </w:p>
    <w:p>
      <w:pPr>
        <w:widowControl/>
        <w:spacing w:line="360" w:lineRule="atLeast"/>
        <w:jc w:val="left"/>
        <w:rPr>
          <w:rFonts w:ascii="宋体" w:cs="宋体"/>
          <w:color w:val="000000"/>
          <w:kern w:val="0"/>
          <w:sz w:val="27"/>
          <w:szCs w:val="27"/>
        </w:rPr>
      </w:pPr>
    </w:p>
    <w:p>
      <w:pPr>
        <w:widowControl/>
        <w:spacing w:line="360" w:lineRule="atLeast"/>
        <w:jc w:val="left"/>
        <w:rPr>
          <w:rFonts w:ascii="宋体" w:cs="宋体"/>
          <w:color w:val="000000"/>
          <w:kern w:val="0"/>
          <w:sz w:val="27"/>
          <w:szCs w:val="27"/>
        </w:rPr>
      </w:pPr>
    </w:p>
    <w:p>
      <w:pPr>
        <w:widowControl/>
        <w:spacing w:line="360" w:lineRule="atLeast"/>
        <w:jc w:val="left"/>
        <w:rPr>
          <w:rFonts w:ascii="黑体" w:eastAsia="黑体" w:cs="宋体"/>
          <w:color w:val="000000"/>
          <w:kern w:val="0"/>
          <w:sz w:val="32"/>
          <w:szCs w:val="32"/>
        </w:rPr>
      </w:pPr>
      <w:r>
        <w:rPr>
          <w:rFonts w:hint="eastAsia" w:ascii="宋体" w:cs="宋体"/>
          <w:color w:val="000000"/>
          <w:kern w:val="0"/>
          <w:sz w:val="27"/>
          <w:szCs w:val="27"/>
        </w:rPr>
        <w:br w:type="textWrapping"/>
      </w:r>
      <w:r>
        <w:rPr>
          <w:rFonts w:hint="eastAsia" w:ascii="黑体" w:eastAsia="黑体" w:cs="宋体"/>
          <w:color w:val="000000"/>
          <w:kern w:val="0"/>
          <w:sz w:val="32"/>
          <w:szCs w:val="32"/>
        </w:rPr>
        <w:t>六、政府采购预算情况</w:t>
      </w:r>
    </w:p>
    <w:p>
      <w:pPr>
        <w:jc w:val="center"/>
        <w:outlineLvl w:val="0"/>
        <w:rPr>
          <w:rFonts w:ascii="方正小标宋_GBK" w:eastAsia="方正小标宋_GBK" w:cs="Times New Roman"/>
          <w:sz w:val="32"/>
          <w:szCs w:val="24"/>
        </w:rPr>
      </w:pPr>
      <w:r>
        <w:rPr>
          <w:rFonts w:hint="eastAsia" w:ascii="方正小标宋_GBK" w:eastAsia="方正小标宋_GBK" w:cs="Times New Roman"/>
          <w:sz w:val="32"/>
          <w:szCs w:val="24"/>
        </w:rPr>
        <w:t>部门政府采购预算</w:t>
      </w:r>
    </w:p>
    <w:tbl>
      <w:tblPr>
        <w:tblStyle w:val="4"/>
        <w:tblW w:w="511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6"/>
        <w:gridCol w:w="1010"/>
        <w:gridCol w:w="832"/>
        <w:gridCol w:w="1325"/>
        <w:gridCol w:w="832"/>
        <w:gridCol w:w="832"/>
        <w:gridCol w:w="865"/>
        <w:gridCol w:w="851"/>
        <w:gridCol w:w="851"/>
        <w:gridCol w:w="851"/>
        <w:gridCol w:w="774"/>
        <w:gridCol w:w="834"/>
        <w:gridCol w:w="843"/>
        <w:gridCol w:w="7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eastAsia="仿宋" w:cs="Times New Roman"/>
                <w:sz w:val="28"/>
                <w:szCs w:val="28"/>
              </w:rPr>
            </w:pPr>
            <w:r>
              <w:rPr>
                <w:rFonts w:hint="eastAsia" w:ascii="仿宋" w:eastAsia="仿宋" w:cs="宋体"/>
                <w:color w:val="000000"/>
                <w:kern w:val="0"/>
                <w:sz w:val="28"/>
                <w:szCs w:val="28"/>
              </w:rPr>
              <w:t>廊坊市广阳区审计局</w:t>
            </w:r>
          </w:p>
        </w:tc>
        <w:tc>
          <w:tcPr>
            <w:tcW w:w="2104"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szCs w:val="24"/>
              </w:rPr>
            </w:pPr>
            <w:r>
              <w:rPr>
                <w:rFonts w:hint="eastAsia" w:ascii="方正书宋_GBK" w:eastAsia="方正书宋_GBK" w:cs="Times New Roman"/>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4" w:type="pct"/>
            <w:gridSpan w:val="2"/>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政府采购项目来源</w:t>
            </w:r>
          </w:p>
        </w:tc>
        <w:tc>
          <w:tcPr>
            <w:tcW w:w="302" w:type="pct"/>
            <w:vMerge w:val="restart"/>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采购物品名称</w:t>
            </w:r>
          </w:p>
        </w:tc>
        <w:tc>
          <w:tcPr>
            <w:tcW w:w="481" w:type="pct"/>
            <w:vMerge w:val="restart"/>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政府采购目录序号</w:t>
            </w:r>
          </w:p>
        </w:tc>
        <w:tc>
          <w:tcPr>
            <w:tcW w:w="302" w:type="pct"/>
            <w:vMerge w:val="restart"/>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数量  单位</w:t>
            </w:r>
          </w:p>
        </w:tc>
        <w:tc>
          <w:tcPr>
            <w:tcW w:w="302" w:type="pct"/>
            <w:vMerge w:val="restart"/>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数量</w:t>
            </w:r>
          </w:p>
        </w:tc>
        <w:tc>
          <w:tcPr>
            <w:tcW w:w="310" w:type="pct"/>
            <w:vMerge w:val="restart"/>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单价</w:t>
            </w:r>
          </w:p>
        </w:tc>
        <w:tc>
          <w:tcPr>
            <w:tcW w:w="2104" w:type="pct"/>
            <w:gridSpan w:val="7"/>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7" w:type="pct"/>
            <w:vMerge w:val="restart"/>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项目名称</w:t>
            </w:r>
          </w:p>
        </w:tc>
        <w:tc>
          <w:tcPr>
            <w:tcW w:w="367" w:type="pct"/>
            <w:vMerge w:val="restart"/>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09" w:type="pct"/>
            <w:vMerge w:val="restart"/>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总计</w:t>
            </w:r>
          </w:p>
        </w:tc>
        <w:tc>
          <w:tcPr>
            <w:tcW w:w="1508" w:type="pct"/>
            <w:gridSpan w:val="5"/>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当年部门预算安排资金</w:t>
            </w:r>
          </w:p>
        </w:tc>
        <w:tc>
          <w:tcPr>
            <w:tcW w:w="285" w:type="pct"/>
            <w:vMerge w:val="restart"/>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09" w:type="pct"/>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合计</w:t>
            </w:r>
          </w:p>
        </w:tc>
        <w:tc>
          <w:tcPr>
            <w:tcW w:w="309" w:type="pct"/>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一般公共预算拨款</w:t>
            </w:r>
          </w:p>
        </w:tc>
        <w:tc>
          <w:tcPr>
            <w:tcW w:w="281" w:type="pct"/>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基金预算拨款</w:t>
            </w:r>
          </w:p>
        </w:tc>
        <w:tc>
          <w:tcPr>
            <w:tcW w:w="303" w:type="pct"/>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财政专户核拨</w:t>
            </w:r>
          </w:p>
        </w:tc>
        <w:tc>
          <w:tcPr>
            <w:tcW w:w="303" w:type="pct"/>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方正书宋_GBK" w:eastAsia="方正书宋_GBK" w:cs="Times New Roman"/>
                <w:b/>
                <w:szCs w:val="24"/>
              </w:rPr>
            </w:pPr>
            <w:r>
              <w:rPr>
                <w:rFonts w:hint="eastAsia" w:ascii="方正书宋_GBK" w:eastAsia="方正书宋_GBK" w:cs="Times New Roman"/>
                <w:b/>
                <w:szCs w:val="24"/>
              </w:rPr>
              <w:t>合　计</w:t>
            </w:r>
          </w:p>
        </w:tc>
        <w:tc>
          <w:tcPr>
            <w:tcW w:w="367" w:type="pct"/>
            <w:shd w:val="clear" w:color="auto" w:fill="auto"/>
            <w:vAlign w:val="center"/>
          </w:tcPr>
          <w:p>
            <w:pPr>
              <w:spacing w:line="300" w:lineRule="exact"/>
              <w:jc w:val="right"/>
              <w:rPr>
                <w:rFonts w:ascii="方正书宋_GBK" w:eastAsia="方正书宋_GBK" w:cs="Times New Roman"/>
                <w:b/>
                <w:szCs w:val="24"/>
              </w:rPr>
            </w:pPr>
          </w:p>
        </w:tc>
        <w:tc>
          <w:tcPr>
            <w:tcW w:w="302" w:type="pct"/>
            <w:shd w:val="clear" w:color="auto" w:fill="auto"/>
            <w:vAlign w:val="center"/>
          </w:tcPr>
          <w:p>
            <w:pPr>
              <w:spacing w:line="300" w:lineRule="exact"/>
              <w:jc w:val="left"/>
              <w:rPr>
                <w:rFonts w:ascii="方正书宋_GBK" w:eastAsia="方正书宋_GBK" w:cs="Times New Roman"/>
                <w:b/>
                <w:szCs w:val="24"/>
              </w:rPr>
            </w:pPr>
          </w:p>
        </w:tc>
        <w:tc>
          <w:tcPr>
            <w:tcW w:w="481" w:type="pct"/>
            <w:shd w:val="clear" w:color="auto" w:fill="auto"/>
            <w:vAlign w:val="center"/>
          </w:tcPr>
          <w:p>
            <w:pPr>
              <w:spacing w:line="300" w:lineRule="exact"/>
              <w:jc w:val="left"/>
              <w:rPr>
                <w:rFonts w:ascii="方正书宋_GBK" w:eastAsia="方正书宋_GBK" w:cs="Times New Roman"/>
                <w:b/>
                <w:szCs w:val="24"/>
              </w:rPr>
            </w:pPr>
          </w:p>
        </w:tc>
        <w:tc>
          <w:tcPr>
            <w:tcW w:w="302" w:type="pct"/>
            <w:shd w:val="clear" w:color="auto" w:fill="auto"/>
            <w:vAlign w:val="center"/>
          </w:tcPr>
          <w:p>
            <w:pPr>
              <w:spacing w:line="300" w:lineRule="exact"/>
              <w:jc w:val="left"/>
              <w:rPr>
                <w:rFonts w:ascii="方正书宋_GBK" w:eastAsia="方正书宋_GBK" w:cs="Times New Roman"/>
                <w:b/>
                <w:szCs w:val="24"/>
              </w:rPr>
            </w:pPr>
          </w:p>
        </w:tc>
        <w:tc>
          <w:tcPr>
            <w:tcW w:w="302" w:type="pct"/>
            <w:shd w:val="clear" w:color="auto" w:fill="auto"/>
            <w:vAlign w:val="center"/>
          </w:tcPr>
          <w:p>
            <w:pPr>
              <w:spacing w:line="300" w:lineRule="exact"/>
              <w:jc w:val="right"/>
              <w:rPr>
                <w:rFonts w:ascii="方正书宋_GBK" w:eastAsia="方正书宋_GBK" w:cs="Times New Roman"/>
                <w:b/>
                <w:szCs w:val="24"/>
              </w:rPr>
            </w:pPr>
          </w:p>
        </w:tc>
        <w:tc>
          <w:tcPr>
            <w:tcW w:w="310" w:type="pct"/>
            <w:shd w:val="clear" w:color="auto" w:fill="auto"/>
            <w:vAlign w:val="center"/>
          </w:tcPr>
          <w:p>
            <w:pPr>
              <w:spacing w:line="300" w:lineRule="exact"/>
              <w:jc w:val="right"/>
              <w:rPr>
                <w:rFonts w:ascii="方正书宋_GBK" w:eastAsia="方正书宋_GBK" w:cs="Times New Roman"/>
                <w:b/>
                <w:szCs w:val="24"/>
              </w:rPr>
            </w:pPr>
          </w:p>
        </w:tc>
        <w:tc>
          <w:tcPr>
            <w:tcW w:w="309" w:type="pct"/>
            <w:shd w:val="clear" w:color="auto" w:fill="auto"/>
            <w:vAlign w:val="center"/>
          </w:tcPr>
          <w:p>
            <w:pPr>
              <w:spacing w:line="300" w:lineRule="exact"/>
              <w:jc w:val="right"/>
              <w:rPr>
                <w:rFonts w:ascii="方正书宋_GBK" w:eastAsia="方正书宋_GBK" w:cs="Times New Roman"/>
                <w:b/>
                <w:szCs w:val="24"/>
              </w:rPr>
            </w:pPr>
          </w:p>
        </w:tc>
        <w:tc>
          <w:tcPr>
            <w:tcW w:w="309" w:type="pct"/>
            <w:shd w:val="clear" w:color="auto" w:fill="auto"/>
            <w:vAlign w:val="center"/>
          </w:tcPr>
          <w:p>
            <w:pPr>
              <w:spacing w:line="300" w:lineRule="exact"/>
              <w:jc w:val="right"/>
              <w:rPr>
                <w:rFonts w:ascii="方正书宋_GBK" w:eastAsia="方正书宋_GBK" w:cs="Times New Roman"/>
                <w:b/>
                <w:szCs w:val="24"/>
              </w:rPr>
            </w:pPr>
          </w:p>
        </w:tc>
        <w:tc>
          <w:tcPr>
            <w:tcW w:w="309" w:type="pct"/>
            <w:shd w:val="clear" w:color="auto" w:fill="auto"/>
            <w:vAlign w:val="center"/>
          </w:tcPr>
          <w:p>
            <w:pPr>
              <w:spacing w:line="300" w:lineRule="exact"/>
              <w:jc w:val="right"/>
              <w:rPr>
                <w:rFonts w:ascii="方正书宋_GBK" w:eastAsia="方正书宋_GBK" w:cs="Times New Roman"/>
                <w:b/>
                <w:szCs w:val="24"/>
              </w:rPr>
            </w:pPr>
          </w:p>
        </w:tc>
        <w:tc>
          <w:tcPr>
            <w:tcW w:w="281" w:type="pct"/>
            <w:shd w:val="clear" w:color="auto" w:fill="auto"/>
            <w:vAlign w:val="center"/>
          </w:tcPr>
          <w:p>
            <w:pPr>
              <w:spacing w:line="300" w:lineRule="exact"/>
              <w:jc w:val="right"/>
              <w:rPr>
                <w:rFonts w:ascii="方正书宋_GBK" w:eastAsia="方正书宋_GBK" w:cs="Times New Roman"/>
                <w:b/>
                <w:szCs w:val="24"/>
              </w:rPr>
            </w:pPr>
          </w:p>
        </w:tc>
        <w:tc>
          <w:tcPr>
            <w:tcW w:w="303" w:type="pct"/>
            <w:shd w:val="clear" w:color="auto" w:fill="auto"/>
            <w:vAlign w:val="center"/>
          </w:tcPr>
          <w:p>
            <w:pPr>
              <w:spacing w:line="300" w:lineRule="exact"/>
              <w:jc w:val="right"/>
              <w:rPr>
                <w:rFonts w:ascii="方正书宋_GBK" w:eastAsia="方正书宋_GBK" w:cs="Times New Roman"/>
                <w:b/>
                <w:szCs w:val="24"/>
              </w:rPr>
            </w:pPr>
          </w:p>
        </w:tc>
        <w:tc>
          <w:tcPr>
            <w:tcW w:w="303" w:type="pct"/>
            <w:shd w:val="clear" w:color="auto" w:fill="auto"/>
            <w:vAlign w:val="center"/>
          </w:tcPr>
          <w:p>
            <w:pPr>
              <w:spacing w:line="300" w:lineRule="exact"/>
              <w:jc w:val="right"/>
              <w:rPr>
                <w:rFonts w:ascii="方正书宋_GBK" w:eastAsia="方正书宋_GBK" w:cs="Times New Roman"/>
                <w:b/>
                <w:szCs w:val="24"/>
              </w:rPr>
            </w:pPr>
          </w:p>
        </w:tc>
        <w:tc>
          <w:tcPr>
            <w:tcW w:w="285" w:type="pct"/>
            <w:shd w:val="clear" w:color="auto" w:fill="auto"/>
            <w:vAlign w:val="center"/>
          </w:tcPr>
          <w:p>
            <w:pPr>
              <w:spacing w:line="300" w:lineRule="exact"/>
              <w:jc w:val="right"/>
              <w:rPr>
                <w:rFonts w:ascii="方正书宋_GBK"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center"/>
              <w:rPr>
                <w:rFonts w:ascii="方正书宋_GBK" w:eastAsia="方正书宋_GBK" w:cs="Times New Roman"/>
                <w:b/>
                <w:szCs w:val="24"/>
              </w:rPr>
            </w:pPr>
          </w:p>
        </w:tc>
        <w:tc>
          <w:tcPr>
            <w:tcW w:w="367" w:type="pct"/>
            <w:shd w:val="clear" w:color="auto" w:fill="auto"/>
            <w:vAlign w:val="center"/>
          </w:tcPr>
          <w:p>
            <w:pPr>
              <w:spacing w:line="300" w:lineRule="exact"/>
              <w:jc w:val="right"/>
              <w:rPr>
                <w:rFonts w:ascii="方正书宋_GBK" w:eastAsia="方正书宋_GBK" w:cs="Times New Roman"/>
                <w:b/>
                <w:szCs w:val="24"/>
              </w:rPr>
            </w:pPr>
          </w:p>
        </w:tc>
        <w:tc>
          <w:tcPr>
            <w:tcW w:w="302" w:type="pct"/>
            <w:shd w:val="clear" w:color="auto" w:fill="auto"/>
            <w:vAlign w:val="center"/>
          </w:tcPr>
          <w:p>
            <w:pPr>
              <w:spacing w:line="300" w:lineRule="exact"/>
              <w:jc w:val="left"/>
              <w:rPr>
                <w:rFonts w:ascii="方正书宋_GBK" w:eastAsia="方正书宋_GBK" w:cs="Times New Roman"/>
                <w:b/>
                <w:szCs w:val="24"/>
              </w:rPr>
            </w:pPr>
          </w:p>
        </w:tc>
        <w:tc>
          <w:tcPr>
            <w:tcW w:w="481" w:type="pct"/>
            <w:shd w:val="clear" w:color="auto" w:fill="auto"/>
            <w:vAlign w:val="center"/>
          </w:tcPr>
          <w:p>
            <w:pPr>
              <w:spacing w:line="300" w:lineRule="exact"/>
              <w:jc w:val="left"/>
              <w:rPr>
                <w:rFonts w:ascii="方正书宋_GBK" w:eastAsia="方正书宋_GBK" w:cs="Times New Roman"/>
                <w:b/>
                <w:szCs w:val="24"/>
              </w:rPr>
            </w:pPr>
          </w:p>
        </w:tc>
        <w:tc>
          <w:tcPr>
            <w:tcW w:w="302" w:type="pct"/>
            <w:shd w:val="clear" w:color="auto" w:fill="auto"/>
            <w:vAlign w:val="center"/>
          </w:tcPr>
          <w:p>
            <w:pPr>
              <w:spacing w:line="300" w:lineRule="exact"/>
              <w:jc w:val="left"/>
              <w:rPr>
                <w:rFonts w:ascii="方正书宋_GBK" w:eastAsia="方正书宋_GBK" w:cs="Times New Roman"/>
                <w:b/>
                <w:szCs w:val="24"/>
              </w:rPr>
            </w:pPr>
          </w:p>
        </w:tc>
        <w:tc>
          <w:tcPr>
            <w:tcW w:w="302" w:type="pct"/>
            <w:shd w:val="clear" w:color="auto" w:fill="auto"/>
            <w:vAlign w:val="center"/>
          </w:tcPr>
          <w:p>
            <w:pPr>
              <w:spacing w:line="300" w:lineRule="exact"/>
              <w:jc w:val="right"/>
              <w:rPr>
                <w:rFonts w:ascii="方正书宋_GBK" w:eastAsia="方正书宋_GBK" w:cs="Times New Roman"/>
                <w:b/>
                <w:szCs w:val="24"/>
              </w:rPr>
            </w:pPr>
          </w:p>
        </w:tc>
        <w:tc>
          <w:tcPr>
            <w:tcW w:w="310" w:type="pct"/>
            <w:shd w:val="clear" w:color="auto" w:fill="auto"/>
            <w:vAlign w:val="center"/>
          </w:tcPr>
          <w:p>
            <w:pPr>
              <w:spacing w:line="300" w:lineRule="exact"/>
              <w:jc w:val="right"/>
              <w:rPr>
                <w:rFonts w:ascii="方正书宋_GBK" w:eastAsia="方正书宋_GBK" w:cs="Times New Roman"/>
                <w:b/>
                <w:szCs w:val="24"/>
              </w:rPr>
            </w:pPr>
          </w:p>
        </w:tc>
        <w:tc>
          <w:tcPr>
            <w:tcW w:w="309" w:type="pct"/>
            <w:shd w:val="clear" w:color="auto" w:fill="auto"/>
            <w:vAlign w:val="center"/>
          </w:tcPr>
          <w:p>
            <w:pPr>
              <w:spacing w:line="300" w:lineRule="exact"/>
              <w:jc w:val="right"/>
              <w:rPr>
                <w:rFonts w:ascii="方正书宋_GBK" w:eastAsia="方正书宋_GBK" w:cs="Times New Roman"/>
                <w:b/>
                <w:szCs w:val="24"/>
              </w:rPr>
            </w:pPr>
          </w:p>
        </w:tc>
        <w:tc>
          <w:tcPr>
            <w:tcW w:w="309" w:type="pct"/>
            <w:shd w:val="clear" w:color="auto" w:fill="auto"/>
            <w:vAlign w:val="center"/>
          </w:tcPr>
          <w:p>
            <w:pPr>
              <w:spacing w:line="300" w:lineRule="exact"/>
              <w:jc w:val="right"/>
              <w:rPr>
                <w:rFonts w:ascii="方正书宋_GBK" w:eastAsia="方正书宋_GBK" w:cs="Times New Roman"/>
                <w:b/>
                <w:szCs w:val="24"/>
              </w:rPr>
            </w:pPr>
          </w:p>
        </w:tc>
        <w:tc>
          <w:tcPr>
            <w:tcW w:w="309" w:type="pct"/>
            <w:shd w:val="clear" w:color="auto" w:fill="auto"/>
            <w:vAlign w:val="center"/>
          </w:tcPr>
          <w:p>
            <w:pPr>
              <w:spacing w:line="300" w:lineRule="exact"/>
              <w:jc w:val="right"/>
              <w:rPr>
                <w:rFonts w:ascii="方正书宋_GBK" w:eastAsia="方正书宋_GBK" w:cs="Times New Roman"/>
                <w:b/>
                <w:szCs w:val="24"/>
              </w:rPr>
            </w:pPr>
          </w:p>
        </w:tc>
        <w:tc>
          <w:tcPr>
            <w:tcW w:w="281" w:type="pct"/>
            <w:shd w:val="clear" w:color="auto" w:fill="auto"/>
            <w:vAlign w:val="center"/>
          </w:tcPr>
          <w:p>
            <w:pPr>
              <w:spacing w:line="300" w:lineRule="exact"/>
              <w:jc w:val="right"/>
              <w:rPr>
                <w:rFonts w:ascii="方正书宋_GBK" w:eastAsia="方正书宋_GBK" w:cs="Times New Roman"/>
                <w:b/>
                <w:szCs w:val="24"/>
              </w:rPr>
            </w:pPr>
          </w:p>
        </w:tc>
        <w:tc>
          <w:tcPr>
            <w:tcW w:w="303" w:type="pct"/>
            <w:shd w:val="clear" w:color="auto" w:fill="auto"/>
            <w:vAlign w:val="center"/>
          </w:tcPr>
          <w:p>
            <w:pPr>
              <w:spacing w:line="300" w:lineRule="exact"/>
              <w:jc w:val="right"/>
              <w:rPr>
                <w:rFonts w:ascii="方正书宋_GBK" w:eastAsia="方正书宋_GBK" w:cs="Times New Roman"/>
                <w:b/>
                <w:szCs w:val="24"/>
              </w:rPr>
            </w:pPr>
          </w:p>
        </w:tc>
        <w:tc>
          <w:tcPr>
            <w:tcW w:w="303" w:type="pct"/>
            <w:shd w:val="clear" w:color="auto" w:fill="auto"/>
            <w:vAlign w:val="center"/>
          </w:tcPr>
          <w:p>
            <w:pPr>
              <w:spacing w:line="300" w:lineRule="exact"/>
              <w:jc w:val="right"/>
              <w:rPr>
                <w:rFonts w:ascii="方正书宋_GBK" w:eastAsia="方正书宋_GBK" w:cs="Times New Roman"/>
                <w:b/>
                <w:szCs w:val="24"/>
              </w:rPr>
            </w:pPr>
          </w:p>
        </w:tc>
        <w:tc>
          <w:tcPr>
            <w:tcW w:w="285" w:type="pct"/>
            <w:shd w:val="clear" w:color="auto" w:fill="auto"/>
            <w:vAlign w:val="center"/>
          </w:tcPr>
          <w:p>
            <w:pPr>
              <w:spacing w:line="300" w:lineRule="exact"/>
              <w:jc w:val="right"/>
              <w:rPr>
                <w:rFonts w:ascii="方正书宋_GBK" w:eastAsia="方正书宋_GBK"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left"/>
              <w:rPr>
                <w:rFonts w:ascii="方正书宋_GBK" w:eastAsia="方正书宋_GBK" w:cs="Times New Roman"/>
                <w:szCs w:val="24"/>
              </w:rPr>
            </w:pPr>
          </w:p>
        </w:tc>
        <w:tc>
          <w:tcPr>
            <w:tcW w:w="367" w:type="pct"/>
            <w:shd w:val="clear" w:color="auto" w:fill="auto"/>
            <w:vAlign w:val="center"/>
          </w:tcPr>
          <w:p>
            <w:pPr>
              <w:spacing w:line="300" w:lineRule="exact"/>
              <w:jc w:val="right"/>
              <w:rPr>
                <w:rFonts w:ascii="方正书宋_GBK" w:eastAsia="方正书宋_GBK" w:cs="Times New Roman"/>
                <w:szCs w:val="24"/>
              </w:rPr>
            </w:pPr>
          </w:p>
        </w:tc>
        <w:tc>
          <w:tcPr>
            <w:tcW w:w="302" w:type="pct"/>
            <w:shd w:val="clear" w:color="auto" w:fill="auto"/>
            <w:vAlign w:val="center"/>
          </w:tcPr>
          <w:p>
            <w:pPr>
              <w:spacing w:line="300" w:lineRule="exact"/>
              <w:jc w:val="left"/>
              <w:rPr>
                <w:rFonts w:ascii="方正书宋_GBK" w:eastAsia="方正书宋_GBK" w:cs="Times New Roman"/>
                <w:szCs w:val="24"/>
              </w:rPr>
            </w:pPr>
          </w:p>
        </w:tc>
        <w:tc>
          <w:tcPr>
            <w:tcW w:w="481" w:type="pct"/>
            <w:shd w:val="clear" w:color="auto" w:fill="auto"/>
            <w:vAlign w:val="center"/>
          </w:tcPr>
          <w:p>
            <w:pPr>
              <w:spacing w:line="300" w:lineRule="exact"/>
              <w:jc w:val="left"/>
              <w:rPr>
                <w:rFonts w:ascii="方正书宋_GBK" w:eastAsia="方正书宋_GBK" w:cs="Times New Roman"/>
                <w:szCs w:val="24"/>
              </w:rPr>
            </w:pPr>
          </w:p>
        </w:tc>
        <w:tc>
          <w:tcPr>
            <w:tcW w:w="302" w:type="pct"/>
            <w:shd w:val="clear" w:color="auto" w:fill="auto"/>
            <w:vAlign w:val="center"/>
          </w:tcPr>
          <w:p>
            <w:pPr>
              <w:spacing w:line="300" w:lineRule="exact"/>
              <w:jc w:val="left"/>
              <w:rPr>
                <w:rFonts w:ascii="方正书宋_GBK" w:eastAsia="方正书宋_GBK" w:cs="Times New Roman"/>
                <w:szCs w:val="24"/>
              </w:rPr>
            </w:pPr>
          </w:p>
        </w:tc>
        <w:tc>
          <w:tcPr>
            <w:tcW w:w="302" w:type="pct"/>
            <w:shd w:val="clear" w:color="auto" w:fill="auto"/>
            <w:vAlign w:val="center"/>
          </w:tcPr>
          <w:p>
            <w:pPr>
              <w:spacing w:line="300" w:lineRule="exact"/>
              <w:jc w:val="right"/>
              <w:rPr>
                <w:rFonts w:ascii="方正书宋_GBK" w:eastAsia="方正书宋_GBK" w:cs="Times New Roman"/>
                <w:szCs w:val="24"/>
              </w:rPr>
            </w:pPr>
          </w:p>
        </w:tc>
        <w:tc>
          <w:tcPr>
            <w:tcW w:w="310" w:type="pct"/>
            <w:shd w:val="clear" w:color="auto" w:fill="auto"/>
            <w:vAlign w:val="center"/>
          </w:tcPr>
          <w:p>
            <w:pPr>
              <w:spacing w:line="300" w:lineRule="exact"/>
              <w:jc w:val="right"/>
              <w:rPr>
                <w:rFonts w:ascii="方正书宋_GBK" w:eastAsia="方正书宋_GBK" w:cs="Times New Roman"/>
                <w:szCs w:val="24"/>
              </w:rPr>
            </w:pPr>
          </w:p>
        </w:tc>
        <w:tc>
          <w:tcPr>
            <w:tcW w:w="309" w:type="pct"/>
            <w:shd w:val="clear" w:color="auto" w:fill="auto"/>
            <w:vAlign w:val="center"/>
          </w:tcPr>
          <w:p>
            <w:pPr>
              <w:spacing w:line="300" w:lineRule="exact"/>
              <w:jc w:val="right"/>
              <w:rPr>
                <w:rFonts w:ascii="方正书宋_GBK" w:eastAsia="方正书宋_GBK" w:cs="Times New Roman"/>
                <w:szCs w:val="24"/>
              </w:rPr>
            </w:pPr>
          </w:p>
        </w:tc>
        <w:tc>
          <w:tcPr>
            <w:tcW w:w="309" w:type="pct"/>
            <w:shd w:val="clear" w:color="auto" w:fill="auto"/>
            <w:vAlign w:val="center"/>
          </w:tcPr>
          <w:p>
            <w:pPr>
              <w:spacing w:line="300" w:lineRule="exact"/>
              <w:jc w:val="right"/>
              <w:rPr>
                <w:rFonts w:ascii="方正书宋_GBK" w:eastAsia="方正书宋_GBK" w:cs="Times New Roman"/>
                <w:szCs w:val="24"/>
              </w:rPr>
            </w:pPr>
          </w:p>
        </w:tc>
        <w:tc>
          <w:tcPr>
            <w:tcW w:w="309" w:type="pct"/>
            <w:shd w:val="clear" w:color="auto" w:fill="auto"/>
            <w:vAlign w:val="center"/>
          </w:tcPr>
          <w:p>
            <w:pPr>
              <w:spacing w:line="300" w:lineRule="exact"/>
              <w:jc w:val="right"/>
              <w:rPr>
                <w:rFonts w:ascii="方正书宋_GBK" w:eastAsia="方正书宋_GBK" w:cs="Times New Roman"/>
                <w:szCs w:val="24"/>
              </w:rPr>
            </w:pPr>
          </w:p>
        </w:tc>
        <w:tc>
          <w:tcPr>
            <w:tcW w:w="281" w:type="pct"/>
            <w:shd w:val="clear" w:color="auto" w:fill="auto"/>
            <w:vAlign w:val="center"/>
          </w:tcPr>
          <w:p>
            <w:pPr>
              <w:spacing w:line="300" w:lineRule="exact"/>
              <w:jc w:val="right"/>
              <w:rPr>
                <w:rFonts w:ascii="方正书宋_GBK" w:eastAsia="方正书宋_GBK" w:cs="Times New Roman"/>
                <w:szCs w:val="24"/>
              </w:rPr>
            </w:pPr>
          </w:p>
        </w:tc>
        <w:tc>
          <w:tcPr>
            <w:tcW w:w="303" w:type="pct"/>
            <w:shd w:val="clear" w:color="auto" w:fill="auto"/>
            <w:vAlign w:val="center"/>
          </w:tcPr>
          <w:p>
            <w:pPr>
              <w:spacing w:line="300" w:lineRule="exact"/>
              <w:jc w:val="right"/>
              <w:rPr>
                <w:rFonts w:ascii="方正书宋_GBK" w:eastAsia="方正书宋_GBK" w:cs="Times New Roman"/>
                <w:szCs w:val="24"/>
              </w:rPr>
            </w:pPr>
          </w:p>
        </w:tc>
        <w:tc>
          <w:tcPr>
            <w:tcW w:w="303" w:type="pct"/>
            <w:shd w:val="clear" w:color="auto" w:fill="auto"/>
            <w:vAlign w:val="center"/>
          </w:tcPr>
          <w:p>
            <w:pPr>
              <w:spacing w:line="300" w:lineRule="exact"/>
              <w:jc w:val="right"/>
              <w:rPr>
                <w:rFonts w:ascii="方正书宋_GBK" w:eastAsia="方正书宋_GBK" w:cs="Times New Roman"/>
                <w:szCs w:val="24"/>
              </w:rPr>
            </w:pPr>
          </w:p>
        </w:tc>
        <w:tc>
          <w:tcPr>
            <w:tcW w:w="285" w:type="pct"/>
            <w:shd w:val="clear" w:color="auto" w:fill="auto"/>
            <w:vAlign w:val="center"/>
          </w:tcPr>
          <w:p>
            <w:pPr>
              <w:spacing w:line="300" w:lineRule="exact"/>
              <w:jc w:val="right"/>
              <w:rPr>
                <w:rFonts w:ascii="方正书宋_GBK" w:eastAsia="方正书宋_GBK"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7" w:type="pct"/>
            <w:shd w:val="clear" w:color="auto" w:fill="auto"/>
            <w:vAlign w:val="center"/>
          </w:tcPr>
          <w:p>
            <w:pPr>
              <w:spacing w:line="300" w:lineRule="exact"/>
              <w:jc w:val="left"/>
              <w:rPr>
                <w:rFonts w:ascii="方正书宋_GBK" w:eastAsia="方正书宋_GBK" w:cs="Times New Roman"/>
                <w:szCs w:val="24"/>
              </w:rPr>
            </w:pPr>
          </w:p>
        </w:tc>
        <w:tc>
          <w:tcPr>
            <w:tcW w:w="367" w:type="pct"/>
            <w:shd w:val="clear" w:color="auto" w:fill="auto"/>
            <w:vAlign w:val="center"/>
          </w:tcPr>
          <w:p>
            <w:pPr>
              <w:spacing w:line="300" w:lineRule="exact"/>
              <w:jc w:val="right"/>
              <w:rPr>
                <w:rFonts w:ascii="方正书宋_GBK" w:eastAsia="方正书宋_GBK" w:cs="Times New Roman"/>
                <w:szCs w:val="24"/>
              </w:rPr>
            </w:pPr>
          </w:p>
        </w:tc>
        <w:tc>
          <w:tcPr>
            <w:tcW w:w="302" w:type="pct"/>
            <w:shd w:val="clear" w:color="auto" w:fill="auto"/>
            <w:vAlign w:val="center"/>
          </w:tcPr>
          <w:p>
            <w:pPr>
              <w:spacing w:line="300" w:lineRule="exact"/>
              <w:jc w:val="left"/>
              <w:rPr>
                <w:rFonts w:ascii="方正书宋_GBK" w:eastAsia="方正书宋_GBK" w:cs="Times New Roman"/>
                <w:szCs w:val="24"/>
              </w:rPr>
            </w:pPr>
          </w:p>
        </w:tc>
        <w:tc>
          <w:tcPr>
            <w:tcW w:w="481" w:type="pct"/>
            <w:shd w:val="clear" w:color="auto" w:fill="auto"/>
            <w:vAlign w:val="center"/>
          </w:tcPr>
          <w:p>
            <w:pPr>
              <w:spacing w:line="300" w:lineRule="exact"/>
              <w:jc w:val="left"/>
              <w:rPr>
                <w:rFonts w:ascii="方正书宋_GBK" w:eastAsia="方正书宋_GBK" w:cs="Times New Roman"/>
                <w:szCs w:val="24"/>
              </w:rPr>
            </w:pPr>
          </w:p>
        </w:tc>
        <w:tc>
          <w:tcPr>
            <w:tcW w:w="302" w:type="pct"/>
            <w:shd w:val="clear" w:color="auto" w:fill="auto"/>
            <w:vAlign w:val="center"/>
          </w:tcPr>
          <w:p>
            <w:pPr>
              <w:spacing w:line="300" w:lineRule="exact"/>
              <w:jc w:val="left"/>
              <w:rPr>
                <w:rFonts w:ascii="方正书宋_GBK" w:eastAsia="方正书宋_GBK" w:cs="Times New Roman"/>
                <w:szCs w:val="24"/>
              </w:rPr>
            </w:pPr>
          </w:p>
        </w:tc>
        <w:tc>
          <w:tcPr>
            <w:tcW w:w="302" w:type="pct"/>
            <w:shd w:val="clear" w:color="auto" w:fill="auto"/>
            <w:vAlign w:val="center"/>
          </w:tcPr>
          <w:p>
            <w:pPr>
              <w:spacing w:line="300" w:lineRule="exact"/>
              <w:jc w:val="right"/>
              <w:rPr>
                <w:rFonts w:ascii="方正书宋_GBK" w:eastAsia="方正书宋_GBK" w:cs="Times New Roman"/>
                <w:szCs w:val="24"/>
              </w:rPr>
            </w:pPr>
          </w:p>
        </w:tc>
        <w:tc>
          <w:tcPr>
            <w:tcW w:w="310" w:type="pct"/>
            <w:shd w:val="clear" w:color="auto" w:fill="auto"/>
            <w:vAlign w:val="center"/>
          </w:tcPr>
          <w:p>
            <w:pPr>
              <w:spacing w:line="300" w:lineRule="exact"/>
              <w:jc w:val="right"/>
              <w:rPr>
                <w:rFonts w:ascii="方正书宋_GBK" w:eastAsia="方正书宋_GBK" w:cs="Times New Roman"/>
                <w:szCs w:val="24"/>
              </w:rPr>
            </w:pPr>
          </w:p>
        </w:tc>
        <w:tc>
          <w:tcPr>
            <w:tcW w:w="309" w:type="pct"/>
            <w:shd w:val="clear" w:color="auto" w:fill="auto"/>
            <w:vAlign w:val="center"/>
          </w:tcPr>
          <w:p>
            <w:pPr>
              <w:spacing w:line="300" w:lineRule="exact"/>
              <w:jc w:val="right"/>
              <w:rPr>
                <w:rFonts w:ascii="方正书宋_GBK" w:eastAsia="方正书宋_GBK" w:cs="Times New Roman"/>
                <w:szCs w:val="24"/>
              </w:rPr>
            </w:pPr>
          </w:p>
        </w:tc>
        <w:tc>
          <w:tcPr>
            <w:tcW w:w="309" w:type="pct"/>
            <w:shd w:val="clear" w:color="auto" w:fill="auto"/>
            <w:vAlign w:val="center"/>
          </w:tcPr>
          <w:p>
            <w:pPr>
              <w:spacing w:line="300" w:lineRule="exact"/>
              <w:jc w:val="right"/>
              <w:rPr>
                <w:rFonts w:ascii="方正书宋_GBK" w:eastAsia="方正书宋_GBK" w:cs="Times New Roman"/>
                <w:szCs w:val="24"/>
              </w:rPr>
            </w:pPr>
          </w:p>
        </w:tc>
        <w:tc>
          <w:tcPr>
            <w:tcW w:w="309" w:type="pct"/>
            <w:shd w:val="clear" w:color="auto" w:fill="auto"/>
            <w:vAlign w:val="center"/>
          </w:tcPr>
          <w:p>
            <w:pPr>
              <w:spacing w:line="300" w:lineRule="exact"/>
              <w:jc w:val="right"/>
              <w:rPr>
                <w:rFonts w:ascii="方正书宋_GBK" w:eastAsia="方正书宋_GBK" w:cs="Times New Roman"/>
                <w:szCs w:val="24"/>
              </w:rPr>
            </w:pPr>
          </w:p>
        </w:tc>
        <w:tc>
          <w:tcPr>
            <w:tcW w:w="281" w:type="pct"/>
            <w:shd w:val="clear" w:color="auto" w:fill="auto"/>
            <w:vAlign w:val="center"/>
          </w:tcPr>
          <w:p>
            <w:pPr>
              <w:spacing w:line="300" w:lineRule="exact"/>
              <w:jc w:val="right"/>
              <w:rPr>
                <w:rFonts w:ascii="方正书宋_GBK" w:eastAsia="方正书宋_GBK" w:cs="Times New Roman"/>
                <w:szCs w:val="24"/>
              </w:rPr>
            </w:pPr>
          </w:p>
        </w:tc>
        <w:tc>
          <w:tcPr>
            <w:tcW w:w="303" w:type="pct"/>
            <w:shd w:val="clear" w:color="auto" w:fill="auto"/>
            <w:vAlign w:val="center"/>
          </w:tcPr>
          <w:p>
            <w:pPr>
              <w:spacing w:line="300" w:lineRule="exact"/>
              <w:jc w:val="right"/>
              <w:rPr>
                <w:rFonts w:ascii="方正书宋_GBK" w:eastAsia="方正书宋_GBK" w:cs="Times New Roman"/>
                <w:szCs w:val="24"/>
              </w:rPr>
            </w:pPr>
          </w:p>
        </w:tc>
        <w:tc>
          <w:tcPr>
            <w:tcW w:w="303" w:type="pct"/>
            <w:shd w:val="clear" w:color="auto" w:fill="auto"/>
            <w:vAlign w:val="center"/>
          </w:tcPr>
          <w:p>
            <w:pPr>
              <w:spacing w:line="300" w:lineRule="exact"/>
              <w:jc w:val="right"/>
              <w:rPr>
                <w:rFonts w:ascii="方正书宋_GBK" w:eastAsia="方正书宋_GBK" w:cs="Times New Roman"/>
                <w:szCs w:val="24"/>
              </w:rPr>
            </w:pPr>
          </w:p>
        </w:tc>
        <w:tc>
          <w:tcPr>
            <w:tcW w:w="285" w:type="pct"/>
            <w:shd w:val="clear" w:color="auto" w:fill="auto"/>
            <w:vAlign w:val="center"/>
          </w:tcPr>
          <w:p>
            <w:pPr>
              <w:spacing w:line="300" w:lineRule="exact"/>
              <w:jc w:val="right"/>
              <w:rPr>
                <w:rFonts w:ascii="方正书宋_GBK" w:eastAsia="方正书宋_GBK" w:cs="Times New Roman"/>
                <w:szCs w:val="24"/>
              </w:rPr>
            </w:pPr>
          </w:p>
        </w:tc>
      </w:tr>
    </w:tbl>
    <w:p>
      <w:pPr>
        <w:widowControl/>
        <w:spacing w:line="360" w:lineRule="atLeast"/>
        <w:jc w:val="left"/>
        <w:rPr>
          <w:rFonts w:ascii="仿宋_GB2312" w:eastAsia="仿宋_GB2312" w:cs="宋体"/>
          <w:color w:val="000000"/>
          <w:kern w:val="0"/>
          <w:sz w:val="32"/>
          <w:szCs w:val="32"/>
        </w:rPr>
      </w:pPr>
      <w:r>
        <w:rPr>
          <w:rFonts w:hint="eastAsia" w:ascii="宋体" w:cs="宋体"/>
          <w:color w:val="000000"/>
          <w:kern w:val="0"/>
          <w:sz w:val="27"/>
          <w:szCs w:val="27"/>
        </w:rPr>
        <w:br w:type="textWrapping"/>
      </w:r>
      <w:r>
        <w:rPr>
          <w:rFonts w:hint="eastAsia" w:ascii="宋体" w:cs="宋体"/>
          <w:color w:val="000000"/>
          <w:kern w:val="0"/>
          <w:sz w:val="27"/>
          <w:szCs w:val="27"/>
        </w:rPr>
        <w:t> </w:t>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widowControl/>
        <w:spacing w:line="360" w:lineRule="atLeast"/>
        <w:ind w:firstLine="480" w:firstLineChars="150"/>
        <w:jc w:val="left"/>
        <w:rPr>
          <w:rFonts w:ascii="仿宋_GB2312" w:eastAsia="仿宋_GB2312" w:cs="宋体"/>
          <w:color w:val="000000"/>
          <w:kern w:val="0"/>
          <w:sz w:val="32"/>
          <w:szCs w:val="32"/>
        </w:rPr>
      </w:pPr>
      <w:r>
        <w:rPr>
          <w:rFonts w:hint="eastAsia" w:ascii="黑体" w:eastAsia="黑体" w:cs="宋体"/>
          <w:color w:val="000000"/>
          <w:kern w:val="0"/>
          <w:sz w:val="32"/>
          <w:szCs w:val="32"/>
        </w:rPr>
        <w:t>七、国有资产信息</w:t>
      </w:r>
      <w:r>
        <w:rPr>
          <w:rFonts w:hint="eastAsia" w:ascii="黑体" w:eastAsia="黑体" w:cs="宋体"/>
          <w:color w:val="000000"/>
          <w:kern w:val="0"/>
          <w:sz w:val="32"/>
          <w:szCs w:val="32"/>
        </w:rPr>
        <w:br w:type="textWrapping"/>
      </w:r>
      <w:r>
        <w:rPr>
          <w:rFonts w:hint="eastAsia" w:ascii="宋体" w:cs="宋体"/>
          <w:color w:val="000000"/>
          <w:kern w:val="0"/>
          <w:sz w:val="27"/>
          <w:szCs w:val="27"/>
        </w:rPr>
        <w:t>  </w:t>
      </w:r>
      <w:r>
        <w:rPr>
          <w:rFonts w:hint="eastAsia" w:ascii="仿宋_GB2312" w:eastAsia="仿宋_GB2312" w:cs="宋体"/>
          <w:color w:val="000000"/>
          <w:kern w:val="0"/>
          <w:sz w:val="32"/>
          <w:szCs w:val="32"/>
        </w:rPr>
        <w:t xml:space="preserve"> 我部门（含所属单位）上年末固定资产金额为67.95万元，我部门本年度无拟购置固定资产，</w:t>
      </w:r>
    </w:p>
    <w:p>
      <w:pPr>
        <w:widowControl/>
        <w:spacing w:line="360" w:lineRule="atLeast"/>
        <w:jc w:val="left"/>
        <w:rPr>
          <w:rFonts w:ascii="宋体" w:cs="宋体"/>
          <w:color w:val="000000"/>
          <w:kern w:val="0"/>
          <w:sz w:val="27"/>
          <w:szCs w:val="27"/>
        </w:rPr>
      </w:pPr>
      <w:r>
        <w:rPr>
          <w:rFonts w:hint="eastAsia" w:ascii="仿宋_GB2312" w:eastAsia="仿宋_GB2312" w:cs="宋体"/>
          <w:color w:val="000000"/>
          <w:kern w:val="0"/>
          <w:sz w:val="32"/>
          <w:szCs w:val="32"/>
        </w:rPr>
        <w:t>详见下表。</w:t>
      </w:r>
      <w:r>
        <w:rPr>
          <w:rFonts w:hint="eastAsia" w:ascii="仿宋_GB2312" w:eastAsia="仿宋_GB2312" w:cs="宋体"/>
          <w:color w:val="000000"/>
          <w:kern w:val="0"/>
          <w:sz w:val="32"/>
          <w:szCs w:val="32"/>
        </w:rPr>
        <w:br w:type="textWrapping"/>
      </w:r>
      <w:r>
        <w:rPr>
          <w:rFonts w:hint="eastAsia" w:ascii="宋体" w:cs="宋体"/>
          <w:color w:val="000000"/>
          <w:kern w:val="0"/>
          <w:sz w:val="27"/>
          <w:szCs w:val="27"/>
        </w:rPr>
        <w:t> </w:t>
      </w:r>
    </w:p>
    <w:p>
      <w:pPr>
        <w:widowControl/>
        <w:spacing w:line="360" w:lineRule="atLeast"/>
        <w:jc w:val="left"/>
        <w:rPr>
          <w:rFonts w:ascii="宋体" w:cs="宋体"/>
          <w:color w:val="000000"/>
          <w:kern w:val="0"/>
          <w:sz w:val="27"/>
          <w:szCs w:val="27"/>
        </w:rPr>
      </w:pPr>
    </w:p>
    <w:p>
      <w:pPr>
        <w:widowControl/>
        <w:spacing w:line="360" w:lineRule="atLeast"/>
        <w:jc w:val="left"/>
        <w:rPr>
          <w:rFonts w:ascii="宋体" w:cs="宋体"/>
          <w:color w:val="000000"/>
          <w:kern w:val="0"/>
          <w:sz w:val="18"/>
          <w:szCs w:val="18"/>
        </w:rPr>
      </w:pPr>
    </w:p>
    <w:tbl>
      <w:tblPr>
        <w:tblStyle w:val="4"/>
        <w:tblW w:w="9945" w:type="dxa"/>
        <w:tblCellSpacing w:w="0" w:type="dxa"/>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3870"/>
        <w:gridCol w:w="2730"/>
        <w:gridCol w:w="34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9945" w:type="dxa"/>
            <w:gridSpan w:val="3"/>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 w:eastAsia="仿宋" w:cs="宋体"/>
                <w:kern w:val="0"/>
                <w:sz w:val="28"/>
                <w:szCs w:val="28"/>
              </w:rPr>
            </w:pPr>
            <w:r>
              <w:rPr>
                <w:rFonts w:ascii="宋体" w:hAnsi="宋体" w:eastAsia="仿宋" w:cs="宋体"/>
                <w:kern w:val="0"/>
                <w:sz w:val="28"/>
                <w:szCs w:val="28"/>
              </w:rPr>
              <w:t> </w:t>
            </w:r>
            <w:r>
              <w:rPr>
                <w:rFonts w:hint="eastAsia" w:ascii="仿宋" w:eastAsia="仿宋" w:cs="宋体"/>
                <w:b/>
                <w:bCs/>
                <w:kern w:val="0"/>
                <w:sz w:val="28"/>
                <w:szCs w:val="28"/>
              </w:rPr>
              <w:t>廊坊市广阳区预算部门固定资产占用情况表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6540" w:type="dxa"/>
            <w:gridSpan w:val="2"/>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kern w:val="0"/>
                <w:sz w:val="28"/>
                <w:szCs w:val="28"/>
              </w:rPr>
              <w:t>编制部门：</w:t>
            </w:r>
            <w:r>
              <w:rPr>
                <w:rFonts w:hint="eastAsia" w:ascii="仿宋" w:eastAsia="仿宋" w:cs="宋体"/>
                <w:b/>
                <w:bCs/>
                <w:kern w:val="0"/>
                <w:sz w:val="28"/>
                <w:szCs w:val="28"/>
              </w:rPr>
              <w:t>廊坊市广阳区审计局</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宋体" w:hAnsi="宋体" w:eastAsia="仿宋" w:cs="宋体"/>
                <w:kern w:val="0"/>
                <w:sz w:val="28"/>
                <w:szCs w:val="28"/>
              </w:rPr>
            </w:pPr>
            <w:r>
              <w:rPr>
                <w:rFonts w:hint="eastAsia" w:ascii="仿宋" w:eastAsia="仿宋" w:cs="宋体"/>
                <w:kern w:val="0"/>
                <w:sz w:val="28"/>
                <w:szCs w:val="28"/>
              </w:rPr>
              <w:t>截止时间：2016年12月31日</w:t>
            </w:r>
            <w:r>
              <w:rPr>
                <w:rFonts w:ascii="宋体" w:hAnsi="宋体" w:eastAsia="仿宋" w:cs="宋体"/>
                <w:kern w:val="0"/>
                <w:sz w:val="28"/>
                <w:szCs w:val="28"/>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b/>
                <w:bCs/>
                <w:kern w:val="0"/>
                <w:sz w:val="28"/>
                <w:szCs w:val="28"/>
              </w:rPr>
              <w:t>项</w:t>
            </w:r>
            <w:r>
              <w:rPr>
                <w:rFonts w:ascii="宋体" w:hAnsi="宋体" w:eastAsia="仿宋" w:cs="宋体"/>
                <w:b/>
                <w:bCs/>
                <w:kern w:val="0"/>
                <w:sz w:val="28"/>
                <w:szCs w:val="28"/>
              </w:rPr>
              <w:t>  </w:t>
            </w:r>
            <w:r>
              <w:rPr>
                <w:rFonts w:hint="eastAsia" w:ascii="仿宋" w:eastAsia="仿宋" w:cs="宋体"/>
                <w:b/>
                <w:bCs/>
                <w:kern w:val="0"/>
                <w:sz w:val="28"/>
                <w:szCs w:val="28"/>
              </w:rPr>
              <w:t>目</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b/>
                <w:bCs/>
                <w:kern w:val="0"/>
                <w:sz w:val="28"/>
                <w:szCs w:val="28"/>
              </w:rPr>
              <w:t>数量</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b/>
                <w:bCs/>
                <w:kern w:val="0"/>
                <w:sz w:val="28"/>
                <w:szCs w:val="28"/>
              </w:rPr>
              <w:t>价值（金额单位：万元）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kern w:val="0"/>
                <w:sz w:val="28"/>
                <w:szCs w:val="28"/>
              </w:rPr>
              <w:t>资产总额</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kern w:val="0"/>
                <w:sz w:val="28"/>
                <w:szCs w:val="28"/>
              </w:rPr>
              <w:t>——</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kern w:val="0"/>
                <w:sz w:val="28"/>
                <w:szCs w:val="28"/>
              </w:rPr>
              <w:t>67.95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kern w:val="0"/>
                <w:sz w:val="28"/>
                <w:szCs w:val="28"/>
              </w:rPr>
              <w:t>1、房屋（平方米）</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kern w:val="0"/>
                <w:sz w:val="28"/>
                <w:szCs w:val="28"/>
              </w:rPr>
              <w:t>0</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kern w:val="0"/>
                <w:sz w:val="28"/>
                <w:szCs w:val="28"/>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ascii="宋体" w:hAnsi="宋体" w:eastAsia="仿宋" w:cs="宋体"/>
                <w:kern w:val="0"/>
                <w:sz w:val="28"/>
                <w:szCs w:val="28"/>
              </w:rPr>
              <w:t>  </w:t>
            </w:r>
            <w:r>
              <w:rPr>
                <w:rFonts w:hint="eastAsia" w:ascii="仿宋" w:eastAsia="仿宋" w:cs="宋体"/>
                <w:kern w:val="0"/>
                <w:sz w:val="28"/>
                <w:szCs w:val="28"/>
              </w:rPr>
              <w:t>其中：办公用房（平方米）</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kern w:val="0"/>
                <w:sz w:val="28"/>
                <w:szCs w:val="28"/>
              </w:rPr>
              <w:t>0</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kern w:val="0"/>
                <w:sz w:val="28"/>
                <w:szCs w:val="28"/>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kern w:val="0"/>
                <w:sz w:val="28"/>
                <w:szCs w:val="28"/>
              </w:rPr>
              <w:t>2、车辆（台、辆）</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kern w:val="0"/>
                <w:sz w:val="28"/>
                <w:szCs w:val="28"/>
              </w:rPr>
              <w:t>1</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kern w:val="0"/>
                <w:sz w:val="28"/>
                <w:szCs w:val="28"/>
              </w:rPr>
              <w:t>17.9</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 w:eastAsia="仿宋" w:cs="宋体"/>
                <w:kern w:val="0"/>
                <w:sz w:val="28"/>
                <w:szCs w:val="28"/>
              </w:rPr>
            </w:pPr>
            <w:r>
              <w:rPr>
                <w:rFonts w:hint="eastAsia" w:ascii="仿宋" w:eastAsia="仿宋" w:cs="宋体"/>
                <w:kern w:val="0"/>
                <w:sz w:val="28"/>
                <w:szCs w:val="28"/>
              </w:rPr>
              <w:t>3、单价在50万元以上的设备</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kern w:val="0"/>
                <w:sz w:val="28"/>
                <w:szCs w:val="28"/>
              </w:rPr>
              <w:t>0</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kern w:val="0"/>
                <w:sz w:val="28"/>
                <w:szCs w:val="28"/>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384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kern w:val="0"/>
                <w:sz w:val="28"/>
                <w:szCs w:val="28"/>
              </w:rPr>
              <w:t>4、其他固定资产</w:t>
            </w:r>
          </w:p>
        </w:tc>
        <w:tc>
          <w:tcPr>
            <w:tcW w:w="2700"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宋体" w:hAnsi="宋体" w:eastAsia="仿宋" w:cs="宋体"/>
                <w:kern w:val="0"/>
                <w:sz w:val="28"/>
                <w:szCs w:val="28"/>
              </w:rPr>
            </w:pPr>
            <w:r>
              <w:rPr>
                <w:rFonts w:ascii="宋体" w:hAnsi="宋体" w:eastAsia="仿宋" w:cs="宋体"/>
                <w:kern w:val="0"/>
                <w:sz w:val="28"/>
                <w:szCs w:val="28"/>
              </w:rPr>
              <w:t> </w:t>
            </w:r>
          </w:p>
        </w:tc>
        <w:tc>
          <w:tcPr>
            <w:tcW w:w="3405"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 w:eastAsia="仿宋" w:cs="宋体"/>
                <w:kern w:val="0"/>
                <w:sz w:val="28"/>
                <w:szCs w:val="28"/>
              </w:rPr>
            </w:pPr>
            <w:r>
              <w:rPr>
                <w:rFonts w:hint="eastAsia" w:ascii="仿宋" w:eastAsia="仿宋" w:cs="宋体"/>
                <w:kern w:val="0"/>
                <w:sz w:val="28"/>
                <w:szCs w:val="28"/>
              </w:rPr>
              <w:t>50.05</w:t>
            </w:r>
          </w:p>
        </w:tc>
      </w:tr>
    </w:tbl>
    <w:p>
      <w:pPr>
        <w:pStyle w:val="7"/>
        <w:ind w:left="270" w:hanging="270" w:hangingChars="150"/>
        <w:rPr>
          <w:rFonts w:ascii="仿宋_GB2312" w:eastAsia="仿宋_GB2312"/>
          <w:b/>
          <w:bCs/>
          <w:sz w:val="32"/>
          <w:szCs w:val="32"/>
        </w:rPr>
      </w:pPr>
      <w:r>
        <w:rPr>
          <w:rFonts w:hint="eastAsia" w:ascii="宋体" w:cs="宋体"/>
          <w:sz w:val="18"/>
          <w:szCs w:val="18"/>
        </w:rPr>
        <w:t> </w:t>
      </w:r>
      <w:r>
        <w:rPr>
          <w:rFonts w:hint="eastAsia" w:ascii="黑体" w:eastAsia="黑体" w:cs="宋体"/>
          <w:sz w:val="32"/>
          <w:szCs w:val="32"/>
        </w:rPr>
        <w:t xml:space="preserve"> 八、名词解释</w:t>
      </w:r>
      <w:r>
        <w:rPr>
          <w:rFonts w:hint="eastAsia" w:ascii="黑体" w:eastAsia="黑体" w:cs="宋体"/>
          <w:sz w:val="32"/>
          <w:szCs w:val="32"/>
        </w:rPr>
        <w:br w:type="textWrapping"/>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_GB2312" w:eastAsia="仿宋_GB2312" w:cs="宋体"/>
          <w:color w:val="000000"/>
          <w:kern w:val="0"/>
          <w:sz w:val="32"/>
          <w:szCs w:val="32"/>
        </w:rPr>
      </w:pPr>
    </w:p>
    <w:p>
      <w:pPr>
        <w:widowControl/>
        <w:spacing w:line="360" w:lineRule="atLeast"/>
        <w:ind w:firstLine="480" w:firstLineChars="150"/>
        <w:jc w:val="left"/>
        <w:rPr>
          <w:rFonts w:ascii="仿宋_GB2312" w:eastAsia="仿宋_GB2312" w:cs="宋体"/>
          <w:color w:val="000000"/>
          <w:kern w:val="0"/>
          <w:sz w:val="32"/>
          <w:szCs w:val="32"/>
        </w:rPr>
      </w:pPr>
      <w:r>
        <w:rPr>
          <w:rFonts w:hint="eastAsia" w:ascii="黑体" w:eastAsia="黑体" w:cs="宋体"/>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624C33"/>
    <w:rsid w:val="001A5565"/>
    <w:rsid w:val="00624C33"/>
    <w:rsid w:val="00CB6AA6"/>
    <w:rsid w:val="5B615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636</Words>
  <Characters>3628</Characters>
  <Lines>30</Lines>
  <Paragraphs>8</Paragraphs>
  <TotalTime>38</TotalTime>
  <ScaleCrop>false</ScaleCrop>
  <LinksUpToDate>false</LinksUpToDate>
  <CharactersWithSpaces>4256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2017-10-27T09:25:00Z</dcterms:created>
  <dc:creator>lenovo</dc:creator>
  <cp:lastModifiedBy>Administrator</cp:lastModifiedBy>
  <dcterms:modified xsi:type="dcterms:W3CDTF">2024-01-18T02:08:22Z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3CDB051258AC4E08926E3B1D0EEC27E2</vt:lpwstr>
  </property>
</Properties>
</file>