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cs="宋体"/>
          <w:b/>
          <w:bCs/>
          <w:color w:val="000000"/>
          <w:kern w:val="0"/>
          <w:sz w:val="44"/>
          <w:szCs w:val="44"/>
        </w:rPr>
      </w:pPr>
      <w:r>
        <w:rPr>
          <w:rFonts w:hint="eastAsia" w:ascii="方正小标宋简体" w:eastAsia="方正小标宋简体" w:cs="宋体"/>
          <w:b/>
          <w:bCs/>
          <w:color w:val="000000"/>
          <w:kern w:val="0"/>
          <w:sz w:val="44"/>
          <w:szCs w:val="44"/>
        </w:rPr>
        <w:t>廊坊市广阳区商务局2017年部门预算</w:t>
      </w:r>
      <w:r>
        <w:rPr>
          <w:rFonts w:hint="eastAsia" w:ascii="方正小标宋简体" w:eastAsia="方正小标宋简体"/>
          <w:sz w:val="44"/>
          <w:szCs w:val="44"/>
        </w:rPr>
        <w:t>信息</w:t>
      </w:r>
      <w:r>
        <w:rPr>
          <w:rFonts w:hint="eastAsia" w:ascii="方正小标宋简体" w:eastAsia="方正小标宋简体" w:cs="宋体"/>
          <w:b/>
          <w:bCs/>
          <w:color w:val="000000"/>
          <w:kern w:val="0"/>
          <w:sz w:val="44"/>
          <w:szCs w:val="44"/>
        </w:rPr>
        <w:t>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廊坊市广阳区商务局</w:t>
      </w:r>
      <w:r>
        <w:rPr>
          <w:rFonts w:hint="eastAsia" w:ascii="仿宋_GB2312" w:eastAsia="仿宋_GB2312"/>
          <w:sz w:val="32"/>
          <w:szCs w:val="32"/>
        </w:rPr>
        <w:t xml:space="preserve">2017年部门预算公开如下：  </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（一）贯彻落实国家和省、市、区有关内外贸易、国际经济合作和招商引资的发展战略、方针、政策和规章制度；拟订全区相应的发展规划及规定、办法和措施。</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贯彻执行国家有关对外开放、招商引资等方面的法律法规和方针政策；拟订并实施全区外商投资政策和改革方案，指导全区外商投资工作；参与拟订全区利用外资的中长期规划；负责全区鼓励类、允许类外商投资限额以下项目、合同章程及其变更事项的审批；负责国家规定的限额以上、限制投资、特殊行业和涉及配额、许可证管理的外商投资企业的设立及其变更事项的审核上报工作；监督外商投资企业执行有关法律法规、规章及合同、章程的情况；指导和管理全区招商引资、投资促进和进出口工作；负责全区利用外资和外资企业生产经营情况统计；负责全区外商投资企业进出口产品配额及许可证的申报和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负责全区对外经济合作工作；拟订并执行对外经济合作政策，指导和监督对外承包工程、劳务合作、设计咨询等业务的管理；拟订我区境外投资管理办法和具体政策；负责对外经济合作企业的经营资格认定和管理工作；管理联合国及其他国际组织或国外政府对我区经济技术合作方面的无偿援助及赠款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（四）审核或核准区域内企业对外投资开办企业（金融企业除外）和境外带料加工贸易并实施监督管理；负责国外和香港、澳门特别行政区及台湾常驻我区商务代表机构的设立、申报和管理工作。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（五）指导监督以广阳区名义在境内举办的各种外经贸交易会、展览会等活动；拟订并实施赴境外举办上述活动的管理办法。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（六）执行国家制定的进出口管理办法、进出口商品目录和进出口商品配额招标政策；负责进出口配额计划的编报、组织实施及配额、许可证管理工作。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七）拟订和推进全区科技兴贸战略，贯彻执行国家对外技术贸易、进出口管制及鼓励技术和成套设备出口的政策；推进进出口贸易标准化体系建设；依法监督技术引进、设备进口、国家限额出口的技术和引进技术的出口与再出口工作；负责申报与防扩散相关的出口许可证的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八）贯彻执行国家机电产品进出口战略和方针、政策；拟订和执行全区机电产品进出口中长期发展规划、年度指导性计划；制定全区进出口机电产品招标规则和管理办法并组织实施；依法监督进出口机电设备采购项目招标活动，承办从事与工程建设有关的进口机电设备采购招标代理业务的招标代理机构资格初审；管理设备进口和国际招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九）负责全区商务系统涉及世贸组织相关事物的研究、指导和服务工作；组织协调反倾销、反补贴、保障措施及其它与进出口公平贸易相关的工作，建立进出口公平贸易预警机制；组织全区产业损失调查；指导协调国外对我区出口商品的反倾销、反补贴、保障措施的应诉及相关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（十）研究提出流通体制改革意见，培育发展城乡市场、推进流通产业结构调整和连锁经营、物流配送、电子商务等现代流通方式。</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一）研究拟订全区规范流通领域市场体系及流通秩序和打破市场垄断、地区封锁的政策，建立健全统一、开放、竞争、有序的市场体系，维护行业公平竞争秩序；检测分析市场运行和商品供求状况，组织实施重要消费品市场调控和重要生产资料流通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二）调查研究全区商品流通和物资流通行业重大问题，提出政策性建议；负责畜禽定点屠宰、酒类专卖、化学危险品经营和拍卖、典当行业的监督管理；负责批发、零售、餐饮、住宿等行业管理；负责重要商品和生产资料经营资格的审查工作；协同有关部门负责民爆器材的经营性管理工作；承办全区老旧汽车更新工作；指导全区商务系统安全生产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（十三）负责全区内外贸易新闻发布会、宣传工作和提供信息咨询服务；指导全区流通领域信息网络和电子商务建设。</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（十四）负责指导全区商贸流通行业协会，学会等社团组织工作。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（十五）承办区政府交办的其他事项。</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512"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3"/>
        <w:gridCol w:w="1285"/>
        <w:gridCol w:w="1272"/>
        <w:gridCol w:w="266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29"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廊坊市广阳区商务局</w:t>
            </w:r>
          </w:p>
        </w:tc>
        <w:tc>
          <w:tcPr>
            <w:tcW w:w="129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行政单位</w:t>
            </w:r>
          </w:p>
        </w:tc>
        <w:tc>
          <w:tcPr>
            <w:tcW w:w="128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正科级</w:t>
            </w:r>
          </w:p>
        </w:tc>
        <w:tc>
          <w:tcPr>
            <w:tcW w:w="268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1、收入说明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2017年预算收入902.52万元，其中：一般公共预算收入902.52万元，政府性基金收入0万元。</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2017年支出预算902.52万元，其中基本支出611.28万元，包括人员经费和日常公用经费；项目支出291.24万元，主要为商务、物资、二轻机关非财政退休人员相关福利待遇资金。</w:t>
      </w:r>
      <w:r>
        <w:rPr>
          <w:rFonts w:hint="eastAsia" w:ascii="仿宋_GB2312" w:eastAsia="仿宋_GB2312" w:cs="宋体"/>
          <w:color w:val="000000"/>
          <w:kern w:val="0"/>
          <w:sz w:val="32"/>
          <w:szCs w:val="32"/>
        </w:rPr>
        <w:br w:type="textWrapping"/>
      </w:r>
      <w:r>
        <w:rPr>
          <w:rFonts w:hint="eastAsia" w:ascii="宋体" w:hAnsi="宋体" w:eastAsia="楷体_GB2312" w:cs="宋体"/>
          <w:b/>
          <w:bCs/>
          <w:color w:val="000000"/>
          <w:kern w:val="0"/>
          <w:sz w:val="32"/>
          <w:szCs w:val="32"/>
        </w:rPr>
        <w:t>   </w:t>
      </w:r>
      <w:r>
        <w:rPr>
          <w:rFonts w:hint="eastAsia" w:ascii="楷体_GB2312" w:eastAsia="楷体_GB2312" w:cs="宋体"/>
          <w:b/>
          <w:bCs/>
          <w:color w:val="000000"/>
          <w:kern w:val="0"/>
          <w:sz w:val="32"/>
          <w:szCs w:val="32"/>
        </w:rPr>
        <w:t>3、比上年增减情况</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2017年预算收支安排902.52万元，较2016年预算增加159.05万元，其中：基本支出增加137.81万元，主要为增加人员经费支出；项目支出增加21.24万元，主要为增加物资及二轻机关非财政退休待遇项目支出。</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121.46万元，其中办公经费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1.46万元，其他业务费</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120</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在2017年的商务工作中，我们将重点抓好以下五个方面的工作：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一、突出重点，推进招商引资，构建发展支撑</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二、突出服务，培植壮大主体，挖掘出口潜力</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三、突出创新，探索发展方式，力推电子商务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四、突出监管，规范市场秩序，统筹协调发展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五、突出效能，狠抓机关作风，强化队伍建设</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一、对外贸易管理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依法监督技术引进、设备进口、国家限制出口的技术工作，拟订县级服务贸易发展规划并组织实施；负责对外贸易相关行政审批。促进对外贸易稳定增长，优化产品结构。完成县政府下达的外贸进出口指标。一是招商引资。组织实施投资贸易洽谈会等活动。组织区级企业走出去，开展贸易洽谈、招商合作等活动，促进贸易往来。通过开展“主体招商活动”，瞄准重点区域、重点客商和商务机构，推动和引领全区做好招商工作。突出引进战略投资者，力争在重点产业引进一批战略支撑项目、龙头企业和协力配套企业。二是高新产品进出口管理。县级高新技术产品对外推广，引导县级企业进口国外先进技术、关键设备和紧缺的资源产品，提高企业技术装备水平，推动企业转变增长方式，调整产品结构、提高产品质量和附加值。三是发展服务贸易和服务外包推介区级服务贸易和服务外包企业、扩大技术进出口、软件信息服务业和离岸服务外包出口，宣传区级服务贸易政策、开拓国内外市场。四是提高外贸市场竞争能力。打造以技术、质量、品牌、服务为核心的竞争新优势，支持外贸基地、品牌、境外营销网络建设，发展跨境电子商务、内外贸结合商品市场、外贸综合服务企业等新业态。</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二、对内贸的管理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推进农村市场体系建设，组织实施农村现代流通网络工程；推进流通产业结构调整，推动流通标准化和现代流通方式的发展。按照区委、区政府关于搞活商贸流通的相关要求，完成任务分解、资金安排等相关工作。一是农村、农产品市场体系建设。大力加强公益性农产品市场建设，充分发挥农产品流通的基础性和先导性作用，围绕服务“三农”和民生工作，构建农产品产销平稳运行长效机制。建立起以功能聚集的农产品批发市场为中心，以绿色便捷的农产品零售市场为基础，以高效规范的电子商务等新型市场为重要补充，有形无形市场相结合的农产品市场体系。二是电子商务建设支持电子商务园区建设，提高电子商务平台知名度，完善服务体系。普及电子商务应用，扩大网络消费规模。提升服务管理能力；提高电子商务执业人员素质。三是扶持商贸流通领域中小企业发展，支持大型商贸企业、商贸连锁经营企业或第三方商贸物流企业的标准化配送中心建设及改造；实施大众早晨工程，确保早快餐连锁化和主食加工配送中心建设。四是消费品市场调控。组织实施重要消费品、生产资料市场调控和流通管理,承担</w:t>
      </w:r>
      <w:r>
        <w:rPr>
          <w:rFonts w:hint="eastAsia" w:ascii="仿宋_GB2312" w:eastAsia="仿宋_GB2312" w:cs="宋体"/>
          <w:color w:val="000000"/>
          <w:kern w:val="0"/>
          <w:sz w:val="32"/>
          <w:szCs w:val="32"/>
          <w:lang w:eastAsia="zh-CN"/>
        </w:rPr>
        <w:t>生活必需品</w:t>
      </w:r>
      <w:r>
        <w:rPr>
          <w:rFonts w:hint="eastAsia" w:ascii="仿宋_GB2312" w:eastAsia="仿宋_GB2312" w:cs="宋体"/>
          <w:color w:val="000000"/>
          <w:kern w:val="0"/>
          <w:sz w:val="32"/>
          <w:szCs w:val="32"/>
        </w:rPr>
        <w:t>、肉菜等储备任务，组织开展消费促进活动，监测市场运行、商品供求状况，进行预测预警；负责酒类流通、畜禽屠宰活动的监督管理。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三、商务政务管理</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负责系统综合业务管理和机关综合事务管理。统筹协调全区打击侵权假冒工作，完善开发区建设发展管理体系，增强网上办事能力，确保商务顺利完成。做好商贸领域政策制定、改革推进、新闻宣传和信息管理等工作，统筹协调区级打击侵犯假冒工作，对拍卖、典当行业进行监督管理。做好会议培训组织，内部信息化建设与维护，财务和资产管理，标准化建设，基础设施维修，大型设备购置，人事、党务以及老干部管理等工作。负责直属企事业单位管理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1418"/>
        <w:gridCol w:w="1097"/>
        <w:gridCol w:w="1870"/>
        <w:gridCol w:w="1704"/>
        <w:gridCol w:w="999"/>
        <w:gridCol w:w="686"/>
        <w:gridCol w:w="686"/>
        <w:gridCol w:w="686"/>
        <w:gridCol w:w="6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705廊坊市广阳区商务局</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单位：万元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职责活动</w:t>
            </w:r>
          </w:p>
        </w:tc>
        <w:tc>
          <w:tcPr>
            <w:tcW w:w="142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年度预算数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内容描述</w:t>
            </w:r>
          </w:p>
        </w:tc>
        <w:tc>
          <w:tcPr>
            <w:tcW w:w="331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绩效目标</w:t>
            </w:r>
          </w:p>
        </w:tc>
        <w:tc>
          <w:tcPr>
            <w:tcW w:w="1575" w:type="dxa"/>
            <w:vMerge w:val="restart"/>
            <w:tcBorders>
              <w:bottom w:val="outset" w:color="auto" w:sz="6" w:space="0"/>
            </w:tcBorders>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绩效指标</w:t>
            </w:r>
          </w:p>
        </w:tc>
        <w:tc>
          <w:tcPr>
            <w:tcW w:w="3300" w:type="dxa"/>
            <w:gridSpan w:val="4"/>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评价标准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优</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良</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中</w:t>
            </w:r>
          </w:p>
        </w:tc>
        <w:tc>
          <w:tcPr>
            <w:tcW w:w="825" w:type="dxa"/>
            <w:vAlign w:val="center"/>
          </w:tcPr>
          <w:p>
            <w:pPr>
              <w:widowControl/>
              <w:jc w:val="center"/>
              <w:rPr>
                <w:rFonts w:ascii="仿宋_GB2312" w:eastAsia="仿宋_GB2312" w:cs="宋体"/>
                <w:b/>
                <w:bCs/>
                <w:kern w:val="0"/>
                <w:sz w:val="28"/>
                <w:szCs w:val="28"/>
              </w:rPr>
            </w:pPr>
            <w:r>
              <w:rPr>
                <w:rFonts w:hint="eastAsia" w:ascii="仿宋_GB2312" w:eastAsia="仿宋_GB2312" w:cs="宋体"/>
                <w:b/>
                <w:bCs/>
                <w:kern w:val="0"/>
                <w:sz w:val="28"/>
                <w:szCs w:val="28"/>
              </w:rPr>
              <w:t>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对内商贸管理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推进农村市场体系建设，组织实施农村现代流通网络工程；推进流通产业结构调整，推动流通标准化和现代流通方式的发展</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按照区委、区政府关于搞活商贸流通的相关要求，完成任务分解、资金安排等相关工作</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开拓国内市场</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组织区级企业参加商贸洽谈活动。</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推进我区商贸企业工贸、农贸和内外贸结合，扩大我区产品的知名度，增加国内市场份额</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企业参展现场销售金额和签订意向合同金额</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促进商贸流通</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扶持商贸流通领域中小企业发展，支持大型商贸企业、商贸连锁经营企业或第三方商贸物流企业的标准化配送中心建设及改造；实施大众早晨工程，确保早快餐连锁化和主食加工配送中心建设。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统筹城乡商贸物流配送中心建设，提高共同配送率</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商贸物流配送中心数量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电子商务建设</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支持电子商务园区建设，提高电子商务平台知名度，完善服务体系。</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普及电子商务应用，扩大网络消费规模。提升服务管理能力；提高电子商务执业人员素质</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电子商务交易额、全国电子商务综合排名</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再生资源利用</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支持城市再生资源回收体系，大型区域性再生资源回收基地和分拣中心，社区或农村再生资源回收网点建设。</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“十二五”期间开展废旧商品回收体系建设和全区区域性大型废旧商品回收处理基地项目建设</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再生资源利用项目建设数量</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农村、农产品市场体系建设</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大力加强公益性农产品市场建设，充分发挥农产品流通的基础性和先导性作用，围绕服务“三农”和民生工作，构建农产品产销平稳运行长效机制。</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建立起以功能聚集的农产品批发市场为中心，以绿色便捷的农产品零售市场为基础，以高效规范的电子商务等新型市场为重要补充，有形无形市场相结合的农产品市场体系</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农产品批发市场数量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农贸市场数量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农产品直销网点数量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乡镇商贸中心数量</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农村商品配送中心数量</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消费品市场调控</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组织实施重要消费品、生产资料市场调控和流通管理,承担</w:t>
            </w:r>
            <w:r>
              <w:rPr>
                <w:rFonts w:hint="eastAsia" w:ascii="仿宋_GB2312" w:eastAsia="仿宋_GB2312" w:cs="宋体"/>
                <w:kern w:val="0"/>
                <w:sz w:val="28"/>
                <w:szCs w:val="28"/>
                <w:lang w:eastAsia="zh-CN"/>
              </w:rPr>
              <w:t>生活必需品</w:t>
            </w:r>
            <w:r>
              <w:rPr>
                <w:rFonts w:hint="eastAsia" w:ascii="仿宋_GB2312" w:eastAsia="仿宋_GB2312" w:cs="宋体"/>
                <w:kern w:val="0"/>
                <w:sz w:val="28"/>
                <w:szCs w:val="28"/>
              </w:rPr>
              <w:t>、肉菜等储备任务，组织开展消费促进活动，监测市场运行、商品供求状况，进行预测预警；负责酒类流通、畜禽屠宰活动的监督管理。</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确保储备商品质量完好，数量充足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储备商品数量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5000吨</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3000吨</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1000吨</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500吨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监测信息报送率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招商引资集中行动</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通过开展“主体招商活动”，瞄准重点区域、重点客商和商务机构，推动和引领全区做好招商工作。突出引进战略投资者，力争在重点产业引进一批战略支撑项目、龙头企业和协力配套企业</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提出活动具体措施，组织公关宣传活动，组织参与重大招商洽谈活动，走访并建立重要客户档案</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招商引资</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组织各类小团组招商活动。积极走出去、引进来，开展贸易洽谈、招商对接等活动。</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完成区政府下达的目标任务，确保外贸稳定增长</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举办活动数量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参加展会数量</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外资引进增长率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进出口额增长率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高新产品进出口管理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区级高新技术产品对外推广，引导区级企业进口国外先进技术、关键设备和紧缺的资源产品，提高企业技术装备水平，推动企业转变增长方式，调整产品结构、提高产品质量和附加值。</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促进高科技企业开拓国际市场，增加出口。</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高新技术产品及成果交易数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发展服务贸易和服务外包</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推介区级服务贸易和服务外包企业、扩大技术进出口、软件信息服务业和离岸服务外包出口，宣传区级服务贸易政策、开拓国内外市场。</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促进服务贸易进出口额增长，结构不断优化，对外开放水平日益提升，加速推进全区服务业的对外开放水平</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组织参展参会企业个数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签订意向协议金额</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500万元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300万元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200万元</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促进对外经贸服务</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做好进出口数据采集、贸易救济措施调查、产业损害预警、出口信用保险、开发区利用外资管理等工作。完善开发区建设发展管理体系，开展招商引资、培训。</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完成区政府下达目标，确保对外投资和经济合作业务稳定增长</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对外投资额增长率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提高外贸市场竞争能力</w:t>
            </w:r>
          </w:p>
        </w:tc>
        <w:tc>
          <w:tcPr>
            <w:tcW w:w="1425" w:type="dxa"/>
            <w:vMerge w:val="restart"/>
            <w:tcBorders>
              <w:bottom w:val="outset" w:color="auto" w:sz="6"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打造以技术、质量、品牌、服务为核心的竞争新优势，支持外贸基地、品牌、境外营销网络建设，发展跨境电子商务、内外贸结合商品市场、外贸综合服务企业等新业态。</w:t>
            </w:r>
          </w:p>
        </w:tc>
        <w:tc>
          <w:tcPr>
            <w:tcW w:w="3315" w:type="dxa"/>
            <w:vMerge w:val="restart"/>
            <w:tcBorders>
              <w:bottom w:val="outset" w:color="auto" w:sz="6" w:space="0"/>
            </w:tcBorders>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完成区政府下达目标，确保对外投资和经济合作业务稳定增长</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达成协议及意向个数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分析报告期数</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3</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大幅度提高我区企业技术和装备水平，拉动企业引进1.5亿美元的技术和设备引进，缩小与国外先进技术与装备5-10年的差距</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4</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外贸综合服务企业出口额</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900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700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外贸基地出口全市占比提高率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0" w:type="auto"/>
            <w:vMerge w:val="continue"/>
            <w:vAlign w:val="center"/>
          </w:tcPr>
          <w:p/>
        </w:tc>
        <w:tc>
          <w:tcPr>
            <w:tcW w:w="0" w:type="auto"/>
            <w:vMerge w:val="continue"/>
            <w:vAlign w:val="center"/>
          </w:tcPr>
          <w:p/>
        </w:tc>
        <w:tc>
          <w:tcPr>
            <w:tcW w:w="0" w:type="auto"/>
            <w:vMerge w:val="continue"/>
            <w:vAlign w:val="center"/>
          </w:tcPr>
          <w:p/>
        </w:tc>
        <w:tc>
          <w:tcPr>
            <w:tcW w:w="0" w:type="auto"/>
            <w:vMerge w:val="continue"/>
            <w:vAlign w:val="center"/>
          </w:tcP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对新兴市场出口占比提高率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商务政务管理</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291.24</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负责系统综合业务管理和机关综合事务管理。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统筹协调全区打击侵权假冒工作，完善开发区建设发展管理体系，增强网上办事能力，确保商务顺利完成</w:t>
            </w:r>
          </w:p>
        </w:tc>
        <w:tc>
          <w:tcPr>
            <w:tcW w:w="157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8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综合业务管理</w:t>
            </w:r>
          </w:p>
        </w:tc>
        <w:tc>
          <w:tcPr>
            <w:tcW w:w="1425" w:type="dxa"/>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做好商贸领域政策制定、改革推进、新闻宣传和信息管理等工作，统筹协调区级打击侵犯假冒工作，对拍卖、典当行业进行监督管理。</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保障各项业务工作畅通</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综合业务保障率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5" w:hRule="atLeast"/>
          <w:tblCellSpacing w:w="0" w:type="dxa"/>
          <w:jc w:val="center"/>
        </w:trPr>
        <w:tc>
          <w:tcPr>
            <w:tcW w:w="2610" w:type="dxa"/>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综合事务管理</w:t>
            </w:r>
          </w:p>
        </w:tc>
        <w:tc>
          <w:tcPr>
            <w:tcW w:w="14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291.24</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做好会议培训组织，内部信息化建设与维护，财务和资产管理，标准化建设，基础设施维修，大型设备购置，人事、党务以及老干部管理等工作。负责直属企事业单位管理工作。</w:t>
            </w:r>
          </w:p>
        </w:tc>
        <w:tc>
          <w:tcPr>
            <w:tcW w:w="331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保障机关正常工作高效运转</w:t>
            </w:r>
          </w:p>
        </w:tc>
        <w:tc>
          <w:tcPr>
            <w:tcW w:w="157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综合事务保障率</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100%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80%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60%</w:t>
            </w:r>
          </w:p>
        </w:tc>
        <w:tc>
          <w:tcPr>
            <w:tcW w:w="825" w:type="dxa"/>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50%</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jc w:val="left"/>
        <w:rPr>
          <w:rFonts w:ascii="仿宋_GB2312" w:eastAsia="仿宋_GB2312" w:cs="宋体"/>
          <w:color w:val="000000"/>
          <w:kern w:val="0"/>
          <w:sz w:val="32"/>
          <w:szCs w:val="32"/>
        </w:rPr>
      </w:pPr>
      <w:r>
        <w:rPr>
          <w:rFonts w:ascii="宋体" w:hAnsi="宋体" w:eastAsia="仿宋_GB2312" w:cs="宋体"/>
          <w:color w:val="000000"/>
          <w:kern w:val="0"/>
          <w:sz w:val="32"/>
          <w:szCs w:val="32"/>
        </w:rPr>
        <w:br w:type="page"/>
      </w: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color w:val="000000"/>
                <w:kern w:val="0"/>
                <w:sz w:val="28"/>
                <w:szCs w:val="28"/>
              </w:rPr>
              <w:t>廊坊市广阳区商务局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bl>
    <w:p>
      <w:pPr>
        <w:widowControl/>
        <w:spacing w:line="360" w:lineRule="atLeast"/>
        <w:jc w:val="left"/>
        <w:rPr>
          <w:rFonts w:ascii="仿宋_GB2312" w:eastAsia="仿宋_GB2312" w:cs="宋体"/>
          <w:b/>
          <w:bCs/>
          <w:color w:val="000000"/>
          <w:kern w:val="0"/>
          <w:sz w:val="32"/>
          <w:szCs w:val="32"/>
        </w:rPr>
      </w:pPr>
    </w:p>
    <w:p>
      <w:pPr>
        <w:widowControl/>
        <w:spacing w:line="360" w:lineRule="atLeast"/>
        <w:jc w:val="left"/>
        <w:rPr>
          <w:rFonts w:ascii="仿宋_GB2312" w:eastAsia="仿宋_GB2312" w:cs="宋体"/>
          <w:color w:val="000000"/>
          <w:kern w:val="0"/>
          <w:sz w:val="32"/>
          <w:szCs w:val="32"/>
        </w:rPr>
      </w:pPr>
      <w:r>
        <w:rPr>
          <w:rFonts w:ascii="仿宋_GB2312" w:eastAsia="仿宋_GB2312" w:cs="宋体"/>
          <w:b/>
          <w:bCs/>
          <w:color w:val="000000"/>
          <w:kern w:val="0"/>
          <w:sz w:val="32"/>
          <w:szCs w:val="32"/>
        </w:rPr>
        <w:br w:type="page"/>
      </w: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我部门（含所属单位）上年末固定资产金额为200.20万元，我部门本年度无拟购置固定资产，</w:t>
      </w:r>
    </w:p>
    <w:p>
      <w:pPr>
        <w:widowControl/>
        <w:spacing w:line="360" w:lineRule="atLeast"/>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详见下表。</w:t>
      </w:r>
    </w:p>
    <w:tbl>
      <w:tblPr>
        <w:tblStyle w:val="4"/>
        <w:tblW w:w="10423" w:type="dxa"/>
        <w:jc w:val="center"/>
        <w:tblCellSpacing w:w="0" w:type="dxa"/>
        <w:tblLayout w:type="autofit"/>
        <w:tblCellMar>
          <w:top w:w="0" w:type="dxa"/>
          <w:left w:w="0" w:type="dxa"/>
          <w:bottom w:w="0" w:type="dxa"/>
          <w:right w:w="0" w:type="dxa"/>
        </w:tblCellMar>
      </w:tblPr>
      <w:tblGrid>
        <w:gridCol w:w="4055"/>
        <w:gridCol w:w="2615"/>
        <w:gridCol w:w="3874"/>
      </w:tblGrid>
      <w:tr>
        <w:tblPrEx>
          <w:tblCellMar>
            <w:top w:w="0" w:type="dxa"/>
            <w:left w:w="0" w:type="dxa"/>
            <w:bottom w:w="0" w:type="dxa"/>
            <w:right w:w="0" w:type="dxa"/>
          </w:tblCellMar>
        </w:tblPrEx>
        <w:trPr>
          <w:trHeight w:val="705" w:hRule="atLeast"/>
          <w:tblCellSpacing w:w="0" w:type="dxa"/>
          <w:jc w:val="center"/>
        </w:trPr>
        <w:tc>
          <w:tcPr>
            <w:tcW w:w="10453" w:type="dxa"/>
            <w:gridSpan w:val="3"/>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5" w:type="dxa"/>
            <w:gridSpan w:val="2"/>
            <w:noWrap/>
            <w:vAlign w:val="center"/>
          </w:tcPr>
          <w:p>
            <w:pPr>
              <w:widowControl/>
              <w:jc w:val="left"/>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廊坊市广阳区商务局</w:t>
            </w:r>
          </w:p>
        </w:tc>
        <w:tc>
          <w:tcPr>
            <w:tcW w:w="3854" w:type="dxa"/>
            <w:noWrap/>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200.20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1120</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158.60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1120</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158.60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7.35</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403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25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5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34.25</w:t>
            </w:r>
          </w:p>
        </w:tc>
      </w:tr>
    </w:tbl>
    <w:p>
      <w:pPr>
        <w:pStyle w:val="7"/>
        <w:ind w:left="482" w:hanging="482" w:hangingChars="150"/>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683F0A"/>
    <w:rsid w:val="00140107"/>
    <w:rsid w:val="001A6967"/>
    <w:rsid w:val="00683F0A"/>
    <w:rsid w:val="5FDE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32</Pages>
  <Words>1095</Words>
  <Characters>6246</Characters>
  <Lines>52</Lines>
  <Paragraphs>14</Paragraphs>
  <TotalTime>5</TotalTime>
  <ScaleCrop>false</ScaleCrop>
  <LinksUpToDate>false</LinksUpToDate>
  <CharactersWithSpaces>7327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2017-10-27T09:54:00Z</dcterms:created>
  <dc:creator>lenovo</dc:creator>
  <cp:lastModifiedBy>111</cp:lastModifiedBy>
  <dcterms:modified xsi:type="dcterms:W3CDTF">2024-05-16T07:59:01Z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EDC9F25745C14D129527770342B3FD3C</vt:lpwstr>
  </property>
</Properties>
</file>