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宋体"/>
          <w:b/>
          <w:bCs/>
          <w:color w:val="000000"/>
          <w:kern w:val="0"/>
          <w:sz w:val="44"/>
          <w:szCs w:val="44"/>
        </w:rPr>
      </w:pPr>
      <w:bookmarkStart w:id="0" w:name="_GoBack"/>
      <w:r>
        <w:rPr>
          <w:rFonts w:hint="eastAsia" w:ascii="方正小标宋简体" w:eastAsia="方正小标宋简体" w:cs="宋体"/>
          <w:b/>
          <w:bCs/>
          <w:color w:val="000000"/>
          <w:kern w:val="0"/>
          <w:sz w:val="44"/>
          <w:szCs w:val="44"/>
        </w:rPr>
        <w:t>河北廊坊广阳经济开发区管理委员会2017年预算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bookmarkEnd w:id="0"/>
    </w:p>
    <w:p>
      <w:pPr>
        <w:jc w:val="center"/>
        <w:rPr>
          <w:rFonts w:ascii="方正小标宋简体" w:eastAsia="方正小标宋简体"/>
          <w:sz w:val="44"/>
          <w:szCs w:val="44"/>
        </w:rPr>
      </w:pP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河北廊坊广阳经济开发区管理委员会</w:t>
      </w:r>
      <w:r>
        <w:rPr>
          <w:rFonts w:hint="eastAsia" w:ascii="仿宋_GB2312" w:eastAsia="仿宋_GB2312"/>
          <w:sz w:val="32"/>
          <w:szCs w:val="32"/>
        </w:rPr>
        <w:t>2017年部门预算公开如下：</w:t>
      </w:r>
    </w:p>
    <w:p>
      <w:pPr>
        <w:widowControl/>
        <w:ind w:left="638" w:leftChars="304"/>
        <w:jc w:val="left"/>
        <w:rPr>
          <w:rFonts w:ascii="仿宋_GB2312" w:eastAsia="仿宋_GB2312" w:cs="宋体"/>
          <w:b/>
          <w:bCs/>
          <w:color w:val="000000"/>
          <w:kern w:val="0"/>
          <w:sz w:val="32"/>
          <w:szCs w:val="32"/>
        </w:rPr>
      </w:pPr>
      <w:r>
        <w:rPr>
          <w:rFonts w:hint="eastAsia" w:ascii="黑体" w:eastAsia="黑体" w:cs="宋体"/>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1、是贯彻执行党和国家的方针、政策、法律、法规和市、区人民政府的有关规定，制定产业区科技、经济、社会发展的规划、各项计划和产业区行政管理规定，并组织实施。</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2、是制定产业区招商引资政策，编制招商规划，发布对外招商项目；组织对外招商活动和对外经济技术合作。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3、是负责产业区建设用地的开发、利用和管理；负责产业区的城市建设和管理工作。</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jc w:val="center"/>
        <w:rPr>
          <w:rFonts w:ascii="仿宋_GB2312" w:eastAsia="仿宋_GB2312" w:cs="宋体"/>
          <w:kern w:val="0"/>
          <w:sz w:val="32"/>
          <w:szCs w:val="32"/>
        </w:rPr>
      </w:pPr>
      <w:r>
        <w:rPr>
          <w:rFonts w:hint="eastAsia" w:ascii="仿宋_GB2312" w:eastAsia="仿宋_GB2312" w:cs="宋体"/>
          <w:color w:val="000000"/>
          <w:kern w:val="0"/>
          <w:sz w:val="32"/>
          <w:szCs w:val="32"/>
        </w:rPr>
        <w:t>部门机构设置情况</w:t>
      </w:r>
    </w:p>
    <w:p>
      <w:pPr>
        <w:widowControl/>
        <w:jc w:val="center"/>
        <w:rPr>
          <w:rFonts w:ascii="仿宋_GB2312" w:eastAsia="仿宋_GB2312" w:cs="宋体"/>
          <w:kern w:val="0"/>
          <w:sz w:val="32"/>
          <w:szCs w:val="32"/>
        </w:rPr>
      </w:pPr>
    </w:p>
    <w:tbl>
      <w:tblPr>
        <w:tblStyle w:val="4"/>
        <w:tblW w:w="10579"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45"/>
        <w:gridCol w:w="1402"/>
        <w:gridCol w:w="1290"/>
        <w:gridCol w:w="36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2" w:hRule="atLeast"/>
          <w:tblHeader/>
          <w:tblCellSpacing w:w="0" w:type="dxa"/>
          <w:jc w:val="center"/>
        </w:trPr>
        <w:tc>
          <w:tcPr>
            <w:tcW w:w="427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41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9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367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8" w:hRule="atLeast"/>
          <w:tblCellSpacing w:w="0" w:type="dxa"/>
          <w:jc w:val="center"/>
        </w:trPr>
        <w:tc>
          <w:tcPr>
            <w:tcW w:w="427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宋体" w:hAnsi="宋体" w:eastAsia="仿宋_GB2312" w:cs="宋体"/>
                <w:kern w:val="0"/>
                <w:sz w:val="24"/>
                <w:szCs w:val="24"/>
              </w:rPr>
            </w:pPr>
            <w:r>
              <w:rPr>
                <w:rFonts w:hint="eastAsia" w:ascii="仿宋_GB2312" w:eastAsia="仿宋_GB2312" w:cs="宋体"/>
                <w:kern w:val="0"/>
                <w:sz w:val="24"/>
                <w:szCs w:val="24"/>
              </w:rPr>
              <w:t>河北廊坊广阳经济开发区管理委员会</w:t>
            </w:r>
            <w:r>
              <w:rPr>
                <w:rFonts w:ascii="宋体" w:hAnsi="宋体" w:eastAsia="仿宋_GB2312" w:cs="宋体"/>
                <w:kern w:val="0"/>
                <w:sz w:val="24"/>
                <w:szCs w:val="24"/>
              </w:rPr>
              <w:t> </w:t>
            </w:r>
          </w:p>
        </w:tc>
        <w:tc>
          <w:tcPr>
            <w:tcW w:w="141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29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副处级</w:t>
            </w:r>
          </w:p>
        </w:tc>
        <w:tc>
          <w:tcPr>
            <w:tcW w:w="367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28"/>
                <w:szCs w:val="28"/>
              </w:rPr>
            </w:pPr>
            <w:r>
              <w:rPr>
                <w:rFonts w:hint="eastAsia" w:ascii="仿宋_GB2312" w:eastAsia="仿宋_GB2312" w:cs="宋体"/>
                <w:kern w:val="0"/>
                <w:sz w:val="28"/>
                <w:szCs w:val="28"/>
              </w:rPr>
              <w:t>财政拨款</w:t>
            </w:r>
          </w:p>
        </w:tc>
      </w:tr>
    </w:tbl>
    <w:p>
      <w:pPr>
        <w:widowControl/>
        <w:ind w:left="638" w:leftChars="304"/>
        <w:jc w:val="left"/>
        <w:rPr>
          <w:rFonts w:ascii="黑体" w:eastAsia="黑体" w:cs="宋体"/>
          <w:color w:val="000000"/>
          <w:kern w:val="0"/>
          <w:sz w:val="32"/>
          <w:szCs w:val="32"/>
        </w:rPr>
      </w:pPr>
      <w:r>
        <w:rPr>
          <w:rFonts w:hint="eastAsia" w:ascii="黑体" w:eastAsia="黑体" w:cs="宋体"/>
          <w:b/>
          <w:bCs/>
          <w:color w:val="000000"/>
          <w:kern w:val="0"/>
          <w:sz w:val="32"/>
          <w:szCs w:val="32"/>
        </w:rPr>
        <w:t>二、部门预算安排的总体情况</w:t>
      </w:r>
    </w:p>
    <w:p>
      <w:pPr>
        <w:widowControl/>
        <w:ind w:left="638" w:leftChars="304"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2017年预算收入202.87万元，其中：一般公共预算收入202.87万元，政府性基金收入0万元。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2017年支出预算202.87万元，其中基本支出202.87万元，包括人员经费和日常公用经费，项目支出0万元。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2017年预算收支安排202.87万元，较2016年预算减少33.74万元，其中：基本支出减少3.74万元，主要为减少人员经费支出；项目支出减少30万元，主要为财力紧张预算未安排。</w:t>
      </w:r>
    </w:p>
    <w:p>
      <w:pPr>
        <w:widowControl/>
        <w:ind w:left="798" w:leftChars="380" w:firstLine="482" w:firstLineChars="1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2017年预算安排我部门机关运行经费</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70.8万元，其中办公经费0.39</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万元，其他业务费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70.41万元。</w:t>
      </w:r>
    </w:p>
    <w:p>
      <w:pPr>
        <w:widowControl/>
        <w:ind w:left="798" w:leftChars="380" w:firstLine="482" w:firstLineChars="150"/>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p>
    <w:p>
      <w:pPr>
        <w:widowControl/>
        <w:ind w:left="1117" w:leftChars="532" w:firstLine="161" w:firstLineChars="50"/>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总体绩效目标：</w:t>
      </w:r>
    </w:p>
    <w:p>
      <w:pPr>
        <w:widowControl/>
        <w:ind w:left="106" w:firstLine="640" w:firstLineChars="200"/>
        <w:jc w:val="left"/>
        <w:rPr>
          <w:rFonts w:ascii="仿宋_GB2312" w:eastAsia="仿宋_GB2312" w:cs="宋体"/>
          <w:kern w:val="0"/>
          <w:sz w:val="32"/>
          <w:szCs w:val="32"/>
        </w:rPr>
      </w:pPr>
      <w:r>
        <w:rPr>
          <w:rFonts w:hint="eastAsia" w:ascii="仿宋_GB2312" w:eastAsia="仿宋_GB2312" w:cs="宋体"/>
          <w:color w:val="000000"/>
          <w:kern w:val="0"/>
          <w:sz w:val="32"/>
          <w:szCs w:val="32"/>
        </w:rPr>
        <w:t>开发区在现有的制度基础上，加快开发区机制改革步伐，在开发区优化整合、管理机构、责任主体、市场化运营机制、人事和薪酬制度等方面积极谋划，坚持先行先试、分类指导、有序实施和精简、统一、效能的原则，推进开发区体制机制改革创新，加快建立管理科学、职能健全、运行高效的体制机制，促进开发区做大、做强、做优，打造对外开放的示范区、先进产业的聚集区、科技进步的先导区、体制创新的先行区、集约发展的核心区，为全区经济转型升级和科学发展、绿色崛起提供有力支撑。</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充分利用京津冀一体化的战略发展契机，积极开展以商引商方针，通过现有落地项目，开展招商引资活动，充分发挥现有已经落地项目的能力，目标定在落地项目的上下游企业及关联企业上下功夫，主动走访，提出诉求，全面合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充分利用京津冀一体化的战略发展契机，积极开展以商引商方针，通过现有落地项目，开展招商引资活动，充分发挥现有已经落地项目的能力，目标定在落地项目的上下游企业及关联企业上下功夫，主动走访，提出诉求，全面合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25"/>
        <w:gridCol w:w="826"/>
        <w:gridCol w:w="2000"/>
        <w:gridCol w:w="2000"/>
        <w:gridCol w:w="1203"/>
        <w:gridCol w:w="549"/>
        <w:gridCol w:w="549"/>
        <w:gridCol w:w="549"/>
        <w:gridCol w:w="54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690河北廊坊广阳经济开发区管理委员会</w:t>
            </w:r>
          </w:p>
        </w:tc>
        <w:tc>
          <w:tcPr>
            <w:tcW w:w="3300" w:type="dxa"/>
            <w:gridSpan w:val="4"/>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职责活动</w:t>
            </w:r>
          </w:p>
        </w:tc>
        <w:tc>
          <w:tcPr>
            <w:tcW w:w="1425"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年度预算数</w:t>
            </w:r>
          </w:p>
        </w:tc>
        <w:tc>
          <w:tcPr>
            <w:tcW w:w="3315"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内容描述</w:t>
            </w:r>
          </w:p>
        </w:tc>
        <w:tc>
          <w:tcPr>
            <w:tcW w:w="3315"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绩效目标</w:t>
            </w:r>
          </w:p>
        </w:tc>
        <w:tc>
          <w:tcPr>
            <w:tcW w:w="1575" w:type="dxa"/>
            <w:vMerge w:val="restart"/>
            <w:tcBorders>
              <w:bottom w:val="outset" w:color="auto" w:sz="6" w:space="0"/>
            </w:tcBorders>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绩效指标</w:t>
            </w:r>
          </w:p>
        </w:tc>
        <w:tc>
          <w:tcPr>
            <w:tcW w:w="3300" w:type="dxa"/>
            <w:gridSpan w:val="4"/>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25" w:type="dxa"/>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优</w:t>
            </w:r>
          </w:p>
        </w:tc>
        <w:tc>
          <w:tcPr>
            <w:tcW w:w="825" w:type="dxa"/>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良</w:t>
            </w:r>
          </w:p>
        </w:tc>
        <w:tc>
          <w:tcPr>
            <w:tcW w:w="825" w:type="dxa"/>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中</w:t>
            </w:r>
          </w:p>
        </w:tc>
        <w:tc>
          <w:tcPr>
            <w:tcW w:w="825" w:type="dxa"/>
            <w:vAlign w:val="center"/>
          </w:tcPr>
          <w:p>
            <w:pPr>
              <w:widowControl/>
              <w:spacing w:line="360" w:lineRule="atLeast"/>
              <w:jc w:val="center"/>
              <w:rPr>
                <w:rFonts w:ascii="仿宋_GB2312" w:eastAsia="仿宋_GB2312" w:cs="宋体"/>
                <w:b/>
                <w:bCs/>
                <w:color w:val="000000"/>
                <w:kern w:val="0"/>
                <w:sz w:val="28"/>
                <w:szCs w:val="28"/>
              </w:rPr>
            </w:pPr>
            <w:r>
              <w:rPr>
                <w:rFonts w:hint="eastAsia" w:ascii="仿宋_GB2312" w:eastAsia="仿宋_GB2312" w:cs="宋体"/>
                <w:b/>
                <w:bCs/>
                <w:color w:val="000000"/>
                <w:kern w:val="0"/>
                <w:sz w:val="28"/>
                <w:szCs w:val="28"/>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政务服务</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政务公开、督察督办、政务联络等工作。</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突出政务、加强事务、提升服务，力求重点工作出精品，难点工作求突破、基础工作有创新、常规工作见特色。以机关干部作风量化指标为依据，增强了工作综合服务实力。</w:t>
            </w:r>
          </w:p>
        </w:tc>
        <w:tc>
          <w:tcPr>
            <w:tcW w:w="15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政务公开</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承担开发区管委会政务公开暨行政权力公开透明运行工作领导小组的日常工作，指导和协调开发区管委会政务公开及政务服务中心建设、推进行政服务体系标准化建设工作。</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通过完成管委会政务信息公开工作的指导监督工作，使管委会信息公开业务队伍素质不断提高，业务水平进一步提升；政府政务信息公开范围不断扩大，公开内容得到进一步细化。</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政务公开率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会议管理</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开发区会议的准备和服务工作，协助管委会领导组织会议决定事项的落实。</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做好开发区会议保障；控制会议费开支规模。</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大型会议控制率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督查督办</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督促检查开发区各部门对管委会决定事项及政府领导重要指示的执行落实情况并跟踪调研，及时向领导报告。组织承办人大代表和政协提案工作。</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确保管委会决定事项及管委会领导重要指示得到贯彻落实。</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决策部署督查反馈率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政务联络</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负责开发区公务活动的接待安排。</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做好客商接待、对外招商的保障工作。</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重大活动联络服务工作完成率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政府办公室政务管理</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公务办理、后勤保障工作</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以服务领导和机关保障有力为目标，增强了优质后勤管理水平，通过加强公车管理，降低运行成本，为创建节约型机关打下了良好的基础。采取保障领导和机关工作办公环境的措施，提升了服务管理水平，保障了县领导和机关工作的正常运转。及时了解国内外形势、党和国家的方针政策</w:t>
            </w:r>
          </w:p>
        </w:tc>
        <w:tc>
          <w:tcPr>
            <w:tcW w:w="15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综合业务管理</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协助领导组织起草或审核的公文；组织起草领导重要讲话及其他重要文稿；组织专题调研；承办领导交办的其他事项。</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高质量审核公文；及时办理各类文电，确保事项在第一时间得到领导批示意见；高质量起草的领导重要讲话及重要文稿。</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综合业务工作完成率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环境监测与监察</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开展环境要素的监测与综合分析评价，提高环境监测和预警能力，提高自动站的建设、核应急监测，加大环境监管力度，完善环境基本公共服务体系建设。</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加强环境监测与监督</w:t>
            </w:r>
          </w:p>
        </w:tc>
        <w:tc>
          <w:tcPr>
            <w:tcW w:w="15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环境监测与信息</w:t>
            </w:r>
          </w:p>
        </w:tc>
        <w:tc>
          <w:tcPr>
            <w:tcW w:w="1425" w:type="dxa"/>
            <w:vMerge w:val="restart"/>
            <w:tcBorders>
              <w:bottom w:val="outset" w:color="auto" w:sz="6" w:space="0"/>
            </w:tcBorders>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和实施开发区各项环境要素的监测与调查、预报预警、统计分析及评价。开展污染源监督监测、污染事故应急监测、污染纠纷监测，保障环境质量自动监测站（网）正常运行，进行环境信息系统建设，为环境管理提供技术支持。</w:t>
            </w:r>
          </w:p>
        </w:tc>
        <w:tc>
          <w:tcPr>
            <w:tcW w:w="3315" w:type="dxa"/>
            <w:vMerge w:val="restart"/>
            <w:tcBorders>
              <w:bottom w:val="outset" w:color="auto" w:sz="6"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完成环境数据的综合分析、数据发布，环境质量预警等多项工作，预报污染事故，保证政府及时采取对策，降低或减少环境灾害。</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正常运转水站个数</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空气自动监测站正常运行率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环境监察与督查</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加强环境行政监察，开展开发区网格化环境监管、环境违法案件现场调查处理、污染纠纷调查处理，开发区打击环境违法行为专项行动，以及生态和农村环境执法监察；加强环境行政执法后督察。</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加强开发区环境整体质量改进，确保不发生环境安全事故。加强环境行政监察，排污费管理、纠纷调查处理。</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组织环境监察培训期数</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环境安全与应急处置</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应对突发性环境污染事故。</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保障环境保护规划、政策、法律法规、标准的执行，应对突发环境事件。</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应急演练次数</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大气污染防治</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加强大气污染防治，加强固体废弃物、重金属等重点污染治理工程的防治工作。重点对PM、VOC、二氧化硫等大气污染物进行综合防治，推动城市环境空气质量改善。</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加强大气污染防治，推动城市环境空气质量改善。</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PM2.5削减率、VOC排放消减率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重点污染治理工程</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加强对影响开发区环境质量的重点污染物排放进行防治，引导促进全县环境保护污染减排工程建设，推动污染综合防治活动开展。</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推动污染防治工作开展，改善开发区环境质量。开展开发区产能过剩行业环保认定、备案核查工作。实现主要污染物排放总量控制</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产能过剩行业环保认定、备案核查完成率;4类主要污染物年度减排完成率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污染源自动监控系统及信息化建设</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搜集、存储、加工和传输开发区环境质量状况、主要污染物排放情况、环境管理等重要信息。开发区重点污染源在线监控工作。</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提升环境信息化水平搜集、存储、加工和传输开发区环境质量状况、主要污染物排放情况、自然生态保护、环境管理等重要信息。开发区重点污染源在线监控工作。开发区环境信息网络的建设和维护</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污染源自动监控网络正常使用率、自动监控数据传输有效率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组织安全生产综合监督管理</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承担开发区安全生产综合监督管理责任，遏制重特大事故发生，确保全县安全生产形势稳定好转。</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定期组织在开发区开展安全生产督导检查活动，对重点行业和作业场所职业卫生安全生产加强行政监督监察，依法对违法行为实施行政处罚；不断加强安全生产监管能力建设，改善执法检测、监察检查等能力。组织调查处理职业危害事故和违法违规行为；完成国家和省、市确定的建材、医药加工行业以及重点行业的专项治理，组织查处用人单位职业病危害事故。</w:t>
            </w:r>
          </w:p>
        </w:tc>
        <w:tc>
          <w:tcPr>
            <w:tcW w:w="15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加强安全生产监察检查</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定期组织在开发区企业开展安全生产督导检查活动，对重点行业和作业场所职业卫生安全生产进行督导检查，加强安全生产管理。</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通过督导检查域内企业安全生产，最大限度地发现、纠正、督促企业消除各类隐患，预防和减少事故的发生，确保开发区安全生产形势持续稳定好转</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检查覆盖率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加强重大危险源安全管理</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加强重大危险源的监测、监控、辨识与评估及登记建档、备案与核销等安全管理；开展重大危险源监督检查工作。</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科学准确进行重大危险源等级界定；督促企业切实加强危险源监控，有效治理隐患，落实监管责任</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专项检查次数不少于10次，并对所有企业进行监管</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构建和完善安全生产监管体系</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建设开发区隐患排查治理信息系统平台；加强开发区安全生产技术服务管理；组织开展安全生产事故专项调查；审核提出安全生产举报奖励意见；开展安全生产宣传教育活动，定期向社会公布安全生产重大事项情况；组织开发区安全生产目标管理及考核工作；促进企业全面落实安全生产诚信管理。</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基本建成全县安全生产隐患排查治理体系</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信息平台功能实现率、安全生产标准化达标率、专项抽查覆盖率、目标考核次数等</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重点行业安全生产监管</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依法监督检查工矿商贸生产经营单位贯彻执行安全生产法律法规情况；负责危险化学品安全监督管理综合工作和烟花爆竹安全生产监督管理工作。</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依法对危险化学品和烟花爆竹生产企业、非药品易制毒企业、箱包、制鞋企业实施监督管理；对高危行业企业负责人、安全管理人员安全资格及特种作业人员操作证进行验印管理；对重点行业企业开展安全生产监督和专项整治活动；加强高危行业建设项目安全条件、安全设施设计、职业病防护设施设计审查和竣工验收管理。</w:t>
            </w:r>
          </w:p>
        </w:tc>
        <w:tc>
          <w:tcPr>
            <w:tcW w:w="15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加强高危重点行业、商贸及金属非金属矿山安全生产监管</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依法对危险化学品和烟花爆竹生产企业、非药品易制毒企业、箱包、制鞋企业监督许可管理；对高危行业企业负责人、安全管理人员安全资格及特种作业人员操作证进行验印审批；对重点行业企业开展安全生产监督和专项整治活动；加强高危行业建设项目安全条件、安全设施设计、职业病防护设施设计审查和竣工验收管理。</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严格审查企业的安全生产条件，从源头把好企业准入关，消除事故隐患，提升企业安全管理水平，确保开发区安全生产形势稳定</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排查高危生产经营企业（家）安全隐患企业数量</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组织指挥和协调全县安全生产应急救援</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安全生产指导预案编制和备案管理，组织应急救援演练，组织协调开发区安全生产救援工作。</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指导开发区安全生产应急救援预案编制和备案管理，组织开展实战化应急演练。加强应急救援队伍、装备和信息系统建设，完善安全生产应急平台，提高开发区应急救援协调指挥能力和应急处置能力；启动应急预案，组织协调救援力量、装备、专家参与救援，制定救援方案，科学施救，保障救援工作顺利进行</w:t>
            </w:r>
          </w:p>
        </w:tc>
        <w:tc>
          <w:tcPr>
            <w:tcW w:w="15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组织应急预案编制及应急演练</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组织指导开发区安全生产应急救援预案编制和备案管理，结合事故多发、易发，应急管理基础薄弱的企业，组织开展实战化应急演练。</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加强应急预案的管理与实施，及时组织锻炼应急救援队伍，切实提升应急处置能力。</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应急预案演练完成率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加强应急救援体系建设</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应急救援队伍、装备和信息系统建设，完善安全生产应急平台，提高开发区应急救援协调指挥能力和应急处置能力；加强指挥机构管理和专业应急救援队伍训练，统一规划安全生产应急平台信息化建设和救援通信、信息网络运行保障，及时进行重大危险源预警、技术监控工作，发布预警信息。</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理顺应急救援工作机制，推动应急救援指挥中心和应急平台建设，提高突发事件的应急救援能力，保证政府及时采取应对措施，避免或降低事故及其危害程度。</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应急基地演练完成次数</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组织实施应急处置与救援</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启动应急预案，组织协调救援力量、装备、专家参与救援，制定救援方案，科学施救，保障救援工作顺利进行</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增强组织协调能力，提高应急救援效果。</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应急救援任务完成比例</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对内商贸管理</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组织实施流通网络工程；推进流通产业结构调整，推动流通标准化和现代流通方式的发展</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完成任务分解、资金安排等相关工作</w:t>
            </w:r>
          </w:p>
        </w:tc>
        <w:tc>
          <w:tcPr>
            <w:tcW w:w="15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电子商务建设</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支持电子商务园区建设</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提升服务管理能力；提高电子商务执业人员素质</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提升服务管理能力；提高电子商务执业人员素质</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加强重大危险源安全管理</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加强重大危险源的监测、监控、辨识与评估及登记建档、备案与核销等安全管理；开展重大危险源监督检查工作。</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科学准确进行重大危险源等级界定；督促企业切实加强危险源监控，有效治理隐患，落实监管责任</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专项检查次数不少于10次，并对所有企业进行监管</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对外贸易管理</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促进对外贸易稳定增长，优化产品结构。完成县政府下达的外贸进出口指标。</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促进对外贸易稳定增长，优化产品结构。完成县政府下达的外贸进出口指标。</w:t>
            </w:r>
          </w:p>
        </w:tc>
        <w:tc>
          <w:tcPr>
            <w:tcW w:w="15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招商引资</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组织实施投资贸易洽谈会等活动。组织县级企业走出去，开展贸易洽谈、招商合作等活动，促进贸易往来。</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通过开展“主体招商活动”，瞄准重点区域、重点客商和商务机构，推动和引领全县做好招商工作。突出引进战略投资者，力争在重点产业引进一批战略支撑项目、龙头企业和协力配套企业</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举办活动数量、到会客商人数、赴外国家地区数量</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发展服务贸易和服务外包</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推介服务贸易和服务外包企业、扩大技术进出口、软件信息服务业和离岸服务外包出口，宣传县级服务贸易政策、开拓国内外市场。</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促进服务贸易进出口额增长，结构不断优化，对外开放水平日益提升</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组织参展参会企业个数、签订意向协议金额</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促进对外经贸服务</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开发区利用外资管理等工作。完善开发区建设发展管理体系，开展招商引资、培训。</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完成政府下达目标，确保对外投资和经济合作业务稳定增长</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对外投资额增长率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提高外贸市场竞争能力</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打造以技术、质量、品牌、服务为核心的竞争新优势，支持外贸基地、品牌、境外营销网络建设，发展跨境电子商务、内外贸结合商品市场、外贸综合服务企业等新业态。</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扩大高新技术产品出口、提高国际市场竞争力</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达成协议及意向个数</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促进区域经济发展</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研究提出区域经济协调发展、加快城镇化发展的政策建议；负责区域经济合作统筹协调。</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推动京津冀协同发展。</w:t>
            </w:r>
          </w:p>
        </w:tc>
        <w:tc>
          <w:tcPr>
            <w:tcW w:w="15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推动京津冀协同发展</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配合国家首都经济圈发展规划，做好与国家规划的有效衔接；组织争取国家政策、资金等支持。</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与北京、天津开展战略合作，推动合作协议的落实，深化拓展合作领域，实质性推动一批重大合作事项进展。</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与京冀对接活动的组织及项目组织、督导、调研情况</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推进产业结构调整和转型升级</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组织实施综合性产业政策，推进经济结构战略性调整。按照经济和社会发展要求，引导产业升级和转型，支持重点领域和行业建设。</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有效引导行业健康发展，提升全县和行业竞争力。</w:t>
            </w:r>
          </w:p>
        </w:tc>
        <w:tc>
          <w:tcPr>
            <w:tcW w:w="15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组织推进物流业及服务业发展</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组织实施加快服务业发展，落实有关政策措施，推进服务业项目建设。</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加快物流产业聚集区建设；加快物流产业聚集区、已列入物流发展规划的重点项目、农产品物流项目交易设施改造升级及大型冷链物流项目建设。</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物流业增加值增长率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固定资产投资调控与管理</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指导和监督政策性贷款的使用发现，引导民间资金用于固定资产投资的方向；组织开展重点建设项目稽察；指导工程咨询业发展，参与管理与投资建设有关的标准定额，化工、煤炭建设项目工程质量监督管理。</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提升公共设施水平，提高公共服务能力，促进经济和社会发展。</w:t>
            </w:r>
          </w:p>
        </w:tc>
        <w:tc>
          <w:tcPr>
            <w:tcW w:w="157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　　组织实施县级重点项目管理和稽察</w:t>
            </w:r>
          </w:p>
        </w:tc>
        <w:tc>
          <w:tcPr>
            <w:tcW w:w="14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组织筛选和实施重点建设项目，协调建设要素及推进中的重大问题；按规定权限审批、核准、审核重大建设项目；组织实施重点项目中期评估、后期评价考核；组织开展重点建设项目稽察；指导工程咨询业发展，参与管理与投资建设有关的标准定额；组织开展对工作活动范围内的项目单位在前期手续、投资计划和资金下达、建设实施、建设管理、进度控制、资金和财务管理、竣工验收等方面实施情况的监督检查；指导管理政府投资非经营性项目代建制工作；建立投资项目信息报送制度。化工、煤炭建设项目工程质量监督管理。</w:t>
            </w:r>
          </w:p>
        </w:tc>
        <w:tc>
          <w:tcPr>
            <w:tcW w:w="331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加强重点项目谋划、协调、督导，推动重点项目顺利实施。加强项目监管，保证建设项目工程质量和建设资金安全及有效使用，维护国家和社会公共利益。处罚项目建设中重大突出违法问题</w:t>
            </w:r>
          </w:p>
        </w:tc>
        <w:tc>
          <w:tcPr>
            <w:tcW w:w="1575" w:type="dxa"/>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项目开工率</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825" w:type="dxa"/>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ind w:firstLine="643" w:firstLineChars="20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河北廊坊广阳经济开发区管理委员会</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left"/>
              <w:rPr>
                <w:rFonts w:ascii="仿宋_GB2312" w:eastAsia="仿宋_GB2312" w:cs="Times New Roman"/>
                <w:sz w:val="32"/>
                <w:szCs w:val="32"/>
              </w:rPr>
            </w:pPr>
          </w:p>
        </w:tc>
        <w:tc>
          <w:tcPr>
            <w:tcW w:w="482" w:type="pct"/>
            <w:shd w:val="clear" w:color="auto" w:fill="auto"/>
            <w:vAlign w:val="center"/>
          </w:tcPr>
          <w:p>
            <w:pPr>
              <w:spacing w:line="300" w:lineRule="exact"/>
              <w:jc w:val="left"/>
              <w:rPr>
                <w:rFonts w:ascii="仿宋_GB2312" w:eastAsia="仿宋_GB2312" w:cs="Times New Roman"/>
                <w:sz w:val="32"/>
                <w:szCs w:val="32"/>
              </w:rPr>
            </w:pPr>
          </w:p>
        </w:tc>
        <w:tc>
          <w:tcPr>
            <w:tcW w:w="303" w:type="pct"/>
            <w:shd w:val="clear" w:color="auto" w:fill="auto"/>
            <w:vAlign w:val="center"/>
          </w:tcPr>
          <w:p>
            <w:pPr>
              <w:spacing w:line="300" w:lineRule="exact"/>
              <w:jc w:val="lef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282" w:type="pct"/>
            <w:shd w:val="clear" w:color="auto" w:fill="auto"/>
            <w:vAlign w:val="center"/>
          </w:tcPr>
          <w:p>
            <w:pPr>
              <w:spacing w:line="300" w:lineRule="exact"/>
              <w:jc w:val="right"/>
              <w:rPr>
                <w:rFonts w:ascii="仿宋_GB2312" w:eastAsia="仿宋_GB2312" w:cs="Times New Roman"/>
                <w:sz w:val="32"/>
                <w:szCs w:val="32"/>
              </w:rPr>
            </w:pPr>
          </w:p>
        </w:tc>
        <w:tc>
          <w:tcPr>
            <w:tcW w:w="304" w:type="pct"/>
            <w:shd w:val="clear" w:color="auto" w:fill="auto"/>
            <w:vAlign w:val="center"/>
          </w:tcPr>
          <w:p>
            <w:pPr>
              <w:spacing w:line="300" w:lineRule="exact"/>
              <w:jc w:val="right"/>
              <w:rPr>
                <w:rFonts w:ascii="仿宋_GB2312" w:eastAsia="仿宋_GB2312" w:cs="Times New Roman"/>
                <w:sz w:val="32"/>
                <w:szCs w:val="32"/>
              </w:rPr>
            </w:pPr>
          </w:p>
        </w:tc>
        <w:tc>
          <w:tcPr>
            <w:tcW w:w="304" w:type="pct"/>
            <w:shd w:val="clear" w:color="auto" w:fill="auto"/>
            <w:vAlign w:val="center"/>
          </w:tcPr>
          <w:p>
            <w:pPr>
              <w:spacing w:line="300" w:lineRule="exact"/>
              <w:jc w:val="right"/>
              <w:rPr>
                <w:rFonts w:ascii="仿宋_GB2312" w:eastAsia="仿宋_GB2312" w:cs="Times New Roman"/>
                <w:sz w:val="32"/>
                <w:szCs w:val="32"/>
              </w:rPr>
            </w:pPr>
          </w:p>
        </w:tc>
        <w:tc>
          <w:tcPr>
            <w:tcW w:w="286" w:type="pct"/>
            <w:shd w:val="clear" w:color="auto" w:fill="auto"/>
            <w:vAlign w:val="center"/>
          </w:tcPr>
          <w:p>
            <w:pPr>
              <w:spacing w:line="300" w:lineRule="exact"/>
              <w:jc w:val="right"/>
              <w:rPr>
                <w:rFonts w:ascii="仿宋_GB2312" w:eastAsia="仿宋_GB2312" w:cs="Times New Roman"/>
                <w:sz w:val="32"/>
                <w:szCs w:val="32"/>
              </w:rPr>
            </w:pPr>
          </w:p>
        </w:tc>
      </w:tr>
    </w:tbl>
    <w:p>
      <w:pPr>
        <w:widowControl/>
        <w:jc w:val="left"/>
        <w:rPr>
          <w:rFonts w:ascii="黑体" w:eastAsia="黑体" w:cs="宋体"/>
          <w:b/>
          <w:bCs/>
          <w:color w:val="000000"/>
          <w:kern w:val="0"/>
          <w:sz w:val="32"/>
          <w:szCs w:val="32"/>
        </w:rPr>
      </w:pPr>
    </w:p>
    <w:p>
      <w:pPr>
        <w:widowControl/>
        <w:ind w:firstLine="643" w:firstLineChars="200"/>
        <w:jc w:val="left"/>
        <w:rPr>
          <w:rFonts w:ascii="仿宋_GB2312" w:eastAsia="仿宋_GB2312" w:cs="宋体"/>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我部门（含所属单位）上年末固定资产金额为24.22万元，本年度无拟购置固定资产</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详见下表。</w:t>
      </w:r>
    </w:p>
    <w:tbl>
      <w:tblPr>
        <w:tblStyle w:val="4"/>
        <w:tblW w:w="10379" w:type="dxa"/>
        <w:jc w:val="center"/>
        <w:tblCellSpacing w:w="0" w:type="dxa"/>
        <w:tblLayout w:type="autofit"/>
        <w:tblCellMar>
          <w:top w:w="0" w:type="dxa"/>
          <w:left w:w="0" w:type="dxa"/>
          <w:bottom w:w="0" w:type="dxa"/>
          <w:right w:w="0" w:type="dxa"/>
        </w:tblCellMar>
      </w:tblPr>
      <w:tblGrid>
        <w:gridCol w:w="4102"/>
        <w:gridCol w:w="2660"/>
        <w:gridCol w:w="3737"/>
      </w:tblGrid>
      <w:tr>
        <w:tblPrEx>
          <w:tblCellMar>
            <w:top w:w="0" w:type="dxa"/>
            <w:left w:w="0" w:type="dxa"/>
            <w:bottom w:w="0" w:type="dxa"/>
            <w:right w:w="0" w:type="dxa"/>
          </w:tblCellMar>
        </w:tblPrEx>
        <w:trPr>
          <w:trHeight w:val="705" w:hRule="atLeast"/>
          <w:tblCellSpacing w:w="0" w:type="dxa"/>
          <w:jc w:val="center"/>
        </w:trPr>
        <w:tc>
          <w:tcPr>
            <w:tcW w:w="10409" w:type="dxa"/>
            <w:gridSpan w:val="3"/>
            <w:noWrap/>
            <w:vAlign w:val="center"/>
          </w:tcPr>
          <w:p>
            <w:pPr>
              <w:widowControl/>
              <w:spacing w:line="360" w:lineRule="atLeast"/>
              <w:jc w:val="center"/>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w:t>
            </w:r>
            <w:r>
              <w:rPr>
                <w:rFonts w:hint="eastAsia" w:ascii="仿宋_GB2312" w:eastAsia="仿宋_GB2312" w:cs="宋体"/>
                <w:b/>
                <w:bCs/>
                <w:color w:val="000000"/>
                <w:kern w:val="0"/>
                <w:sz w:val="28"/>
                <w:szCs w:val="28"/>
              </w:rPr>
              <w:t>廊坊市广阳区预算部门固定资产占用情况表</w:t>
            </w:r>
          </w:p>
        </w:tc>
      </w:tr>
      <w:tr>
        <w:tblPrEx>
          <w:tblCellMar>
            <w:top w:w="0" w:type="dxa"/>
            <w:left w:w="0" w:type="dxa"/>
            <w:bottom w:w="0" w:type="dxa"/>
            <w:right w:w="0" w:type="dxa"/>
          </w:tblCellMar>
        </w:tblPrEx>
        <w:trPr>
          <w:trHeight w:val="839" w:hRule="atLeast"/>
          <w:tblCellSpacing w:w="0" w:type="dxa"/>
          <w:jc w:val="center"/>
        </w:trPr>
        <w:tc>
          <w:tcPr>
            <w:tcW w:w="6707" w:type="dxa"/>
            <w:gridSpan w:val="2"/>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编制部门：</w:t>
            </w:r>
            <w:r>
              <w:rPr>
                <w:rFonts w:hint="eastAsia" w:ascii="仿宋_GB2312" w:eastAsia="仿宋_GB2312" w:cs="宋体"/>
                <w:b/>
                <w:bCs/>
                <w:color w:val="000000"/>
                <w:kern w:val="0"/>
                <w:sz w:val="28"/>
                <w:szCs w:val="28"/>
              </w:rPr>
              <w:t>河北廊坊广阳经济开发区管理委员会</w:t>
            </w:r>
          </w:p>
        </w:tc>
        <w:tc>
          <w:tcPr>
            <w:tcW w:w="3717" w:type="dxa"/>
            <w:noWrap/>
            <w:vAlign w:val="center"/>
          </w:tcPr>
          <w:p>
            <w:pPr>
              <w:widowControl/>
              <w:spacing w:line="360" w:lineRule="atLeast"/>
              <w:jc w:val="left"/>
              <w:rPr>
                <w:rFonts w:ascii="宋体" w:hAnsi="宋体" w:eastAsia="仿宋_GB2312" w:cs="宋体"/>
                <w:color w:val="000000"/>
                <w:kern w:val="0"/>
                <w:sz w:val="28"/>
                <w:szCs w:val="28"/>
              </w:rPr>
            </w:pPr>
            <w:r>
              <w:rPr>
                <w:rFonts w:hint="eastAsia" w:ascii="仿宋_GB2312" w:eastAsia="仿宋_GB2312" w:cs="宋体"/>
                <w:color w:val="000000"/>
                <w:kern w:val="0"/>
                <w:sz w:val="28"/>
                <w:szCs w:val="28"/>
              </w:rPr>
              <w:t>截止时间：2016年12月31日</w:t>
            </w:r>
            <w:r>
              <w:rPr>
                <w:rFonts w:hint="eastAsia" w:ascii="宋体" w:hAnsi="宋体" w:eastAsia="仿宋_GB2312" w:cs="宋体"/>
                <w:color w:val="000000"/>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项</w:t>
            </w:r>
            <w:r>
              <w:rPr>
                <w:rFonts w:hint="eastAsia" w:ascii="宋体" w:hAnsi="宋体" w:eastAsia="仿宋_GB2312" w:cs="宋体"/>
                <w:b/>
                <w:bCs/>
                <w:color w:val="000000"/>
                <w:kern w:val="0"/>
                <w:sz w:val="28"/>
                <w:szCs w:val="28"/>
              </w:rPr>
              <w:t xml:space="preserve">   </w:t>
            </w:r>
            <w:r>
              <w:rPr>
                <w:rFonts w:hint="eastAsia" w:ascii="仿宋_GB2312" w:eastAsia="仿宋_GB2312" w:cs="宋体"/>
                <w:b/>
                <w:bCs/>
                <w:color w:val="000000"/>
                <w:kern w:val="0"/>
                <w:sz w:val="28"/>
                <w:szCs w:val="28"/>
              </w:rPr>
              <w:t>目</w:t>
            </w:r>
          </w:p>
        </w:tc>
        <w:tc>
          <w:tcPr>
            <w:tcW w:w="26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数量</w:t>
            </w:r>
          </w:p>
        </w:tc>
        <w:tc>
          <w:tcPr>
            <w:tcW w:w="371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b/>
                <w:bCs/>
                <w:color w:val="000000"/>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资产总额</w:t>
            </w:r>
          </w:p>
        </w:tc>
        <w:tc>
          <w:tcPr>
            <w:tcW w:w="26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371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24.22</w:t>
            </w:r>
          </w:p>
        </w:tc>
      </w:tr>
      <w:tr>
        <w:tblPrEx>
          <w:tblCellMar>
            <w:top w:w="0" w:type="dxa"/>
            <w:left w:w="0" w:type="dxa"/>
            <w:bottom w:w="0" w:type="dxa"/>
            <w:right w:w="0" w:type="dxa"/>
          </w:tblCellMar>
        </w:tblPrEx>
        <w:trPr>
          <w:trHeight w:val="645" w:hRule="atLeast"/>
          <w:tblCellSpacing w:w="0" w:type="dxa"/>
          <w:jc w:val="center"/>
        </w:trPr>
        <w:tc>
          <w:tcPr>
            <w:tcW w:w="40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1、房屋（平方米）</w:t>
            </w:r>
          </w:p>
        </w:tc>
        <w:tc>
          <w:tcPr>
            <w:tcW w:w="26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71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w:t>
            </w:r>
            <w:r>
              <w:rPr>
                <w:rFonts w:hint="eastAsia" w:ascii="仿宋_GB2312" w:eastAsia="仿宋_GB2312" w:cs="宋体"/>
                <w:color w:val="000000"/>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xml:space="preserve">   </w:t>
            </w:r>
            <w:r>
              <w:rPr>
                <w:rFonts w:hint="eastAsia" w:ascii="仿宋_GB2312" w:eastAsia="仿宋_GB2312" w:cs="宋体"/>
                <w:color w:val="000000"/>
                <w:kern w:val="0"/>
                <w:sz w:val="28"/>
                <w:szCs w:val="28"/>
              </w:rPr>
              <w:t>其中：办公用房（平方米）</w:t>
            </w:r>
          </w:p>
        </w:tc>
        <w:tc>
          <w:tcPr>
            <w:tcW w:w="26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71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w:t>
            </w:r>
            <w:r>
              <w:rPr>
                <w:rFonts w:hint="eastAsia" w:ascii="仿宋_GB2312" w:eastAsia="仿宋_GB2312" w:cs="宋体"/>
                <w:color w:val="000000"/>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2、车辆（台、辆）</w:t>
            </w:r>
          </w:p>
        </w:tc>
        <w:tc>
          <w:tcPr>
            <w:tcW w:w="26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371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23.78</w:t>
            </w:r>
          </w:p>
        </w:tc>
      </w:tr>
      <w:tr>
        <w:tblPrEx>
          <w:tblCellMar>
            <w:top w:w="0" w:type="dxa"/>
            <w:left w:w="0" w:type="dxa"/>
            <w:bottom w:w="0" w:type="dxa"/>
            <w:right w:w="0" w:type="dxa"/>
          </w:tblCellMar>
        </w:tblPrEx>
        <w:trPr>
          <w:trHeight w:val="645" w:hRule="atLeast"/>
          <w:tblCellSpacing w:w="0" w:type="dxa"/>
          <w:jc w:val="center"/>
        </w:trPr>
        <w:tc>
          <w:tcPr>
            <w:tcW w:w="4082"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3、单价在50万元以上的设备</w:t>
            </w:r>
          </w:p>
        </w:tc>
        <w:tc>
          <w:tcPr>
            <w:tcW w:w="26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0</w:t>
            </w:r>
          </w:p>
        </w:tc>
        <w:tc>
          <w:tcPr>
            <w:tcW w:w="371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宋体" w:hAnsi="宋体" w:eastAsia="仿宋_GB2312" w:cs="宋体"/>
                <w:color w:val="000000"/>
                <w:kern w:val="0"/>
                <w:sz w:val="28"/>
                <w:szCs w:val="28"/>
              </w:rPr>
              <w:t> </w:t>
            </w:r>
            <w:r>
              <w:rPr>
                <w:rFonts w:hint="eastAsia" w:ascii="仿宋_GB2312" w:eastAsia="仿宋_GB2312" w:cs="宋体"/>
                <w:color w:val="000000"/>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8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4、其他固定资产</w:t>
            </w:r>
          </w:p>
        </w:tc>
        <w:tc>
          <w:tcPr>
            <w:tcW w:w="26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宋体" w:hAnsi="宋体" w:eastAsia="仿宋_GB2312" w:cs="宋体"/>
                <w:color w:val="000000"/>
                <w:kern w:val="0"/>
                <w:sz w:val="28"/>
                <w:szCs w:val="28"/>
              </w:rPr>
            </w:pPr>
            <w:r>
              <w:rPr>
                <w:rFonts w:hint="eastAsia" w:ascii="宋体" w:hAnsi="宋体" w:eastAsia="仿宋_GB2312" w:cs="宋体"/>
                <w:color w:val="000000"/>
                <w:kern w:val="0"/>
                <w:sz w:val="28"/>
                <w:szCs w:val="28"/>
              </w:rPr>
              <w:t> </w:t>
            </w:r>
          </w:p>
        </w:tc>
        <w:tc>
          <w:tcPr>
            <w:tcW w:w="371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tLeas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0.44</w:t>
            </w:r>
          </w:p>
        </w:tc>
      </w:tr>
    </w:tbl>
    <w:p>
      <w:pPr>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pStyle w:val="7"/>
        <w:ind w:firstLine="643" w:firstLineChars="200"/>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ind w:firstLine="643" w:firstLineChars="200"/>
        <w:rPr>
          <w:rFonts w:ascii="黑体" w:eastAsia="黑体" w:cs="宋体"/>
          <w:color w:val="000000"/>
          <w:kern w:val="0"/>
          <w:sz w:val="32"/>
          <w:szCs w:val="32"/>
        </w:rPr>
      </w:pPr>
      <w:r>
        <w:rPr>
          <w:rFonts w:hint="eastAsia" w:ascii="黑体" w:eastAsia="黑体" w:cs="宋体"/>
          <w:b/>
          <w:bCs/>
          <w:color w:val="000000"/>
          <w:kern w:val="0"/>
          <w:sz w:val="32"/>
          <w:szCs w:val="32"/>
        </w:rPr>
        <w:t>九、其它需要说明的事项</w:t>
      </w:r>
    </w:p>
    <w:p>
      <w:pPr>
        <w:ind w:firstLine="640" w:firstLineChars="200"/>
        <w:rPr>
          <w:rFonts w:ascii="仿宋_GB2312" w:eastAsia="仿宋_GB2312"/>
          <w:sz w:val="32"/>
          <w:szCs w:val="32"/>
        </w:rPr>
      </w:pPr>
      <w:r>
        <w:rPr>
          <w:rFonts w:hint="eastAsia" w:ascii="仿宋_GB2312" w:eastAsia="仿宋_GB2312" w:cs="宋体"/>
          <w:color w:val="000000"/>
          <w:kern w:val="0"/>
          <w:sz w:val="32"/>
          <w:szCs w:val="32"/>
        </w:rPr>
        <w:t>无其它需要说明的事项。</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95"/>
    <w:rsid w:val="00031B80"/>
    <w:rsid w:val="00152195"/>
    <w:rsid w:val="00BD5D24"/>
    <w:rsid w:val="2410336F"/>
    <w:rsid w:val="5C5B264E"/>
    <w:rsid w:val="71CA2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54</Pages>
  <Words>1239</Words>
  <Characters>7066</Characters>
  <Lines>58</Lines>
  <Paragraphs>16</Paragraphs>
  <TotalTime>11</TotalTime>
  <ScaleCrop>false</ScaleCrop>
  <LinksUpToDate>false</LinksUpToDate>
  <CharactersWithSpaces>8289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2017-10-27T09:52:00Z</dcterms:created>
  <dc:creator>lenovo</dc:creator>
  <cp:lastModifiedBy>111</cp:lastModifiedBy>
  <dcterms:modified xsi:type="dcterms:W3CDTF">2024-07-22T03:53:11Z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0BAD2D69F5DC48C688F636FB4EF96CE6</vt:lpwstr>
  </property>
</Properties>
</file>