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cs="宋体"/>
          <w:b/>
          <w:bCs/>
          <w:color w:val="000000"/>
          <w:kern w:val="0"/>
          <w:sz w:val="44"/>
          <w:szCs w:val="44"/>
        </w:rPr>
        <w:t>廊坊市广阳区交通局2017年部门预算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廊坊市广阳区交通</w:t>
      </w:r>
      <w:r>
        <w:rPr>
          <w:rFonts w:hint="eastAsia" w:ascii="仿宋_GB2312" w:eastAsia="仿宋_GB2312" w:cs="宋体"/>
          <w:b/>
          <w:bCs/>
          <w:color w:val="000000"/>
          <w:kern w:val="0"/>
          <w:sz w:val="32"/>
          <w:szCs w:val="32"/>
        </w:rPr>
        <w:t>局</w:t>
      </w:r>
      <w:r>
        <w:rPr>
          <w:rFonts w:hint="eastAsia" w:ascii="仿宋_GB2312" w:eastAsia="仿宋_GB2312"/>
          <w:sz w:val="32"/>
          <w:szCs w:val="32"/>
        </w:rPr>
        <w:t>2017年部门预算公开如下：</w:t>
      </w:r>
    </w:p>
    <w:p>
      <w:pPr>
        <w:widowControl/>
        <w:spacing w:line="360" w:lineRule="atLeast"/>
        <w:ind w:firstLine="643" w:firstLineChars="200"/>
        <w:jc w:val="left"/>
        <w:rPr>
          <w:rFonts w:ascii="仿宋_GB2312" w:eastAsia="仿宋_GB2312" w:cs="宋体"/>
          <w:color w:val="000000"/>
          <w:kern w:val="0"/>
          <w:sz w:val="28"/>
          <w:szCs w:val="28"/>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1、拟定全区交通行业发展战略、政策、规范性文件并监督执行。</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2、根据省市区国民经济发展总体布局，拟定公路交通行业发展规划，制定中长期计划和年度计划并监督实施，负责交通行业统计和信息引导。</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负责全区公路交通的行业管理和运输组织管理，实施依法行政，建立完善的信息、行业联运服务体系，负责货运市场。客运出租市场、汽车维修市场、搬捣装卸市场、汽车综合性能检测、驾驶员培训工作的行业规划和管理，引导交通运输业优化结构、协调发展。</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4、组织实施公路及其设施（含标志标线）的建设、养护和管理，清理全区公路两侧违章建筑，治理大件运输和超限运输，提高公路通行能力，依法维护路产路权。</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5、依法组织并实施交通规费征收。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6、负责全区范围内公路、桥梁建设市场管理、工程的招、投标管理，并负责公路工程的质量监督及质量鉴定工作。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7、指导全区交通系统财务管理，负责国有资产管理；负责全区交通专项资金管理和使用；组织交通系统财务内部审计工作。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8、组织实施交通职工教育培训、职称评定、交流和使用工作，管理局机关并指导直属单位的人事、劳动、机构编制管理、人才资源开发工作，负责直属单位领导班子建设和股级干部管理工作，负责工人技术等级培训。考核工作，负责全区交通战备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9、指导全区交通行业的精神文明建设和职工队伍思想建设，指导行业交通安全保卫工作。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10、承办区政府交办的其他事项。</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28"/>
          <w:szCs w:val="28"/>
        </w:rPr>
        <w:t xml:space="preserve">   </w:t>
      </w:r>
      <w:r>
        <w:rPr>
          <w:rFonts w:hint="eastAsia" w:ascii="仿宋_GB2312" w:eastAsia="仿宋_GB2312" w:cs="宋体"/>
          <w:color w:val="000000"/>
          <w:kern w:val="0"/>
          <w:sz w:val="28"/>
          <w:szCs w:val="28"/>
        </w:rPr>
        <w:t>部门机构设置情况</w:t>
      </w:r>
    </w:p>
    <w:tbl>
      <w:tblPr>
        <w:tblStyle w:val="4"/>
        <w:tblW w:w="952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11"/>
        <w:gridCol w:w="1176"/>
        <w:gridCol w:w="1217"/>
        <w:gridCol w:w="28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1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8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廊坊市广阳区交通局</w:t>
            </w:r>
          </w:p>
        </w:tc>
        <w:tc>
          <w:tcPr>
            <w:tcW w:w="118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行政机关</w:t>
            </w:r>
          </w:p>
        </w:tc>
        <w:tc>
          <w:tcPr>
            <w:tcW w:w="122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正科级</w:t>
            </w:r>
          </w:p>
        </w:tc>
        <w:tc>
          <w:tcPr>
            <w:tcW w:w="284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2017年预算收入1469.49万元，其中：一般公共预算收入1469.49万元，政府性基金收入0万元。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2017年支出预算1469.49万元，其中基本支出212.49万元，包括人员经费和日常公用经费；项目支出1257万元，主要为中央对地方成品油价格和税费改革转移支付。</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2017年预算收支安排1469.49万元，较2016年预算增加456.5万元，其中：基本支出减少458.06万元，主要为减少路政大队人员经费支出；项目支出增914.56万元，主要为下达成品油价格和税费改革转移支付项目支出。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100.29</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万元，其中办公经费0.29</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万元，其他业务费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100</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万元</w:t>
      </w:r>
      <w:r>
        <w:rPr>
          <w:rFonts w:hint="eastAsia" w:ascii="仿宋_GB2312" w:eastAsia="仿宋_GB2312" w:cs="宋体"/>
          <w:b/>
          <w:bCs/>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广阳区交通局主要职责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 拟定全区交通行业发展战略、政策、规范性文件并监督执行。</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（二）根据省市区国民经济发展总体布局，拟定公路交通行业发展规划，制定中长期计划和年度计划并监督实施，负责交通行业统计和信息引导。</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负责全区公路交通的行业管理和运输组织管理，实施依法行政，建立完善的信息、行业联运服务体系，负责货运市场。客运出租市场、汽车维修市场、搬捣装卸市场、汽车综合性能检测、驾驶员培训工作的行业规划和管理，引导交通运输业优化结构、协调发展。</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（四）组织实施公路及其设施（含标志标线）的建设、养护和管理，清理全区公路两侧违章建筑，治理大件运输和超限运输，提高公路通行能力，依法维护路产路权。</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（五）依法组织并实施交通规费征收。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（六）负责全区范围内公路、桥梁建设市场管理、工程的招、投标管理，并负责公路工程的质量监督及质量鉴定工作。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（七）指导全区交通系统财务管理，负责国有资产管理；负责全区交通专项资金管理和使用；组织交通系统财务内部审计工作。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八）组织实施交通职工教育培训、职称评定、交流和使用工作，管理局机关并指导直属单位的人事、劳动、机构编制管理、人才资源开发工作，负责直属单位领导班子建设和股级干部管理工作，负责工人技术等级培训。考核工作，负责全区交通战备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（九）指导全区交通行业的精神文明建设和职工队伍思想建设，指导行业交通安全保卫工作。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（十）承办区政府交办的其他事项。</w:t>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一、广阳区交通局主要职责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（一）拟定全区交通行业发展战略、政策、规范性文件并监督执行。</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（二）根据省市区国民经济发展总体布局，拟定公路交通行业发展规划，制定中长期计划和年度计划并监督实施，负责交通行业统计和信息引导。</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负责全区公路交通的行业管理和运输组织管理，实施依法行政，建立完善的信息、行业联运服务体系，负责货运市场。客运出租市场、汽车维修市场、搬捣装卸市场、汽车综合性能检测、驾驶员培训工作的行业规划和管理，引导交通运输业优化结构、协调发展。</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（四）组织实施公路及其设施（含标志标线）的建设、养护和管理，清理全区公路两侧违章建筑，治理大件运输和超限运输，提高公路通行能力，依法维护路产路权。</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（五）依法组织并实施交通规费征收。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（六）负责全区范围内公路、桥梁建设市场管理、工程的招、投标管理，并负责公路工程的质量监督及质量鉴定工作。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（七）指导全区交通系统财务管理，负责国有资产管理；负责全区交通专项资金管理和使用；组织交通系统财务内部审计工作。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八）组织实施交通职工教育培训、职称评定、交流和使用工作，管理局机关并指导直属单位的人事、劳动、机构编制管理、人才资源开发工作，负责直属单位领导班子建设和股级干部管理工作，负责工人技术等级培训。考核工作，负责全区交通战备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（九）指导全区交通行业的精神文明建设和职工队伍思想建设，指导行业交通安全保卫工作。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（十）承办区政府交办的其他事项。</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22"/>
        <w:gridCol w:w="1165"/>
        <w:gridCol w:w="1782"/>
        <w:gridCol w:w="1870"/>
        <w:gridCol w:w="963"/>
        <w:gridCol w:w="678"/>
        <w:gridCol w:w="590"/>
        <w:gridCol w:w="590"/>
        <w:gridCol w:w="5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Header/>
          <w:tblCellSpacing w:w="0" w:type="dxa"/>
          <w:jc w:val="center"/>
        </w:trPr>
        <w:tc>
          <w:tcPr>
            <w:tcW w:w="12255" w:type="dxa"/>
            <w:gridSpan w:val="5"/>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810廊坊市广阳区交通局</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交通运输基础设施建设</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114.00</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按区政府规定权限审批、核准县规划内和年度计划规模内的固定资产投资项目，完成交通基础设施投资；对重点工程建设、工程质量和安全生产进行监管，对招投标活动进行监督管理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速公路投资总额XX亿元、在建里程XX公里；普通干线公路投资总额XX亿元，在建里程XX公里；农村公路投资总额XX亿元，新增里程XX公里；场站建设投资总额XX亿元，建设项目XX个；物流园区(中心)项目总投资XX亿元,建设项目XX个；农村客运站点总投资XX亿元,建设四级站XX个，五级站XX个，简易站XX个，候车亭XXX个，招呼站牌X个；新建出租车汽车综合服务区XX个；保障交通基础设施建设项目质量；按时偿还到期公路建设贷款，无贷款违约。</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普通国省干线公路建设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安排补助资金，组织实施各项普通国省干线公路建设，完成投资任务。</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完成全年普通干线公路投资 亿元，在建里程达到 公里；完成超限站点建设 个，超限检测站不停车检测系 套，建成公路交通情况调查站 个。</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年度普通干线公路建设项目工程质量合格率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年度普通干线公路建设项目投资完成率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年度普通干线建设工程量完成率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公路客货运站（场）及城乡客运基础设施建设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组织实施全县汽车客、货运站场新改（扩）建工程（含综合客货运枢纽、等级客运站、简易站、候车亭、招呼牌等）建设。</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全年完成汽车客运站项目总投资</w:t>
            </w:r>
            <w:r>
              <w:rPr>
                <w:rFonts w:ascii="宋体" w:hAnsi="宋体" w:eastAsia="仿宋_GB2312" w:cs="宋体"/>
                <w:kern w:val="0"/>
                <w:sz w:val="28"/>
                <w:szCs w:val="28"/>
              </w:rPr>
              <w:t xml:space="preserve">  </w:t>
            </w:r>
            <w:r>
              <w:rPr>
                <w:rFonts w:hint="eastAsia" w:ascii="仿宋_GB2312" w:eastAsia="仿宋_GB2312" w:cs="宋体"/>
                <w:kern w:val="0"/>
                <w:sz w:val="28"/>
                <w:szCs w:val="28"/>
              </w:rPr>
              <w:t>亿元,建设项目 个；物流园区(中心)项目总投资 亿元,建设项目 个；农村客运站点总投资 亿元,建设四级站 个，五级站 个，简易站 个，候车亭 个，招呼站牌 个。</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年度客货运场站建设项目工程质量合格率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年度客货运场站建设投资完成率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年度客货运场站建设工程量完成率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交通基础设施建设的协调、监督和管理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监管全县公路、水路、地方铁路建设市场，对公路、水路、地方铁路等有关重点工程建设、工程质量和安全生产及行业招投标活动进行监督和管理，做好建设过程中的协调管理工作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公路、水路建设市场运转有序，各项业务顺利开展，工作按时完成。</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交通基础设施建设重点项目监督检查率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交通配套设施建设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其他与县级建设任务紧密相关的交通基础设施建设。</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新建出租车汽车综合服务区 个</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年度交通配套设施项目工程质量合格率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交通配套设施建设投资完成率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交通配套设施工程量完成率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农村公路建设</w:t>
            </w:r>
          </w:p>
        </w:tc>
        <w:tc>
          <w:tcPr>
            <w:tcW w:w="142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114.00</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组织实施各项农村公路建设，完成投资任务。</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完成全年农村公路投资总额XX亿元，新增里程XX公里。</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年度农村公路建设项目工程质量合格率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年度农村公路建设项目投资完成率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年度农村公路建设工程量完成率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交通运输基础设施养护、维护</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133.00</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组织交通运输基础设施养护、维护，对招投标活动进行监督管理。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速公路日常养护XX公里，路基路面大中修XX公里；普通国省干线公路大中修里程XX公里，加固桥梁XXXX延米，治理隐患里程XXXX公里；高速绿色廊道建设XXXX公里，普通国省干线绿化里程XXXX公里，节点面积XXX万平方米；提升普通国省干线日常养护作业效率；对农村公路养护实施“以奖代补”；完善更新公路建设管理养护基础数据。</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普通国省干线公路养护</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对普通国省干线公路主体及其附属设施、设备进行保养中修、大修、维护等。</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完成全年普通干线公路大中修里程 公里,加固桥梁 延米,治理隐患里程 公里,绿化里程 公里，节点面积 万平方米。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年度普通干线公路养护投资完成率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恢复设计功能（恢复率）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公路技术状况指数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年度普通干线公路养护工程量完成率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农村公路养护以奖代补</w:t>
            </w:r>
          </w:p>
        </w:tc>
        <w:tc>
          <w:tcPr>
            <w:tcW w:w="142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29.00</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通过以奖代补等形式对农村公路保养与维护进行资金补助，引导带动各地加强农村公路养护。</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恢复、提升农村公路原有技术指标，维护、完善交通工程、安全设施、服务管理等附属设施，保持良好的技术状况。</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年度农村公路养护投资完成率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年度农村公路养护工程量完成率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公路建设管理养护基础数据采集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通过公路各项指标地理信息、数据采集及桥梁隧道检测、交通量调查等方式，适时采集相关数据并及时更新；管理维护设备及数据采集信息系统。</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按时、保质、保量完成数据采集分析，为公路管理提供依据和支持。</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公路基础信息数据更新率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公路基础信息数据使用率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公路、水运工程养护监督和管理</w:t>
            </w:r>
          </w:p>
        </w:tc>
        <w:tc>
          <w:tcPr>
            <w:tcW w:w="142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104.00</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对公路、水运工程及其设施养护工程质量安全及招投标活动进行监督和管理。</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各项业务顺利开展，按时完成工作。</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工作质量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项目质量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75%以下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交通运输管理</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1010.00</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承担全区综合运输体系的规划协调，指导城乡客运及有关设施规划和管理，对全县公路及其设施的建设和养护进行管理，指导出租汽车行业管理工作。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保障道路通畅，完成运输生产任务，确保安全生产，提高服务保障水平。按时完成2017年全国公路水路统计抽样调查工作。</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公路管理</w:t>
            </w:r>
          </w:p>
        </w:tc>
        <w:tc>
          <w:tcPr>
            <w:tcW w:w="142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1010.00</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对公路建设、养护、运营及路政、治理超限超载进行管理。审批公路建设项目施工图并进行现场管理，依法行使公路方面行政处罚权，对全县公路超限治理进行监督管理。</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提高公路等级水平，缓解繁忙路段交通压力；维护路产路权，治理超限运输，保障通行能力，提高服务水平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安全生产维稳控制目标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审批完成率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超限超载率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2%以下</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5%以下</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10%以下</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15%以下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道路运输管理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全县道路旅客运输、货物运输、从业人员、道路运输相关业务进行行业管理、市场监管及安全检查，依法行使道路运输行政许可、行政处罚强制权，监督检查有关道路运输法律法规的执行情况，对全县货运源头治超工作进行监督检</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旅客周转量 亿人公里，公路货物周转量 亿吨公里。</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年营业性客货运周转量目标完成率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超限超载率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安全生产控制目标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城市客运管理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对全县客运（含公共汽电车、出租汽车、汽车租赁）进行行业管理。</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客运管理业务顺利开展，按时完成工作。并保障行业安全稳与稳定。</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安全生产维稳控制目标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乘客满意率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水路运输管理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管辖水域水上安全进行监管；对相关水上设施检验、船舶设施保安等进行监督管理。</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水运客运周转量完成 万人公里，货物周转量完成 亿吨公里，港口吞吐量完成 亿吨。</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年水上客货运周转量目标完成率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港口吞吐量目标完成率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基层海事机构督查覆盖面</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船舶受理申请检验办理率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安全生产控制目标</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交通运输统计及调查</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开展全县综合交通运输统计专项调查和研究，组织业务培训，统计、分析、评估、检测交通运输有关数据，发布相关信息。</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交通运输统计、调查业务顺利开展，按时完成工作，数据科学准确。</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工作完成率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完成率准确率95%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交通政务管理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负责交通运输综合交通运输体系建设，综合业务管理和综合事物管理。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机动车维修与检测人员考试 人次，信息管理系统正常运行，修订公路定额，应急事项处理及时，各项事务运行正常。</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指导交通运输行业继续教育和中等专业技术教育，开展行业干部教育培训。指导行业体制改革、安全生产和应急管理等</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保障各项业务工作畅通</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综合业务保障率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管理交通国有资产，筹措、管理、监督交通建设专项资金，开展基本建设项目绩效监督管理工作和行业内部审计工作，承担国防交通战备工作，指导行业交通公安工作及行业精神文明建设。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保障机关正常工作高效运转</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综合事务保障率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80%以下</w:t>
            </w:r>
          </w:p>
        </w:tc>
      </w:tr>
    </w:tbl>
    <w:p>
      <w:pPr>
        <w:outlineLvl w:val="0"/>
        <w:rPr>
          <w:rFonts w:ascii="黑体" w:eastAsia="黑体" w:cs="宋体"/>
          <w:b/>
          <w:bCs/>
          <w:color w:val="000000"/>
          <w:kern w:val="0"/>
          <w:sz w:val="32"/>
          <w:szCs w:val="32"/>
        </w:rPr>
      </w:pPr>
      <w:r>
        <w:rPr>
          <w:rFonts w:hint="eastAsia" w:ascii="黑体" w:eastAsia="黑体" w:cs="宋体"/>
          <w:b/>
          <w:bCs/>
          <w:color w:val="000000"/>
          <w:kern w:val="0"/>
          <w:sz w:val="32"/>
          <w:szCs w:val="32"/>
        </w:rPr>
        <w:t>六、政府采购预算情况</w:t>
      </w:r>
    </w:p>
    <w:p>
      <w:pPr>
        <w:outlineLvl w:val="0"/>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廊坊市广阳区交通</w:t>
            </w:r>
            <w:r>
              <w:rPr>
                <w:rFonts w:hint="eastAsia" w:ascii="仿宋_GB2312" w:eastAsia="仿宋_GB2312" w:cs="宋体"/>
                <w:b/>
                <w:bCs/>
                <w:color w:val="000000"/>
                <w:kern w:val="0"/>
                <w:sz w:val="28"/>
                <w:szCs w:val="28"/>
              </w:rPr>
              <w:t>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left"/>
              <w:rPr>
                <w:rFonts w:ascii="仿宋_GB2312" w:eastAsia="仿宋_GB2312" w:cs="Times New Roman"/>
                <w:sz w:val="32"/>
                <w:szCs w:val="32"/>
              </w:rPr>
            </w:pPr>
          </w:p>
        </w:tc>
        <w:tc>
          <w:tcPr>
            <w:tcW w:w="482" w:type="pct"/>
            <w:shd w:val="clear" w:color="auto" w:fill="auto"/>
            <w:vAlign w:val="center"/>
          </w:tcPr>
          <w:p>
            <w:pPr>
              <w:spacing w:line="300" w:lineRule="exact"/>
              <w:jc w:val="left"/>
              <w:rPr>
                <w:rFonts w:ascii="仿宋_GB2312" w:eastAsia="仿宋_GB2312" w:cs="Times New Roman"/>
                <w:sz w:val="32"/>
                <w:szCs w:val="32"/>
              </w:rPr>
            </w:pPr>
          </w:p>
        </w:tc>
        <w:tc>
          <w:tcPr>
            <w:tcW w:w="303" w:type="pct"/>
            <w:shd w:val="clear" w:color="auto" w:fill="auto"/>
            <w:vAlign w:val="center"/>
          </w:tcPr>
          <w:p>
            <w:pPr>
              <w:spacing w:line="300" w:lineRule="exact"/>
              <w:jc w:val="lef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282" w:type="pct"/>
            <w:shd w:val="clear" w:color="auto" w:fill="auto"/>
            <w:vAlign w:val="center"/>
          </w:tcPr>
          <w:p>
            <w:pPr>
              <w:spacing w:line="300" w:lineRule="exact"/>
              <w:jc w:val="right"/>
              <w:rPr>
                <w:rFonts w:ascii="仿宋_GB2312" w:eastAsia="仿宋_GB2312" w:cs="Times New Roman"/>
                <w:sz w:val="32"/>
                <w:szCs w:val="32"/>
              </w:rPr>
            </w:pPr>
          </w:p>
        </w:tc>
        <w:tc>
          <w:tcPr>
            <w:tcW w:w="304" w:type="pct"/>
            <w:shd w:val="clear" w:color="auto" w:fill="auto"/>
            <w:vAlign w:val="center"/>
          </w:tcPr>
          <w:p>
            <w:pPr>
              <w:spacing w:line="300" w:lineRule="exact"/>
              <w:jc w:val="right"/>
              <w:rPr>
                <w:rFonts w:ascii="仿宋_GB2312" w:eastAsia="仿宋_GB2312" w:cs="Times New Roman"/>
                <w:sz w:val="32"/>
                <w:szCs w:val="32"/>
              </w:rPr>
            </w:pPr>
          </w:p>
        </w:tc>
        <w:tc>
          <w:tcPr>
            <w:tcW w:w="304" w:type="pct"/>
            <w:shd w:val="clear" w:color="auto" w:fill="auto"/>
            <w:vAlign w:val="center"/>
          </w:tcPr>
          <w:p>
            <w:pPr>
              <w:spacing w:line="300" w:lineRule="exact"/>
              <w:jc w:val="right"/>
              <w:rPr>
                <w:rFonts w:ascii="仿宋_GB2312" w:eastAsia="仿宋_GB2312" w:cs="Times New Roman"/>
                <w:sz w:val="32"/>
                <w:szCs w:val="32"/>
              </w:rPr>
            </w:pPr>
          </w:p>
        </w:tc>
        <w:tc>
          <w:tcPr>
            <w:tcW w:w="286" w:type="pct"/>
            <w:shd w:val="clear" w:color="auto" w:fill="auto"/>
            <w:vAlign w:val="center"/>
          </w:tcPr>
          <w:p>
            <w:pPr>
              <w:spacing w:line="300" w:lineRule="exact"/>
              <w:jc w:val="right"/>
              <w:rPr>
                <w:rFonts w:ascii="仿宋_GB2312" w:eastAsia="仿宋_GB2312" w:cs="Times New Roman"/>
                <w:sz w:val="32"/>
                <w:szCs w:val="32"/>
              </w:rPr>
            </w:pP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我部门（含所属单位）上年末固定资产金额为1532.50万元，我部门本年度无拟购置固定资产，详见下表。</w:t>
      </w:r>
    </w:p>
    <w:tbl>
      <w:tblPr>
        <w:tblStyle w:val="4"/>
        <w:tblW w:w="10815" w:type="dxa"/>
        <w:jc w:val="center"/>
        <w:tblCellSpacing w:w="0" w:type="dxa"/>
        <w:tblLayout w:type="autofit"/>
        <w:tblCellMar>
          <w:top w:w="0" w:type="dxa"/>
          <w:left w:w="0" w:type="dxa"/>
          <w:bottom w:w="0" w:type="dxa"/>
          <w:right w:w="0" w:type="dxa"/>
        </w:tblCellMar>
      </w:tblPr>
      <w:tblGrid>
        <w:gridCol w:w="4070"/>
        <w:gridCol w:w="2630"/>
        <w:gridCol w:w="4235"/>
      </w:tblGrid>
      <w:tr>
        <w:tblPrEx>
          <w:tblCellMar>
            <w:top w:w="0" w:type="dxa"/>
            <w:left w:w="0" w:type="dxa"/>
            <w:bottom w:w="0" w:type="dxa"/>
            <w:right w:w="0" w:type="dxa"/>
          </w:tblCellMar>
        </w:tblPrEx>
        <w:trPr>
          <w:trHeight w:val="705" w:hRule="atLeast"/>
          <w:tblCellSpacing w:w="0" w:type="dxa"/>
          <w:jc w:val="center"/>
        </w:trPr>
        <w:tc>
          <w:tcPr>
            <w:tcW w:w="10845"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4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廊坊市广阳区交通局</w:t>
            </w:r>
          </w:p>
        </w:tc>
        <w:tc>
          <w:tcPr>
            <w:tcW w:w="4215"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6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421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6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42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1532.50</w:t>
            </w:r>
          </w:p>
        </w:tc>
      </w:tr>
      <w:tr>
        <w:tblPrEx>
          <w:tblCellMar>
            <w:top w:w="0" w:type="dxa"/>
            <w:left w:w="0" w:type="dxa"/>
            <w:bottom w:w="0" w:type="dxa"/>
            <w:right w:w="0" w:type="dxa"/>
          </w:tblCellMar>
        </w:tblPrEx>
        <w:trPr>
          <w:trHeight w:val="645" w:hRule="atLeast"/>
          <w:tblCellSpacing w:w="0" w:type="dxa"/>
          <w:jc w:val="center"/>
        </w:trPr>
        <w:tc>
          <w:tcPr>
            <w:tcW w:w="40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6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9948.74</w:t>
            </w:r>
          </w:p>
        </w:tc>
        <w:tc>
          <w:tcPr>
            <w:tcW w:w="42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407.84</w:t>
            </w:r>
          </w:p>
        </w:tc>
      </w:tr>
      <w:tr>
        <w:tblPrEx>
          <w:tblCellMar>
            <w:top w:w="0" w:type="dxa"/>
            <w:left w:w="0" w:type="dxa"/>
            <w:bottom w:w="0" w:type="dxa"/>
            <w:right w:w="0" w:type="dxa"/>
          </w:tblCellMar>
        </w:tblPrEx>
        <w:trPr>
          <w:trHeight w:val="645" w:hRule="atLeast"/>
          <w:tblCellSpacing w:w="0" w:type="dxa"/>
          <w:jc w:val="center"/>
        </w:trPr>
        <w:tc>
          <w:tcPr>
            <w:tcW w:w="40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6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3526</w:t>
            </w:r>
          </w:p>
        </w:tc>
        <w:tc>
          <w:tcPr>
            <w:tcW w:w="42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229.05</w:t>
            </w:r>
          </w:p>
        </w:tc>
      </w:tr>
      <w:tr>
        <w:tblPrEx>
          <w:tblCellMar>
            <w:top w:w="0" w:type="dxa"/>
            <w:left w:w="0" w:type="dxa"/>
            <w:bottom w:w="0" w:type="dxa"/>
            <w:right w:w="0" w:type="dxa"/>
          </w:tblCellMar>
        </w:tblPrEx>
        <w:trPr>
          <w:trHeight w:val="645" w:hRule="atLeast"/>
          <w:tblCellSpacing w:w="0" w:type="dxa"/>
          <w:jc w:val="center"/>
        </w:trPr>
        <w:tc>
          <w:tcPr>
            <w:tcW w:w="40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6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31</w:t>
            </w:r>
          </w:p>
        </w:tc>
        <w:tc>
          <w:tcPr>
            <w:tcW w:w="42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408.89</w:t>
            </w:r>
          </w:p>
        </w:tc>
      </w:tr>
      <w:tr>
        <w:tblPrEx>
          <w:tblCellMar>
            <w:top w:w="0" w:type="dxa"/>
            <w:left w:w="0" w:type="dxa"/>
            <w:bottom w:w="0" w:type="dxa"/>
            <w:right w:w="0" w:type="dxa"/>
          </w:tblCellMar>
        </w:tblPrEx>
        <w:trPr>
          <w:trHeight w:val="645" w:hRule="atLeast"/>
          <w:tblCellSpacing w:w="0" w:type="dxa"/>
          <w:jc w:val="center"/>
        </w:trPr>
        <w:tc>
          <w:tcPr>
            <w:tcW w:w="40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6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42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118.00</w:t>
            </w:r>
          </w:p>
        </w:tc>
      </w:tr>
      <w:tr>
        <w:tblPrEx>
          <w:tblCellMar>
            <w:top w:w="0" w:type="dxa"/>
            <w:left w:w="0" w:type="dxa"/>
            <w:bottom w:w="0" w:type="dxa"/>
            <w:right w:w="0" w:type="dxa"/>
          </w:tblCellMar>
        </w:tblPrEx>
        <w:trPr>
          <w:trHeight w:val="645" w:hRule="atLeast"/>
          <w:tblCellSpacing w:w="0" w:type="dxa"/>
          <w:jc w:val="center"/>
        </w:trPr>
        <w:tc>
          <w:tcPr>
            <w:tcW w:w="40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6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42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597.77</w:t>
            </w:r>
          </w:p>
        </w:tc>
      </w:tr>
    </w:tbl>
    <w:p>
      <w:pPr>
        <w:pStyle w:val="7"/>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927B48"/>
    <w:rsid w:val="00927B48"/>
    <w:rsid w:val="00AE2B54"/>
    <w:rsid w:val="00CC4653"/>
    <w:rsid w:val="52FB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1142</Words>
  <Characters>6511</Characters>
  <Lines>54</Lines>
  <Paragraphs>15</Paragraphs>
  <TotalTime>4</TotalTime>
  <ScaleCrop>false</ScaleCrop>
  <LinksUpToDate>false</LinksUpToDate>
  <CharactersWithSpaces>7638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2017-10-27T09:56:00Z</dcterms:created>
  <dc:creator>lenovo</dc:creator>
  <cp:lastModifiedBy>Administrator</cp:lastModifiedBy>
  <dcterms:modified xsi:type="dcterms:W3CDTF">2024-01-18T02:05:09Z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8162171E62AF40FAA747E4253D9D6061</vt:lpwstr>
  </property>
</Properties>
</file>